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56F00AE7" w:rsidRDefault="00BE3237" w14:paraId="2A040499" w14:textId="15C555CB">
      <w:pPr>
        <w:rPr>
          <w:rFonts w:ascii="Century Gothic" w:hAnsi="Century Gothic"/>
          <w:color w:val="0070C0"/>
        </w:rPr>
      </w:pPr>
      <w:r w:rsidRPr="4788842A">
        <w:rPr>
          <w:rFonts w:ascii="Century Gothic" w:hAnsi="Century Gothic"/>
          <w:b/>
          <w:bCs/>
          <w:sz w:val="28"/>
          <w:szCs w:val="28"/>
        </w:rPr>
        <w:t xml:space="preserve">Finding Name: </w:t>
      </w:r>
      <w:r w:rsidRPr="4788842A" w:rsidR="06FB4C65">
        <w:rPr>
          <w:rFonts w:ascii="Century Gothic" w:hAnsi="Century Gothic"/>
        </w:rPr>
        <w:t>Exposed Encryption Keys</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80"/>
        <w:gridCol w:w="2103"/>
      </w:tblGrid>
      <w:tr w:rsidRPr="00BE3237" w:rsidR="4EFA2131" w:rsidTr="460CE6C4"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80"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103"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460CE6C4" w14:paraId="0B819D07" w14:textId="77777777">
        <w:trPr>
          <w:trHeight w:val="300"/>
        </w:trPr>
        <w:tc>
          <w:tcPr>
            <w:tcW w:w="1693" w:type="dxa"/>
            <w:tcMar>
              <w:left w:w="105" w:type="dxa"/>
              <w:right w:w="105" w:type="dxa"/>
            </w:tcMar>
          </w:tcPr>
          <w:p w:rsidRPr="00BE3237" w:rsidR="4EFA2131" w:rsidP="4EFA2131" w:rsidRDefault="56FF4F14" w14:paraId="2F2594D7" w14:textId="630B8B2F">
            <w:pPr>
              <w:spacing w:line="259" w:lineRule="auto"/>
              <w:rPr>
                <w:rFonts w:ascii="Century Gothic" w:hAnsi="Century Gothic" w:eastAsia="Segoe UI" w:cs="Segoe UI"/>
                <w:color w:val="000000" w:themeColor="text1"/>
                <w:sz w:val="18"/>
                <w:szCs w:val="18"/>
              </w:rPr>
            </w:pPr>
            <w:r w:rsidRPr="460CE6C4">
              <w:rPr>
                <w:rFonts w:ascii="Century Gothic" w:hAnsi="Century Gothic" w:eastAsia="Segoe UI" w:cs="Segoe UI"/>
                <w:color w:val="000000" w:themeColor="text1"/>
                <w:sz w:val="18"/>
                <w:szCs w:val="18"/>
              </w:rPr>
              <w:t>Deakin Carr</w:t>
            </w:r>
          </w:p>
        </w:tc>
        <w:tc>
          <w:tcPr>
            <w:tcW w:w="1037" w:type="dxa"/>
            <w:tcMar>
              <w:left w:w="105" w:type="dxa"/>
              <w:right w:w="105" w:type="dxa"/>
            </w:tcMar>
          </w:tcPr>
          <w:p w:rsidRPr="00BE3237" w:rsidR="4EFA2131" w:rsidP="4EFA2131" w:rsidRDefault="56FF4F14" w14:paraId="12CCD170" w14:textId="158EEB99">
            <w:pPr>
              <w:spacing w:line="259" w:lineRule="auto"/>
              <w:rPr>
                <w:rFonts w:ascii="Century Gothic" w:hAnsi="Century Gothic" w:eastAsia="Segoe UI" w:cs="Segoe UI"/>
                <w:color w:val="000000" w:themeColor="text1"/>
                <w:sz w:val="18"/>
                <w:szCs w:val="18"/>
              </w:rPr>
            </w:pPr>
            <w:r w:rsidRPr="460CE6C4">
              <w:rPr>
                <w:rFonts w:ascii="Century Gothic" w:hAnsi="Century Gothic" w:eastAsia="Segoe UI" w:cs="Segoe UI"/>
                <w:color w:val="000000" w:themeColor="text1"/>
                <w:sz w:val="18"/>
                <w:szCs w:val="18"/>
              </w:rPr>
              <w:t>SCR</w:t>
            </w:r>
          </w:p>
        </w:tc>
        <w:tc>
          <w:tcPr>
            <w:tcW w:w="1440" w:type="dxa"/>
            <w:tcMar>
              <w:left w:w="105" w:type="dxa"/>
              <w:right w:w="105" w:type="dxa"/>
            </w:tcMar>
          </w:tcPr>
          <w:p w:rsidRPr="00BE3237" w:rsidR="4EFA2131" w:rsidP="4EFA2131" w:rsidRDefault="56FF4F14" w14:paraId="2A4B4AF5" w14:textId="5A4A7E8C">
            <w:pPr>
              <w:spacing w:line="259" w:lineRule="auto"/>
              <w:rPr>
                <w:rFonts w:ascii="Century Gothic" w:hAnsi="Century Gothic" w:eastAsia="Segoe UI" w:cs="Segoe UI"/>
                <w:color w:val="000000" w:themeColor="text1"/>
                <w:sz w:val="18"/>
                <w:szCs w:val="18"/>
              </w:rPr>
            </w:pPr>
            <w:r w:rsidRPr="460CE6C4">
              <w:rPr>
                <w:rFonts w:ascii="Century Gothic" w:hAnsi="Century Gothic" w:eastAsia="Segoe UI" w:cs="Segoe UI"/>
                <w:color w:val="000000" w:themeColor="text1"/>
                <w:sz w:val="18"/>
                <w:szCs w:val="18"/>
              </w:rPr>
              <w:t>SCR</w:t>
            </w:r>
          </w:p>
        </w:tc>
        <w:tc>
          <w:tcPr>
            <w:tcW w:w="1095" w:type="dxa"/>
            <w:tcMar>
              <w:left w:w="105" w:type="dxa"/>
              <w:right w:w="105" w:type="dxa"/>
            </w:tcMar>
          </w:tcPr>
          <w:p w:rsidRPr="00BE3237" w:rsidR="4EFA2131" w:rsidP="4EFA2131" w:rsidRDefault="56FF4F14" w14:paraId="1828EB61" w14:textId="2DE9AAAC">
            <w:pPr>
              <w:spacing w:line="259" w:lineRule="auto"/>
              <w:rPr>
                <w:rFonts w:ascii="Century Gothic" w:hAnsi="Century Gothic" w:eastAsia="Segoe UI" w:cs="Segoe UI"/>
                <w:color w:val="000000" w:themeColor="text1"/>
                <w:sz w:val="18"/>
                <w:szCs w:val="18"/>
              </w:rPr>
            </w:pPr>
            <w:r w:rsidRPr="460CE6C4">
              <w:rPr>
                <w:rFonts w:ascii="Century Gothic" w:hAnsi="Century Gothic" w:eastAsia="Segoe UI" w:cs="Segoe UI"/>
                <w:color w:val="000000" w:themeColor="text1"/>
                <w:sz w:val="18"/>
                <w:szCs w:val="18"/>
              </w:rPr>
              <w:t>Ontrack</w:t>
            </w:r>
          </w:p>
        </w:tc>
        <w:tc>
          <w:tcPr>
            <w:tcW w:w="1980" w:type="dxa"/>
            <w:tcMar>
              <w:left w:w="105" w:type="dxa"/>
              <w:right w:w="105" w:type="dxa"/>
            </w:tcMar>
          </w:tcPr>
          <w:p w:rsidRPr="00BE3237" w:rsidR="4EFA2131" w:rsidP="4EFA2131" w:rsidRDefault="0010790B" w14:paraId="11C35E56" w14:textId="070CBD9B">
            <w:pPr>
              <w:spacing w:line="259" w:lineRule="auto"/>
              <w:rPr>
                <w:rFonts w:ascii="Century Gothic" w:hAnsi="Century Gothic" w:eastAsia="Segoe UI" w:cs="Segoe UI"/>
                <w:color w:val="000000" w:themeColor="text1"/>
                <w:sz w:val="18"/>
                <w:szCs w:val="18"/>
              </w:rPr>
            </w:pPr>
            <w:r>
              <w:rPr>
                <w:rFonts w:ascii="Century Gothic" w:hAnsi="Century Gothic" w:eastAsia="Segoe UI" w:cs="Segoe UI"/>
                <w:color w:val="000000" w:themeColor="text1"/>
                <w:sz w:val="18"/>
                <w:szCs w:val="18"/>
              </w:rPr>
              <w:t>Jaspriya kaur</w:t>
            </w:r>
          </w:p>
        </w:tc>
        <w:tc>
          <w:tcPr>
            <w:tcW w:w="2103"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460CE6C4">
        <w:rPr>
          <w:rFonts w:ascii="Century Gothic" w:hAnsi="Century Gothic"/>
          <w:b/>
          <w:bCs/>
          <w:sz w:val="24"/>
          <w:szCs w:val="24"/>
        </w:rPr>
        <w:t>Finding Description</w:t>
      </w:r>
    </w:p>
    <w:p w:rsidRPr="00533EA6" w:rsidR="48BD0A10" w:rsidP="460CE6C4" w:rsidRDefault="3776DA41" w14:paraId="605C6082" w14:textId="2619170D">
      <w:pPr>
        <w:rPr>
          <w:rFonts w:ascii="Century Gothic" w:hAnsi="Century Gothic" w:eastAsia="Century Gothic" w:cs="Century Gothic"/>
        </w:rPr>
      </w:pPr>
      <w:r w:rsidRPr="460CE6C4">
        <w:rPr>
          <w:rFonts w:ascii="Century Gothic" w:hAnsi="Century Gothic" w:eastAsia="Century Gothic" w:cs="Century Gothic"/>
        </w:rPr>
        <w:t>During the secure code review process, several instances of sensitive information being stored in plaintext</w:t>
      </w:r>
      <w:r w:rsidRPr="460CE6C4" w:rsidR="54EBBC5C">
        <w:rPr>
          <w:rFonts w:ascii="Century Gothic" w:hAnsi="Century Gothic" w:eastAsia="Century Gothic" w:cs="Century Gothic"/>
        </w:rPr>
        <w:t xml:space="preserve"> were found</w:t>
      </w:r>
      <w:r w:rsidRPr="460CE6C4">
        <w:rPr>
          <w:rFonts w:ascii="Century Gothic" w:hAnsi="Century Gothic" w:eastAsia="Century Gothic" w:cs="Century Gothic"/>
        </w:rPr>
        <w:t xml:space="preserve">. The findings include API keys and private keys within the </w:t>
      </w:r>
      <w:r w:rsidRPr="460CE6C4">
        <w:rPr>
          <w:rFonts w:ascii="Consolas" w:hAnsi="Consolas" w:eastAsia="Consolas" w:cs="Consolas"/>
        </w:rPr>
        <w:t>.env.production</w:t>
      </w:r>
      <w:r w:rsidRPr="460CE6C4">
        <w:rPr>
          <w:rFonts w:ascii="Century Gothic" w:hAnsi="Century Gothic" w:eastAsia="Century Gothic" w:cs="Century Gothic"/>
        </w:rPr>
        <w:t xml:space="preserve"> file and the </w:t>
      </w:r>
      <w:r w:rsidRPr="460CE6C4">
        <w:rPr>
          <w:rFonts w:ascii="Consolas" w:hAnsi="Consolas" w:eastAsia="Consolas" w:cs="Consolas"/>
        </w:rPr>
        <w:t>CAkeys</w:t>
      </w:r>
      <w:r w:rsidRPr="460CE6C4">
        <w:rPr>
          <w:rFonts w:ascii="Century Gothic" w:hAnsi="Century Gothic" w:eastAsia="Century Gothic" w:cs="Century Gothic"/>
        </w:rPr>
        <w:t xml:space="preserve"> directory. These keys are crucial for the security of the application, as they are used for encryption processes and authentication mechanisms.</w:t>
      </w:r>
    </w:p>
    <w:p w:rsidRPr="00BE3237" w:rsidR="2953A169" w:rsidP="56F00AE7" w:rsidRDefault="2953A169" w14:paraId="50911984" w14:textId="3B7EBEB9">
      <w:pPr>
        <w:rPr>
          <w:rFonts w:ascii="Century Gothic" w:hAnsi="Century Gothic"/>
        </w:rPr>
      </w:pPr>
      <w:r w:rsidRPr="46A5C586">
        <w:rPr>
          <w:rFonts w:ascii="Century Gothic" w:hAnsi="Century Gothic"/>
          <w:b/>
          <w:bCs/>
          <w:sz w:val="24"/>
          <w:szCs w:val="24"/>
        </w:rPr>
        <w:t>Risk Rating</w:t>
      </w:r>
      <w:r>
        <w:br/>
      </w:r>
      <w:r w:rsidRPr="46A5C586">
        <w:rPr>
          <w:rFonts w:ascii="Century Gothic" w:hAnsi="Century Gothic"/>
        </w:rPr>
        <w:t>Impact:</w:t>
      </w:r>
      <w:r w:rsidRPr="46A5C586" w:rsidR="4EF87734">
        <w:rPr>
          <w:rFonts w:ascii="Century Gothic" w:hAnsi="Century Gothic"/>
        </w:rPr>
        <w:t xml:space="preserve"> </w:t>
      </w:r>
      <w:r w:rsidRPr="46A5C586" w:rsidR="75EBA9F3">
        <w:rPr>
          <w:rFonts w:ascii="Century Gothic" w:hAnsi="Century Gothic"/>
        </w:rPr>
        <w:t>Significant</w:t>
      </w:r>
      <w:r>
        <w:br/>
      </w:r>
      <w:r w:rsidRPr="46A5C586" w:rsidR="40E462CF">
        <w:rPr>
          <w:rFonts w:ascii="Century Gothic" w:hAnsi="Century Gothic"/>
        </w:rPr>
        <w:t xml:space="preserve">Likelihood: </w:t>
      </w:r>
      <w:r w:rsidRPr="46A5C586" w:rsidR="311043DD">
        <w:rPr>
          <w:rFonts w:ascii="Century Gothic" w:hAnsi="Century Gothic"/>
        </w:rPr>
        <w:t xml:space="preserve">Moderate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lastRenderedPageBreak/>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 xml:space="preserve">Event could occur occasionally and/or could </w:t>
            </w:r>
            <w:r w:rsidRPr="00BE3237">
              <w:rPr>
                <w:rFonts w:ascii="Century Gothic" w:hAnsi="Century Gothic" w:eastAsia="Calibri" w:cs="Calibri"/>
                <w:sz w:val="20"/>
                <w:szCs w:val="20"/>
                <w:lang w:val="en-AU"/>
              </w:rPr>
              <w:lastRenderedPageBreak/>
              <w:t>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t>Business Impact</w:t>
      </w:r>
    </w:p>
    <w:p w:rsidR="23FC9A32" w:rsidP="460CE6C4" w:rsidRDefault="23FC9A32" w14:paraId="0D09FB8E" w14:textId="168BB711">
      <w:pPr>
        <w:rPr>
          <w:rFonts w:ascii="Century Gothic" w:hAnsi="Century Gothic" w:eastAsia="Calibri" w:cs="Calibri"/>
        </w:rPr>
      </w:pPr>
      <w:r w:rsidRPr="460CE6C4">
        <w:rPr>
          <w:rFonts w:ascii="Century Gothic" w:hAnsi="Century Gothic" w:eastAsia="Calibri" w:cs="Calibri"/>
        </w:rPr>
        <w:t>The exposure of these sensitive keys poses a significant risk. Unauthorized access to these keys would allow attackers to decrypt sensitive data, execute privileged operations, and potentially gain full control over the application infrastructure. This could lead to data breaches, financial losses, and severe reputational damage.</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t>Affected Assets</w:t>
      </w:r>
    </w:p>
    <w:p w:rsidR="3A811101" w:rsidP="3EC8AE1D" w:rsidRDefault="3A811101" w14:paraId="73E50889" w14:textId="7D1575FB">
      <w:pPr>
        <w:pStyle w:val="ListParagraph"/>
        <w:numPr>
          <w:ilvl w:val="0"/>
          <w:numId w:val="2"/>
        </w:numPr>
        <w:spacing w:after="0"/>
        <w:rPr>
          <w:rFonts w:ascii="Century Gothic" w:hAnsi="Century Gothic" w:eastAsia="Century Gothic" w:cs="Century Gothic"/>
          <w:sz w:val="22"/>
          <w:szCs w:val="22"/>
        </w:rPr>
      </w:pPr>
      <w:r w:rsidRPr="3EC8AE1D" w:rsidR="3A811101">
        <w:rPr>
          <w:rFonts w:ascii="Consolas" w:hAnsi="Consolas" w:eastAsia="Consolas" w:cs="Consolas"/>
          <w:sz w:val="22"/>
          <w:szCs w:val="22"/>
        </w:rPr>
        <w:t>.</w:t>
      </w:r>
      <w:r w:rsidRPr="3EC8AE1D" w:rsidR="3A811101">
        <w:rPr>
          <w:rFonts w:ascii="Consolas" w:hAnsi="Consolas" w:eastAsia="Consolas" w:cs="Consolas"/>
          <w:sz w:val="22"/>
          <w:szCs w:val="22"/>
        </w:rPr>
        <w:t>env.production</w:t>
      </w:r>
      <w:r w:rsidRPr="3EC8AE1D" w:rsidR="3A811101">
        <w:rPr>
          <w:rFonts w:ascii="Century Gothic" w:hAnsi="Century Gothic" w:eastAsia="Century Gothic" w:cs="Century Gothic"/>
          <w:sz w:val="22"/>
          <w:szCs w:val="22"/>
        </w:rPr>
        <w:t xml:space="preserve"> file </w:t>
      </w:r>
      <w:r w:rsidRPr="3EC8AE1D" w:rsidR="3A811101">
        <w:rPr>
          <w:rFonts w:ascii="Century Gothic" w:hAnsi="Century Gothic" w:eastAsia="Century Gothic" w:cs="Century Gothic"/>
          <w:sz w:val="22"/>
          <w:szCs w:val="22"/>
        </w:rPr>
        <w:t>containing</w:t>
      </w:r>
      <w:r w:rsidRPr="3EC8AE1D" w:rsidR="3A811101">
        <w:rPr>
          <w:rFonts w:ascii="Century Gothic" w:hAnsi="Century Gothic" w:eastAsia="Century Gothic" w:cs="Century Gothic"/>
          <w:sz w:val="22"/>
          <w:szCs w:val="22"/>
        </w:rPr>
        <w:t xml:space="preserve"> encryption keys</w:t>
      </w:r>
    </w:p>
    <w:p w:rsidR="3A811101" w:rsidP="3EC8AE1D" w:rsidRDefault="3A811101" w14:paraId="37C8A67B" w14:textId="00EB99DF">
      <w:pPr>
        <w:pStyle w:val="ListParagraph"/>
        <w:numPr>
          <w:ilvl w:val="0"/>
          <w:numId w:val="2"/>
        </w:numPr>
        <w:spacing w:after="0"/>
        <w:rPr>
          <w:rFonts w:ascii="Century Gothic" w:hAnsi="Century Gothic" w:eastAsia="Century Gothic" w:cs="Century Gothic"/>
          <w:sz w:val="22"/>
          <w:szCs w:val="22"/>
        </w:rPr>
      </w:pPr>
      <w:r w:rsidRPr="3EC8AE1D" w:rsidR="3A811101">
        <w:rPr>
          <w:rFonts w:ascii="Consolas" w:hAnsi="Consolas" w:eastAsia="Consolas" w:cs="Consolas"/>
          <w:sz w:val="22"/>
          <w:szCs w:val="22"/>
        </w:rPr>
        <w:t>RootCA.key</w:t>
      </w:r>
      <w:r w:rsidRPr="3EC8AE1D" w:rsidR="3A811101">
        <w:rPr>
          <w:rFonts w:ascii="Century Gothic" w:hAnsi="Century Gothic" w:eastAsia="Century Gothic" w:cs="Century Gothic"/>
          <w:sz w:val="22"/>
          <w:szCs w:val="22"/>
        </w:rPr>
        <w:t xml:space="preserve"> and </w:t>
      </w:r>
      <w:r w:rsidRPr="3EC8AE1D" w:rsidR="3A811101">
        <w:rPr>
          <w:rFonts w:ascii="Consolas" w:hAnsi="Consolas" w:eastAsia="Consolas" w:cs="Consolas"/>
          <w:sz w:val="22"/>
          <w:szCs w:val="22"/>
        </w:rPr>
        <w:t>localhost.key</w:t>
      </w:r>
      <w:r w:rsidRPr="3EC8AE1D" w:rsidR="3A811101">
        <w:rPr>
          <w:rFonts w:ascii="Century Gothic" w:hAnsi="Century Gothic" w:eastAsia="Century Gothic" w:cs="Century Gothic"/>
          <w:sz w:val="22"/>
          <w:szCs w:val="22"/>
        </w:rPr>
        <w:t xml:space="preserve"> files </w:t>
      </w:r>
      <w:r w:rsidRPr="3EC8AE1D" w:rsidR="3A811101">
        <w:rPr>
          <w:rFonts w:ascii="Century Gothic" w:hAnsi="Century Gothic" w:eastAsia="Century Gothic" w:cs="Century Gothic"/>
          <w:sz w:val="22"/>
          <w:szCs w:val="22"/>
        </w:rPr>
        <w:t>containing</w:t>
      </w:r>
      <w:r w:rsidRPr="3EC8AE1D" w:rsidR="3A811101">
        <w:rPr>
          <w:rFonts w:ascii="Century Gothic" w:hAnsi="Century Gothic" w:eastAsia="Century Gothic" w:cs="Century Gothic"/>
          <w:sz w:val="22"/>
          <w:szCs w:val="22"/>
        </w:rPr>
        <w:t xml:space="preserve"> private keys</w:t>
      </w:r>
    </w:p>
    <w:p w:rsidR="460CE6C4" w:rsidP="460CE6C4" w:rsidRDefault="460CE6C4" w14:paraId="601AD670" w14:textId="0F24C757">
      <w:pPr>
        <w:rPr>
          <w:rFonts w:ascii="Century Gothic" w:hAnsi="Century Gothic" w:eastAsia="Calibri" w:cs="Calibri"/>
          <w:color w:val="0070C0"/>
          <w:sz w:val="24"/>
          <w:szCs w:val="24"/>
        </w:rPr>
      </w:pPr>
    </w:p>
    <w:p w:rsidR="5994D52E" w:rsidP="6009D5C6" w:rsidRDefault="5994D52E" w14:paraId="69B7DB13" w14:textId="7D947FB1">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t>Evidence</w:t>
      </w:r>
    </w:p>
    <w:p w:rsidR="066FB113" w:rsidP="460CE6C4" w:rsidRDefault="066FB113" w14:paraId="3AE8FBEB" w14:textId="6E135543">
      <w:pPr>
        <w:spacing w:before="240" w:after="240"/>
      </w:pPr>
      <w:r w:rsidRPr="460CE6C4">
        <w:rPr>
          <w:rFonts w:ascii="Century Gothic" w:hAnsi="Century Gothic" w:eastAsia="Century Gothic" w:cs="Century Gothic"/>
        </w:rPr>
        <w:t>To reproduce the vulnerability, follow these steps:</w:t>
      </w:r>
    </w:p>
    <w:p w:rsidR="066FB113" w:rsidP="460CE6C4" w:rsidRDefault="066FB113" w14:paraId="3E59A8CE" w14:textId="2E12A77B">
      <w:pPr>
        <w:pStyle w:val="ListParagraph"/>
        <w:numPr>
          <w:ilvl w:val="0"/>
          <w:numId w:val="1"/>
        </w:numPr>
        <w:spacing w:after="0"/>
        <w:rPr>
          <w:rFonts w:ascii="Century Gothic" w:hAnsi="Century Gothic" w:eastAsia="Century Gothic" w:cs="Century Gothic"/>
        </w:rPr>
      </w:pPr>
      <w:r w:rsidRPr="460CE6C4">
        <w:rPr>
          <w:rFonts w:ascii="Century Gothic" w:hAnsi="Century Gothic" w:eastAsia="Century Gothic" w:cs="Century Gothic"/>
        </w:rPr>
        <w:t xml:space="preserve">Clone the repository and navigate to the </w:t>
      </w:r>
      <w:r w:rsidRPr="460CE6C4">
        <w:rPr>
          <w:rFonts w:ascii="Consolas" w:hAnsi="Consolas" w:eastAsia="Consolas" w:cs="Consolas"/>
        </w:rPr>
        <w:t>production</w:t>
      </w:r>
      <w:r w:rsidRPr="460CE6C4">
        <w:rPr>
          <w:rFonts w:ascii="Century Gothic" w:hAnsi="Century Gothic" w:eastAsia="Century Gothic" w:cs="Century Gothic"/>
        </w:rPr>
        <w:t xml:space="preserve"> directory.</w:t>
      </w:r>
    </w:p>
    <w:p w:rsidR="066FB113" w:rsidP="460CE6C4" w:rsidRDefault="066FB113" w14:paraId="741199B5" w14:textId="1F16062F">
      <w:pPr>
        <w:pStyle w:val="ListParagraph"/>
        <w:numPr>
          <w:ilvl w:val="0"/>
          <w:numId w:val="1"/>
        </w:numPr>
        <w:spacing w:after="0"/>
        <w:rPr>
          <w:rFonts w:ascii="Century Gothic" w:hAnsi="Century Gothic" w:eastAsia="Century Gothic" w:cs="Century Gothic"/>
        </w:rPr>
      </w:pPr>
      <w:r w:rsidRPr="3EC8AE1D" w:rsidR="066FB113">
        <w:rPr>
          <w:rFonts w:ascii="Century Gothic" w:hAnsi="Century Gothic" w:eastAsia="Century Gothic" w:cs="Century Gothic"/>
        </w:rPr>
        <w:t xml:space="preserve">Open the </w:t>
      </w:r>
      <w:r w:rsidRPr="3EC8AE1D" w:rsidR="066FB113">
        <w:rPr>
          <w:rFonts w:ascii="Consolas" w:hAnsi="Consolas" w:eastAsia="Consolas" w:cs="Consolas"/>
        </w:rPr>
        <w:t>.</w:t>
      </w:r>
      <w:r w:rsidRPr="3EC8AE1D" w:rsidR="066FB113">
        <w:rPr>
          <w:rFonts w:ascii="Consolas" w:hAnsi="Consolas" w:eastAsia="Consolas" w:cs="Consolas"/>
        </w:rPr>
        <w:t>env.production</w:t>
      </w:r>
      <w:r w:rsidRPr="3EC8AE1D" w:rsidR="066FB113">
        <w:rPr>
          <w:rFonts w:ascii="Century Gothic" w:hAnsi="Century Gothic" w:eastAsia="Century Gothic" w:cs="Century Gothic"/>
        </w:rPr>
        <w:t xml:space="preserve"> </w:t>
      </w:r>
      <w:r w:rsidRPr="3EC8AE1D" w:rsidR="4C3613F0">
        <w:rPr>
          <w:rFonts w:ascii="Century Gothic" w:hAnsi="Century Gothic" w:eastAsia="Century Gothic" w:cs="Century Gothic"/>
        </w:rPr>
        <w:t xml:space="preserve">and </w:t>
      </w:r>
      <w:r w:rsidRPr="3EC8AE1D" w:rsidR="4C3613F0">
        <w:rPr>
          <w:rFonts w:ascii="Consolas" w:hAnsi="Consolas" w:eastAsia="Consolas" w:cs="Consolas"/>
        </w:rPr>
        <w:t>localhost.key</w:t>
      </w:r>
      <w:r w:rsidRPr="3EC8AE1D" w:rsidR="4C3613F0">
        <w:rPr>
          <w:rFonts w:ascii="Century Gothic" w:hAnsi="Century Gothic" w:eastAsia="Century Gothic" w:cs="Century Gothic"/>
        </w:rPr>
        <w:t xml:space="preserve"> files in </w:t>
      </w:r>
      <w:r w:rsidRPr="3EC8AE1D" w:rsidR="609AA6B1">
        <w:rPr>
          <w:rFonts w:ascii="Consolas" w:hAnsi="Consolas" w:eastAsia="Consolas" w:cs="Consolas"/>
        </w:rPr>
        <w:t>~/</w:t>
      </w:r>
      <w:r w:rsidRPr="3EC8AE1D" w:rsidR="609AA6B1">
        <w:rPr>
          <w:rFonts w:ascii="Consolas" w:hAnsi="Consolas" w:eastAsia="Consolas" w:cs="Consolas"/>
        </w:rPr>
        <w:t>doubtfire</w:t>
      </w:r>
      <w:r w:rsidRPr="3EC8AE1D" w:rsidR="609AA6B1">
        <w:rPr>
          <w:rFonts w:ascii="Consolas" w:hAnsi="Consolas" w:eastAsia="Consolas" w:cs="Consolas"/>
        </w:rPr>
        <w:t>-deploy/production</w:t>
      </w:r>
      <w:r w:rsidRPr="3EC8AE1D" w:rsidR="066FB113">
        <w:rPr>
          <w:rFonts w:ascii="Century Gothic" w:hAnsi="Century Gothic" w:eastAsia="Century Gothic" w:cs="Century Gothic"/>
        </w:rPr>
        <w:t xml:space="preserve">. Observe the plaintext </w:t>
      </w:r>
      <w:r w:rsidRPr="3EC8AE1D" w:rsidR="529CAA54">
        <w:rPr>
          <w:rFonts w:ascii="Century Gothic" w:hAnsi="Century Gothic" w:eastAsia="Century Gothic" w:cs="Century Gothic"/>
        </w:rPr>
        <w:t>secrets resembling</w:t>
      </w:r>
      <w:r w:rsidRPr="3EC8AE1D" w:rsidR="066FB113">
        <w:rPr>
          <w:rFonts w:ascii="Century Gothic" w:hAnsi="Century Gothic" w:eastAsia="Century Gothic" w:cs="Century Gothic"/>
        </w:rPr>
        <w:t xml:space="preserve"> the following pattern</w:t>
      </w:r>
      <w:r w:rsidRPr="3EC8AE1D" w:rsidR="3853C4C9">
        <w:rPr>
          <w:rFonts w:ascii="Century Gothic" w:hAnsi="Century Gothic" w:eastAsia="Century Gothic" w:cs="Century Gothic"/>
        </w:rPr>
        <w:t xml:space="preserve"> in</w:t>
      </w:r>
      <w:r w:rsidRPr="3EC8AE1D" w:rsidR="3853C4C9">
        <w:rPr>
          <w:rFonts w:ascii="Century Gothic" w:hAnsi="Century Gothic" w:eastAsia="Century Gothic" w:cs="Century Gothic"/>
        </w:rPr>
        <w:t xml:space="preserve"> </w:t>
      </w:r>
      <w:r w:rsidRPr="3EC8AE1D" w:rsidR="3853C4C9">
        <w:rPr>
          <w:rFonts w:ascii="Consolas" w:hAnsi="Consolas" w:eastAsia="Consolas" w:cs="Consolas"/>
        </w:rPr>
        <w:t>.</w:t>
      </w:r>
      <w:r w:rsidRPr="3EC8AE1D" w:rsidR="3853C4C9">
        <w:rPr>
          <w:rFonts w:ascii="Consolas" w:hAnsi="Consolas" w:eastAsia="Consolas" w:cs="Consolas"/>
        </w:rPr>
        <w:t>env.producti</w:t>
      </w:r>
      <w:r w:rsidRPr="3EC8AE1D" w:rsidR="3853C4C9">
        <w:rPr>
          <w:rFonts w:ascii="Consolas" w:hAnsi="Consolas" w:eastAsia="Consolas" w:cs="Consolas"/>
        </w:rPr>
        <w:t>on</w:t>
      </w:r>
      <w:r w:rsidRPr="3EC8AE1D" w:rsidR="066FB113">
        <w:rPr>
          <w:rFonts w:ascii="Century Gothic" w:hAnsi="Century Gothic" w:eastAsia="Century Gothic" w:cs="Century Gothic"/>
        </w:rPr>
        <w:t>:</w:t>
      </w:r>
    </w:p>
    <w:p w:rsidR="066FB113" w:rsidP="460CE6C4" w:rsidRDefault="066FB113" w14:paraId="039EDE2C" w14:textId="74035276">
      <w:pPr>
        <w:pStyle w:val="ListParagraph"/>
        <w:numPr>
          <w:ilvl w:val="1"/>
          <w:numId w:val="2"/>
        </w:numPr>
        <w:spacing w:after="0"/>
        <w:rPr>
          <w:rFonts w:ascii="Consolas" w:hAnsi="Consolas" w:eastAsia="Consolas" w:cs="Consolas"/>
        </w:rPr>
      </w:pPr>
      <w:r w:rsidRPr="460CE6C4">
        <w:rPr>
          <w:rFonts w:ascii="Consolas" w:hAnsi="Consolas" w:eastAsia="Consolas" w:cs="Consolas"/>
        </w:rPr>
        <w:t>DF_ENCRYPTION_PRIMARY_KEY=AMLOMYA5GV8B4fTK3VKMhVGn8WdvU...</w:t>
      </w:r>
    </w:p>
    <w:p w:rsidR="066FB113" w:rsidP="460CE6C4" w:rsidRDefault="066FB113" w14:paraId="7304A3AB" w14:textId="1EFE3192">
      <w:pPr>
        <w:pStyle w:val="ListParagraph"/>
        <w:numPr>
          <w:ilvl w:val="1"/>
          <w:numId w:val="2"/>
        </w:numPr>
        <w:spacing w:after="0"/>
        <w:rPr>
          <w:rFonts w:ascii="Consolas" w:hAnsi="Consolas" w:eastAsia="Consolas" w:cs="Consolas"/>
        </w:rPr>
      </w:pPr>
      <w:r w:rsidRPr="460CE6C4">
        <w:rPr>
          <w:rFonts w:ascii="Consolas" w:hAnsi="Consolas" w:eastAsia="Consolas" w:cs="Consolas"/>
        </w:rPr>
        <w:t>DF_ENCRYPTION_DETERMINISTIC_KEY=anlmuJ6cB3bN3biXRbYvmPsC5ALPF...</w:t>
      </w:r>
    </w:p>
    <w:p w:rsidR="066FB113" w:rsidP="460CE6C4" w:rsidRDefault="066FB113" w14:paraId="36AA3443" w14:textId="1B72BEC9">
      <w:pPr>
        <w:pStyle w:val="ListParagraph"/>
        <w:numPr>
          <w:ilvl w:val="1"/>
          <w:numId w:val="2"/>
        </w:numPr>
        <w:spacing w:after="0"/>
        <w:rPr>
          <w:rFonts w:ascii="Consolas" w:hAnsi="Consolas" w:eastAsia="Consolas" w:cs="Consolas"/>
        </w:rPr>
      </w:pPr>
      <w:r w:rsidRPr="460CE6C4">
        <w:rPr>
          <w:rFonts w:ascii="Consolas" w:hAnsi="Consolas" w:eastAsia="Consolas" w:cs="Consolas"/>
        </w:rPr>
        <w:t>DF_ENCRYPTION_KEY_DERIVATION_SALT=hzPR8D4qpOnAg7VeAhkhWw6Jmmz...</w:t>
      </w:r>
    </w:p>
    <w:p w:rsidR="066FB113" w:rsidP="460CE6C4" w:rsidRDefault="066FB113" w14:paraId="13C88AE3" w14:textId="7F8345D8">
      <w:pPr>
        <w:pStyle w:val="ListParagraph"/>
        <w:numPr>
          <w:ilvl w:val="0"/>
          <w:numId w:val="1"/>
        </w:numPr>
        <w:spacing w:after="0"/>
        <w:rPr>
          <w:rFonts w:ascii="Century Gothic" w:hAnsi="Century Gothic" w:eastAsia="Century Gothic" w:cs="Century Gothic"/>
        </w:rPr>
      </w:pPr>
      <w:r w:rsidRPr="3EC8AE1D" w:rsidR="066FB113">
        <w:rPr>
          <w:rFonts w:ascii="Century Gothic" w:hAnsi="Century Gothic" w:eastAsia="Century Gothic" w:cs="Century Gothic"/>
        </w:rPr>
        <w:t xml:space="preserve">Access the </w:t>
      </w:r>
      <w:r w:rsidRPr="3EC8AE1D" w:rsidR="066FB113">
        <w:rPr>
          <w:rFonts w:ascii="Consolas" w:hAnsi="Consolas" w:eastAsia="Consolas" w:cs="Consolas"/>
        </w:rPr>
        <w:t>CAkeys</w:t>
      </w:r>
      <w:r w:rsidRPr="3EC8AE1D" w:rsidR="066FB113">
        <w:rPr>
          <w:rFonts w:ascii="Century Gothic" w:hAnsi="Century Gothic" w:eastAsia="Century Gothic" w:cs="Century Gothic"/>
        </w:rPr>
        <w:t xml:space="preserve"> directory, open the </w:t>
      </w:r>
      <w:r w:rsidRPr="3EC8AE1D" w:rsidR="066FB113">
        <w:rPr>
          <w:rFonts w:ascii="Consolas" w:hAnsi="Consolas" w:eastAsia="Consolas" w:cs="Consolas"/>
        </w:rPr>
        <w:t>RootCA.key</w:t>
      </w:r>
      <w:r w:rsidRPr="3EC8AE1D" w:rsidR="066FB113">
        <w:rPr>
          <w:rFonts w:ascii="Century Gothic" w:hAnsi="Century Gothic" w:eastAsia="Century Gothic" w:cs="Century Gothic"/>
        </w:rPr>
        <w:t xml:space="preserve"> </w:t>
      </w:r>
      <w:r w:rsidRPr="3EC8AE1D" w:rsidR="066FB113">
        <w:rPr>
          <w:rFonts w:ascii="Century Gothic" w:hAnsi="Century Gothic" w:eastAsia="Century Gothic" w:cs="Century Gothic"/>
        </w:rPr>
        <w:t>, and notice the private keys stored in plaintext at the beginning of these files.</w:t>
      </w:r>
    </w:p>
    <w:p w:rsidR="460CE6C4" w:rsidP="460CE6C4" w:rsidRDefault="460CE6C4" w14:paraId="004761BC" w14:textId="1FF5E419">
      <w:pPr>
        <w:rPr>
          <w:rFonts w:ascii="Century Gothic" w:hAnsi="Century Gothic" w:eastAsia="Calibri" w:cs="Calibri"/>
          <w:b w:val="1"/>
          <w:bCs w:val="1"/>
          <w:color w:val="0070C0"/>
        </w:rPr>
      </w:pPr>
    </w:p>
    <w:p w:rsidRPr="00BE3237" w:rsidR="6009D5C6" w:rsidP="3EC8AE1D" w:rsidRDefault="6009D5C6" w14:paraId="7C1233B7" w14:textId="4693BDC5">
      <w:pPr>
        <w:pStyle w:val="Normal"/>
      </w:pPr>
      <w:r w:rsidR="1BD3065C">
        <w:drawing>
          <wp:inline wp14:editId="3EC8AE1D" wp14:anchorId="34B05CFE">
            <wp:extent cx="5943600" cy="1143000"/>
            <wp:effectExtent l="0" t="0" r="0" b="0"/>
            <wp:docPr id="1818036998" name="" title=""/>
            <wp:cNvGraphicFramePr>
              <a:graphicFrameLocks noChangeAspect="1"/>
            </wp:cNvGraphicFramePr>
            <a:graphic>
              <a:graphicData uri="http://schemas.openxmlformats.org/drawingml/2006/picture">
                <pic:pic>
                  <pic:nvPicPr>
                    <pic:cNvPr id="0" name=""/>
                    <pic:cNvPicPr/>
                  </pic:nvPicPr>
                  <pic:blipFill>
                    <a:blip r:embed="Rfa3b15053a3b462d">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w:rsidRPr="00BE3237" w:rsidR="6009D5C6" w:rsidP="3EC8AE1D" w:rsidRDefault="6009D5C6" w14:paraId="5FE973A4" w14:textId="2296599D">
      <w:pPr>
        <w:pStyle w:val="Normal"/>
      </w:pPr>
      <w:r w:rsidR="24ED5D6C">
        <w:drawing>
          <wp:inline wp14:editId="7FFCAC65" wp14:anchorId="2C4D5318">
            <wp:extent cx="4676776" cy="5943600"/>
            <wp:effectExtent l="0" t="0" r="0" b="0"/>
            <wp:docPr id="844821356" name="" title=""/>
            <wp:cNvGraphicFramePr>
              <a:graphicFrameLocks noChangeAspect="1"/>
            </wp:cNvGraphicFramePr>
            <a:graphic>
              <a:graphicData uri="http://schemas.openxmlformats.org/drawingml/2006/picture">
                <pic:pic>
                  <pic:nvPicPr>
                    <pic:cNvPr id="0" name=""/>
                    <pic:cNvPicPr/>
                  </pic:nvPicPr>
                  <pic:blipFill>
                    <a:blip r:embed="R962979977ec44376">
                      <a:extLst>
                        <a:ext xmlns:a="http://schemas.openxmlformats.org/drawingml/2006/main" uri="{28A0092B-C50C-407E-A947-70E740481C1C}">
                          <a14:useLocalDpi val="0"/>
                        </a:ext>
                      </a:extLst>
                    </a:blip>
                    <a:stretch>
                      <a:fillRect/>
                    </a:stretch>
                  </pic:blipFill>
                  <pic:spPr>
                    <a:xfrm>
                      <a:off x="0" y="0"/>
                      <a:ext cx="4676776" cy="5943600"/>
                    </a:xfrm>
                    <a:prstGeom prst="rect">
                      <a:avLst/>
                    </a:prstGeom>
                  </pic:spPr>
                </pic:pic>
              </a:graphicData>
            </a:graphic>
          </wp:inline>
        </w:drawing>
      </w:r>
    </w:p>
    <w:p w:rsidRPr="00BE3237" w:rsidR="6009D5C6" w:rsidP="3EC8AE1D" w:rsidRDefault="6009D5C6" w14:paraId="6ED60111" w14:textId="5896F1D4">
      <w:pPr>
        <w:pStyle w:val="Normal"/>
      </w:pPr>
      <w:r w:rsidR="24ED5D6C">
        <w:drawing>
          <wp:inline wp14:editId="2A6BD982" wp14:anchorId="35F21586">
            <wp:extent cx="4638674" cy="5943600"/>
            <wp:effectExtent l="0" t="0" r="0" b="0"/>
            <wp:docPr id="32638232" name="" title=""/>
            <wp:cNvGraphicFramePr>
              <a:graphicFrameLocks noChangeAspect="1"/>
            </wp:cNvGraphicFramePr>
            <a:graphic>
              <a:graphicData uri="http://schemas.openxmlformats.org/drawingml/2006/picture">
                <pic:pic>
                  <pic:nvPicPr>
                    <pic:cNvPr id="0" name=""/>
                    <pic:cNvPicPr/>
                  </pic:nvPicPr>
                  <pic:blipFill>
                    <a:blip r:embed="R616d8395f88a4f6c">
                      <a:extLst>
                        <a:ext xmlns:a="http://schemas.openxmlformats.org/drawingml/2006/main" uri="{28A0092B-C50C-407E-A947-70E740481C1C}">
                          <a14:useLocalDpi val="0"/>
                        </a:ext>
                      </a:extLst>
                    </a:blip>
                    <a:stretch>
                      <a:fillRect/>
                    </a:stretch>
                  </pic:blipFill>
                  <pic:spPr>
                    <a:xfrm>
                      <a:off x="0" y="0"/>
                      <a:ext cx="4638674" cy="5943600"/>
                    </a:xfrm>
                    <a:prstGeom prst="rect">
                      <a:avLst/>
                    </a:prstGeom>
                  </pic:spPr>
                </pic:pic>
              </a:graphicData>
            </a:graphic>
          </wp:inline>
        </w:drawing>
      </w:r>
    </w:p>
    <w:p w:rsidR="5994D52E" w:rsidP="6009D5C6" w:rsidRDefault="5994D52E" w14:paraId="13995464" w14:textId="6AD46832">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t>Remediation Advice</w:t>
      </w:r>
    </w:p>
    <w:p w:rsidR="6C88FA69" w:rsidP="3EC8AE1D" w:rsidRDefault="6C88FA69" w14:paraId="707A8A85" w14:textId="12B99623">
      <w:pPr>
        <w:pStyle w:val="ListParagraph"/>
        <w:numPr>
          <w:ilvl w:val="0"/>
          <w:numId w:val="2"/>
        </w:numPr>
        <w:spacing w:after="0"/>
        <w:rPr>
          <w:rFonts w:ascii="Century Gothic" w:hAnsi="Century Gothic" w:eastAsia="Century Gothic" w:cs="Century Gothic"/>
          <w:sz w:val="22"/>
          <w:szCs w:val="22"/>
        </w:rPr>
      </w:pPr>
      <w:r w:rsidRPr="3EC8AE1D" w:rsidR="6C88FA69">
        <w:rPr>
          <w:rFonts w:ascii="Century Gothic" w:hAnsi="Century Gothic" w:eastAsia="Century Gothic" w:cs="Century Gothic"/>
          <w:sz w:val="22"/>
          <w:szCs w:val="22"/>
        </w:rPr>
        <w:t>Immediately rotate all exposed keys and secrets to prevent unauthorized use.</w:t>
      </w:r>
    </w:p>
    <w:p w:rsidR="6C88FA69" w:rsidP="3EC8AE1D" w:rsidRDefault="6C88FA69" w14:paraId="344F52EE" w14:textId="3C8B8C29">
      <w:pPr>
        <w:pStyle w:val="ListParagraph"/>
        <w:numPr>
          <w:ilvl w:val="0"/>
          <w:numId w:val="2"/>
        </w:numPr>
        <w:spacing w:after="0"/>
        <w:rPr>
          <w:rFonts w:ascii="Century Gothic" w:hAnsi="Century Gothic" w:eastAsia="Century Gothic" w:cs="Century Gothic"/>
          <w:sz w:val="22"/>
          <w:szCs w:val="22"/>
        </w:rPr>
      </w:pPr>
      <w:r w:rsidRPr="3EC8AE1D" w:rsidR="6C88FA69">
        <w:rPr>
          <w:rFonts w:ascii="Century Gothic" w:hAnsi="Century Gothic" w:eastAsia="Century Gothic" w:cs="Century Gothic"/>
          <w:sz w:val="22"/>
          <w:szCs w:val="22"/>
        </w:rPr>
        <w:t>Implement a secure secret management solution to handle sensitive information securely.</w:t>
      </w:r>
    </w:p>
    <w:p w:rsidR="6C88FA69" w:rsidP="3EC8AE1D" w:rsidRDefault="6C88FA69" w14:paraId="5D3B1C32" w14:textId="75952B0A">
      <w:pPr>
        <w:pStyle w:val="ListParagraph"/>
        <w:numPr>
          <w:ilvl w:val="0"/>
          <w:numId w:val="2"/>
        </w:numPr>
        <w:spacing w:after="0"/>
        <w:rPr>
          <w:rFonts w:ascii="Century Gothic" w:hAnsi="Century Gothic" w:eastAsia="Century Gothic" w:cs="Century Gothic"/>
          <w:sz w:val="22"/>
          <w:szCs w:val="22"/>
        </w:rPr>
      </w:pPr>
      <w:r w:rsidRPr="3EC8AE1D" w:rsidR="6C88FA69">
        <w:rPr>
          <w:rFonts w:ascii="Century Gothic" w:hAnsi="Century Gothic" w:eastAsia="Century Gothic" w:cs="Century Gothic"/>
          <w:sz w:val="22"/>
          <w:szCs w:val="22"/>
        </w:rPr>
        <w:t>Encrypt sensitive data at rest and ensure secure transmission channels are used to prevent unauthorized access.</w:t>
      </w:r>
    </w:p>
    <w:p w:rsidR="6C88FA69" w:rsidP="3EC8AE1D" w:rsidRDefault="6C88FA69" w14:paraId="350684A0" w14:textId="6AEE6F6D">
      <w:pPr>
        <w:pStyle w:val="ListParagraph"/>
        <w:numPr>
          <w:ilvl w:val="0"/>
          <w:numId w:val="2"/>
        </w:numPr>
        <w:spacing w:after="0"/>
        <w:rPr>
          <w:rFonts w:ascii="Century Gothic" w:hAnsi="Century Gothic" w:eastAsia="Century Gothic" w:cs="Century Gothic"/>
          <w:sz w:val="22"/>
          <w:szCs w:val="22"/>
        </w:rPr>
      </w:pPr>
      <w:r w:rsidRPr="3EC8AE1D" w:rsidR="6C88FA69">
        <w:rPr>
          <w:rFonts w:ascii="Century Gothic" w:hAnsi="Century Gothic" w:eastAsia="Century Gothic" w:cs="Century Gothic"/>
          <w:sz w:val="22"/>
          <w:szCs w:val="22"/>
        </w:rPr>
        <w:t>Regularly scan the codebase and environment files for exposed sensitive information and rectify the issues promptly.</w:t>
      </w:r>
    </w:p>
    <w:p w:rsidR="460CE6C4" w:rsidP="460CE6C4" w:rsidRDefault="460CE6C4" w14:paraId="0D10626D" w14:textId="53E7E3CF">
      <w:pPr>
        <w:rPr>
          <w:rFonts w:ascii="Century Gothic" w:hAnsi="Century Gothic" w:eastAsia="Calibri" w:cs="Calibri"/>
          <w:color w:val="0070C0"/>
          <w:sz w:val="24"/>
          <w:szCs w:val="24"/>
        </w:rPr>
      </w:pPr>
    </w:p>
    <w:p w:rsidRPr="00BE3237" w:rsidR="6009D5C6" w:rsidP="6009D5C6" w:rsidRDefault="6009D5C6" w14:paraId="7BF24CA9" w14:textId="42BF0425">
      <w:pPr>
        <w:rPr>
          <w:rFonts w:ascii="Century Gothic" w:hAnsi="Century Gothic" w:eastAsia="Calibri" w:cs="Calibri"/>
          <w:b/>
          <w:bCs/>
          <w:color w:val="000000" w:themeColor="text1"/>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lastRenderedPageBreak/>
        <w:t>References</w:t>
      </w:r>
    </w:p>
    <w:p w:rsidR="0D3687D1" w:rsidP="4788842A" w:rsidRDefault="0D3687D1" w14:paraId="3228C3FC" w14:textId="2ED00A27">
      <w:r w:rsidRPr="3EC8AE1D" w:rsidR="0D3687D1">
        <w:rPr>
          <w:rFonts w:ascii="Century Gothic" w:hAnsi="Century Gothic" w:eastAsia="Calibri" w:cs="Calibri"/>
        </w:rPr>
        <w:t>GitLeaks</w:t>
      </w:r>
      <w:r w:rsidRPr="3EC8AE1D" w:rsidR="0D3687D1">
        <w:rPr>
          <w:rFonts w:ascii="Century Gothic" w:hAnsi="Century Gothic" w:eastAsia="Calibri" w:cs="Calibri"/>
        </w:rPr>
        <w:t xml:space="preserve">. (n.d.). </w:t>
      </w:r>
      <w:r w:rsidRPr="3EC8AE1D" w:rsidR="0D3687D1">
        <w:rPr>
          <w:rFonts w:ascii="Century Gothic" w:hAnsi="Century Gothic" w:eastAsia="Calibri" w:cs="Calibri"/>
        </w:rPr>
        <w:t>GitLeaks</w:t>
      </w:r>
      <w:r w:rsidRPr="3EC8AE1D" w:rsidR="0D3687D1">
        <w:rPr>
          <w:rFonts w:ascii="Century Gothic" w:hAnsi="Century Gothic" w:eastAsia="Calibri" w:cs="Calibri"/>
        </w:rPr>
        <w:t xml:space="preserve"> - A SAST tool for detecting hardcoded secrets like passwords, </w:t>
      </w:r>
      <w:r w:rsidRPr="3EC8AE1D" w:rsidR="0D3687D1">
        <w:rPr>
          <w:rFonts w:ascii="Century Gothic" w:hAnsi="Century Gothic" w:eastAsia="Calibri" w:cs="Calibri"/>
        </w:rPr>
        <w:t>api</w:t>
      </w:r>
      <w:r w:rsidRPr="3EC8AE1D" w:rsidR="0D3687D1">
        <w:rPr>
          <w:rFonts w:ascii="Century Gothic" w:hAnsi="Century Gothic" w:eastAsia="Calibri" w:cs="Calibri"/>
        </w:rPr>
        <w:t xml:space="preserve"> keys, and tokens in git repos. Retrieved [3/4/24], from </w:t>
      </w:r>
      <w:hyperlink r:id="R8793fd0186c3408c">
        <w:r w:rsidRPr="3EC8AE1D" w:rsidR="0D3687D1">
          <w:rPr>
            <w:rStyle w:val="Hyperlink"/>
          </w:rPr>
          <w:t>https://gitleaks.io/index.html</w:t>
        </w:r>
      </w:hyperlink>
    </w:p>
    <w:p w:rsidR="7EFE5234" w:rsidP="3EC8AE1D" w:rsidRDefault="7EFE5234" w14:paraId="6283D6AD" w14:textId="01D75263">
      <w:pPr>
        <w:pStyle w:val="Normal"/>
        <w:rPr>
          <w:rFonts w:ascii="Century Gothic" w:hAnsi="Century Gothic" w:eastAsia="Century Gothic" w:cs="Century Gothic"/>
          <w:noProof w:val="0"/>
          <w:sz w:val="22"/>
          <w:szCs w:val="22"/>
          <w:lang w:val="en-US"/>
        </w:rPr>
      </w:pPr>
      <w:r w:rsidRPr="3EC8AE1D" w:rsidR="7EFE5234">
        <w:rPr>
          <w:rFonts w:ascii="Century Gothic" w:hAnsi="Century Gothic" w:eastAsia="Century Gothic" w:cs="Century Gothic"/>
          <w:noProof w:val="0"/>
          <w:sz w:val="22"/>
          <w:szCs w:val="22"/>
          <w:lang w:val="en-US"/>
        </w:rPr>
        <w:t xml:space="preserve">D. </w:t>
      </w:r>
      <w:r w:rsidRPr="3EC8AE1D" w:rsidR="7EFE5234">
        <w:rPr>
          <w:rFonts w:ascii="Century Gothic" w:hAnsi="Century Gothic" w:eastAsia="Century Gothic" w:cs="Century Gothic"/>
          <w:noProof w:val="0"/>
          <w:sz w:val="22"/>
          <w:szCs w:val="22"/>
          <w:lang w:val="en-US"/>
        </w:rPr>
        <w:t>Gitlan</w:t>
      </w:r>
      <w:r w:rsidRPr="3EC8AE1D" w:rsidR="7EFE5234">
        <w:rPr>
          <w:rFonts w:ascii="Century Gothic" w:hAnsi="Century Gothic" w:eastAsia="Century Gothic" w:cs="Century Gothic"/>
          <w:noProof w:val="0"/>
          <w:sz w:val="22"/>
          <w:szCs w:val="22"/>
          <w:lang w:val="en-US"/>
        </w:rPr>
        <w:t xml:space="preserve">, “Best Practices to Store the Private Key,” </w:t>
      </w:r>
      <w:r w:rsidRPr="3EC8AE1D" w:rsidR="7EFE5234">
        <w:rPr>
          <w:rFonts w:ascii="Century Gothic" w:hAnsi="Century Gothic" w:eastAsia="Century Gothic" w:cs="Century Gothic"/>
          <w:i w:val="1"/>
          <w:iCs w:val="1"/>
          <w:noProof w:val="0"/>
          <w:sz w:val="22"/>
          <w:szCs w:val="22"/>
          <w:lang w:val="en-US"/>
        </w:rPr>
        <w:t>SSL Dragon</w:t>
      </w:r>
      <w:r w:rsidRPr="3EC8AE1D" w:rsidR="7EFE5234">
        <w:rPr>
          <w:rFonts w:ascii="Century Gothic" w:hAnsi="Century Gothic" w:eastAsia="Century Gothic" w:cs="Century Gothic"/>
          <w:noProof w:val="0"/>
          <w:sz w:val="22"/>
          <w:szCs w:val="22"/>
          <w:lang w:val="en-US"/>
        </w:rPr>
        <w:t>, Last updated on February 20th, 202</w:t>
      </w:r>
      <w:r w:rsidRPr="3EC8AE1D" w:rsidR="33975836">
        <w:rPr>
          <w:rFonts w:ascii="Century Gothic" w:hAnsi="Century Gothic" w:eastAsia="Century Gothic" w:cs="Century Gothic"/>
          <w:noProof w:val="0"/>
          <w:sz w:val="22"/>
          <w:szCs w:val="22"/>
          <w:lang w:val="en-US"/>
        </w:rPr>
        <w:t>4, Available:</w:t>
      </w:r>
      <w:r w:rsidRPr="3EC8AE1D" w:rsidR="33975836">
        <w:rPr>
          <w:rFonts w:ascii="Century Gothic" w:hAnsi="Century Gothic" w:eastAsia="Century Gothic" w:cs="Century Gothic"/>
          <w:noProof w:val="0"/>
          <w:sz w:val="22"/>
          <w:szCs w:val="22"/>
          <w:vertAlign w:val="superscript"/>
          <w:lang w:val="en-US"/>
        </w:rPr>
        <w:t xml:space="preserve"> </w:t>
      </w:r>
      <w:r w:rsidRPr="3EC8AE1D" w:rsidR="33975836">
        <w:rPr>
          <w:rFonts w:ascii="Century Gothic" w:hAnsi="Century Gothic" w:eastAsia="Century Gothic" w:cs="Century Gothic"/>
          <w:b w:val="0"/>
          <w:bCs w:val="0"/>
          <w:i w:val="0"/>
          <w:iCs w:val="0"/>
          <w:caps w:val="0"/>
          <w:smallCaps w:val="0"/>
          <w:noProof w:val="0"/>
          <w:color w:val="000000" w:themeColor="text1" w:themeTint="FF" w:themeShade="FF"/>
          <w:sz w:val="22"/>
          <w:szCs w:val="22"/>
          <w:lang w:val="en-US"/>
        </w:rPr>
        <w:t>https://www.ssldragon.com/blog/best-practices-to-store-the-private-key/</w:t>
      </w:r>
    </w:p>
    <w:p w:rsidR="059DE804" w:rsidP="4788842A" w:rsidRDefault="059DE804" w14:paraId="0111B65C" w14:textId="0BE9967B">
      <w:pPr>
        <w:spacing w:before="240" w:after="240"/>
        <w:rPr>
          <w:rFonts w:ascii="Century Gothic" w:hAnsi="Century Gothic" w:eastAsia="Century Gothic" w:cs="Century Gothic"/>
          <w:sz w:val="24"/>
          <w:szCs w:val="24"/>
        </w:rPr>
      </w:pPr>
      <w:r w:rsidRPr="4788842A">
        <w:rPr>
          <w:rFonts w:ascii="Century Gothic" w:hAnsi="Century Gothic" w:eastAsia="Century Gothic" w:cs="Century Gothic"/>
        </w:rPr>
        <w:t xml:space="preserve">ChatGPT, “ChatGPT”, OpenAI [Large language model] Available: </w:t>
      </w:r>
      <w:hyperlink r:id="rId12">
        <w:r w:rsidRPr="4788842A">
          <w:rPr>
            <w:rStyle w:val="Hyperlink"/>
          </w:rPr>
          <w:t>https://chat.openai.com</w:t>
        </w:r>
      </w:hyperlink>
      <w:r w:rsidRPr="4788842A">
        <w:rPr>
          <w:rFonts w:ascii="Century Gothic" w:hAnsi="Century Gothic" w:eastAsia="Century Gothic" w:cs="Century Gothic"/>
        </w:rPr>
        <w:t xml:space="preserve"> [Accessed: 2/4/2024].</w:t>
      </w:r>
    </w:p>
    <w:p w:rsidR="4788842A" w:rsidP="4788842A" w:rsidRDefault="4788842A" w14:paraId="6598F474" w14:textId="06170F43">
      <w:pPr>
        <w:rPr>
          <w:rFonts w:ascii="Century Gothic" w:hAnsi="Century Gothic" w:eastAsia="Calibri" w:cs="Calibri"/>
          <w:sz w:val="24"/>
          <w:szCs w:val="24"/>
        </w:rPr>
      </w:pPr>
    </w:p>
    <w:p w:rsidR="460CE6C4" w:rsidP="460CE6C4" w:rsidRDefault="460CE6C4" w14:paraId="0E7CB7E4" w14:textId="23F6C060">
      <w:pPr>
        <w:rPr>
          <w:rFonts w:ascii="Century Gothic" w:hAnsi="Century Gothic" w:eastAsia="Calibri" w:cs="Calibri"/>
          <w:sz w:val="24"/>
          <w:szCs w:val="24"/>
        </w:rPr>
      </w:pPr>
    </w:p>
    <w:p w:rsidRPr="00BE3237" w:rsidR="6009D5C6" w:rsidP="460CE6C4"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460CE6C4">
        <w:rPr>
          <w:rFonts w:ascii="Century Gothic" w:hAnsi="Century Gothic" w:eastAsia="Calibri" w:cs="Calibri"/>
          <w:b/>
          <w:bCs/>
          <w:color w:val="000000" w:themeColor="text1"/>
          <w:sz w:val="24"/>
          <w:szCs w:val="24"/>
        </w:rPr>
        <w:t>Contact Details</w:t>
      </w:r>
    </w:p>
    <w:p w:rsidR="692AADFC" w:rsidP="460CE6C4" w:rsidRDefault="692AADFC" w14:paraId="668B3409" w14:textId="0EF4FD85">
      <w:pPr>
        <w:rPr>
          <w:rFonts w:ascii="Century Gothic" w:hAnsi="Century Gothic" w:eastAsia="Calibri" w:cs="Calibri"/>
          <w:sz w:val="24"/>
          <w:szCs w:val="24"/>
        </w:rPr>
      </w:pPr>
      <w:r w:rsidRPr="460CE6C4">
        <w:rPr>
          <w:rFonts w:ascii="Century Gothic" w:hAnsi="Century Gothic" w:eastAsia="Calibri" w:cs="Calibri"/>
          <w:sz w:val="24"/>
          <w:szCs w:val="24"/>
        </w:rPr>
        <w:t>DEAKIN CARR</w:t>
      </w:r>
    </w:p>
    <w:p w:rsidR="692AADFC" w:rsidP="460CE6C4" w:rsidRDefault="692AADFC" w14:paraId="5353DC3A" w14:textId="359456A2">
      <w:pPr>
        <w:rPr>
          <w:rFonts w:ascii="Century Gothic" w:hAnsi="Century Gothic" w:eastAsia="Calibri" w:cs="Calibri"/>
          <w:sz w:val="24"/>
          <w:szCs w:val="24"/>
        </w:rPr>
      </w:pPr>
      <w:r w:rsidRPr="460CE6C4">
        <w:rPr>
          <w:rFonts w:ascii="Century Gothic" w:hAnsi="Century Gothic" w:eastAsia="Calibri" w:cs="Calibri"/>
          <w:sz w:val="24"/>
          <w:szCs w:val="24"/>
        </w:rPr>
        <w:t>Carrde@deakin.edu.au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008851DA" w:rsidP="64F2AD60" w:rsidRDefault="008851DA" w14:paraId="2AB41B7E" w14:textId="09A77001">
      <w:pPr>
        <w:rPr>
          <w:rFonts w:ascii="Century Gothic" w:hAnsi="Century Gothic" w:eastAsia="Calibri" w:cs="Calibri"/>
          <w:color w:val="7030A0"/>
          <w:sz w:val="24"/>
          <w:szCs w:val="24"/>
        </w:rPr>
      </w:pPr>
      <w:r w:rsidRPr="3EC8AE1D" w:rsidR="008851DA">
        <w:rPr>
          <w:rFonts w:ascii="Century Gothic" w:hAnsi="Century Gothic" w:eastAsia="Calibri" w:cs="Calibri"/>
          <w:color w:val="7030A0"/>
          <w:sz w:val="24"/>
          <w:szCs w:val="24"/>
        </w:rPr>
        <w:t>Great work</w:t>
      </w:r>
      <w:r w:rsidRPr="3EC8AE1D" w:rsidR="008851DA">
        <w:rPr>
          <w:rFonts w:ascii="Century Gothic" w:hAnsi="Century Gothic" w:eastAsia="Calibri" w:cs="Calibri"/>
          <w:color w:val="7030A0"/>
          <w:sz w:val="24"/>
          <w:szCs w:val="24"/>
        </w:rPr>
        <w:t xml:space="preserve"> Deakin. Can you add a screenshot as an example with the path so that your finding could be justified.</w:t>
      </w:r>
      <w:r>
        <w:br/>
      </w:r>
      <w:r>
        <w:br/>
      </w:r>
      <w:r w:rsidRPr="3EC8AE1D" w:rsidR="6A577B7B">
        <w:rPr>
          <w:rFonts w:ascii="Century Gothic" w:hAnsi="Century Gothic" w:eastAsia="Calibri" w:cs="Calibri"/>
          <w:color w:val="7030A0"/>
          <w:sz w:val="24"/>
          <w:szCs w:val="24"/>
        </w:rPr>
        <w:t xml:space="preserve">Add </w:t>
      </w:r>
      <w:r w:rsidRPr="3EC8AE1D" w:rsidR="6A577B7B">
        <w:rPr>
          <w:rFonts w:ascii="Century Gothic" w:hAnsi="Century Gothic" w:eastAsia="Calibri" w:cs="Calibri"/>
          <w:color w:val="7030A0"/>
          <w:sz w:val="24"/>
          <w:szCs w:val="24"/>
        </w:rPr>
        <w:t>screenshots</w:t>
      </w:r>
      <w:r w:rsidRPr="3EC8AE1D" w:rsidR="6A577B7B">
        <w:rPr>
          <w:rFonts w:ascii="Century Gothic" w:hAnsi="Century Gothic" w:eastAsia="Calibri" w:cs="Calibri"/>
          <w:color w:val="7030A0"/>
          <w:sz w:val="24"/>
          <w:szCs w:val="24"/>
        </w:rPr>
        <w:t xml:space="preserve"> to your work and use credible sources to justify your work</w:t>
      </w:r>
      <w:r w:rsidRPr="3EC8AE1D" w:rsidR="634FA1C5">
        <w:rPr>
          <w:rFonts w:ascii="Century Gothic" w:hAnsi="Century Gothic" w:eastAsia="Calibri" w:cs="Calibri"/>
          <w:color w:val="7030A0"/>
          <w:sz w:val="24"/>
          <w:szCs w:val="24"/>
        </w:rPr>
        <w:t xml:space="preserve"> –</w:t>
      </w:r>
      <w:r w:rsidRPr="3EC8AE1D" w:rsidR="6A577B7B">
        <w:rPr>
          <w:rFonts w:ascii="Century Gothic" w:hAnsi="Century Gothic" w:eastAsia="Calibri" w:cs="Calibri"/>
          <w:color w:val="7030A0"/>
          <w:sz w:val="24"/>
          <w:szCs w:val="24"/>
        </w:rPr>
        <w:t>Roocha</w:t>
      </w:r>
    </w:p>
    <w:p w:rsidR="720AFDA8" w:rsidP="3EC8AE1D" w:rsidRDefault="720AFDA8" w14:paraId="72BA61E1" w14:textId="27D11440">
      <w:pPr>
        <w:pStyle w:val="Normal"/>
        <w:rPr>
          <w:rFonts w:ascii="Century Gothic" w:hAnsi="Century Gothic" w:eastAsia="Calibri" w:cs="Calibri"/>
          <w:color w:val="7030A0"/>
          <w:sz w:val="24"/>
          <w:szCs w:val="24"/>
        </w:rPr>
      </w:pPr>
      <w:r w:rsidRPr="3EC8AE1D" w:rsidR="720AFDA8">
        <w:rPr>
          <w:rFonts w:ascii="Century Gothic" w:hAnsi="Century Gothic" w:eastAsia="Calibri" w:cs="Calibri"/>
          <w:color w:val="7030A0"/>
          <w:sz w:val="24"/>
          <w:szCs w:val="24"/>
        </w:rPr>
        <w:t xml:space="preserve">- Hi </w:t>
      </w:r>
      <w:r w:rsidRPr="3EC8AE1D" w:rsidR="720AFDA8">
        <w:rPr>
          <w:rFonts w:ascii="Century Gothic" w:hAnsi="Century Gothic" w:eastAsia="Calibri" w:cs="Calibri"/>
          <w:color w:val="7030A0"/>
          <w:sz w:val="24"/>
          <w:szCs w:val="24"/>
        </w:rPr>
        <w:t>Roocha</w:t>
      </w:r>
      <w:r w:rsidRPr="3EC8AE1D" w:rsidR="720AFDA8">
        <w:rPr>
          <w:rFonts w:ascii="Century Gothic" w:hAnsi="Century Gothic" w:eastAsia="Calibri" w:cs="Calibri"/>
          <w:color w:val="7030A0"/>
          <w:sz w:val="24"/>
          <w:szCs w:val="24"/>
        </w:rPr>
        <w:t xml:space="preserve">, screenshots have been added. </w:t>
      </w:r>
      <w:r w:rsidRPr="3EC8AE1D" w:rsidR="55F9E754">
        <w:rPr>
          <w:rFonts w:ascii="Century Gothic" w:hAnsi="Century Gothic" w:eastAsia="Calibri" w:cs="Calibri"/>
          <w:color w:val="7030A0"/>
          <w:sz w:val="24"/>
          <w:szCs w:val="24"/>
        </w:rPr>
        <w:t xml:space="preserve">Added a reference as to why </w:t>
      </w:r>
      <w:r>
        <w:tab/>
      </w:r>
      <w:r w:rsidRPr="3EC8AE1D" w:rsidR="55F9E754">
        <w:rPr>
          <w:rFonts w:ascii="Century Gothic" w:hAnsi="Century Gothic" w:eastAsia="Calibri" w:cs="Calibri"/>
          <w:color w:val="7030A0"/>
          <w:sz w:val="24"/>
          <w:szCs w:val="24"/>
        </w:rPr>
        <w:t xml:space="preserve">it is bad practice to store asymmetric private keys in plain text. I imagine </w:t>
      </w:r>
      <w:r>
        <w:tab/>
      </w:r>
      <w:r w:rsidRPr="3EC8AE1D" w:rsidR="55F9E754">
        <w:rPr>
          <w:rFonts w:ascii="Century Gothic" w:hAnsi="Century Gothic" w:eastAsia="Calibri" w:cs="Calibri"/>
          <w:color w:val="7030A0"/>
          <w:sz w:val="24"/>
          <w:szCs w:val="24"/>
        </w:rPr>
        <w:t xml:space="preserve">you have </w:t>
      </w:r>
      <w:r w:rsidRPr="3EC8AE1D" w:rsidR="55F9E754">
        <w:rPr>
          <w:rFonts w:ascii="Century Gothic" w:hAnsi="Century Gothic" w:eastAsia="Calibri" w:cs="Calibri"/>
          <w:color w:val="7030A0"/>
          <w:sz w:val="24"/>
          <w:szCs w:val="24"/>
        </w:rPr>
        <w:t>determined</w:t>
      </w:r>
      <w:r w:rsidRPr="3EC8AE1D" w:rsidR="55F9E754">
        <w:rPr>
          <w:rFonts w:ascii="Century Gothic" w:hAnsi="Century Gothic" w:eastAsia="Calibri" w:cs="Calibri"/>
          <w:color w:val="7030A0"/>
          <w:sz w:val="24"/>
          <w:szCs w:val="24"/>
        </w:rPr>
        <w:t xml:space="preserve"> that the ChatGPT reference is not a “credibl</w:t>
      </w:r>
      <w:r w:rsidRPr="3EC8AE1D" w:rsidR="354C59ED">
        <w:rPr>
          <w:rFonts w:ascii="Century Gothic" w:hAnsi="Century Gothic" w:eastAsia="Calibri" w:cs="Calibri"/>
          <w:color w:val="7030A0"/>
          <w:sz w:val="24"/>
          <w:szCs w:val="24"/>
        </w:rPr>
        <w:t xml:space="preserve">e </w:t>
      </w:r>
      <w:r>
        <w:tab/>
      </w:r>
      <w:r w:rsidRPr="3EC8AE1D" w:rsidR="354C59ED">
        <w:rPr>
          <w:rFonts w:ascii="Century Gothic" w:hAnsi="Century Gothic" w:eastAsia="Calibri" w:cs="Calibri"/>
          <w:color w:val="7030A0"/>
          <w:sz w:val="24"/>
          <w:szCs w:val="24"/>
        </w:rPr>
        <w:t xml:space="preserve">source” - I am only referencing it as I used it to structure this document </w:t>
      </w:r>
      <w:r>
        <w:tab/>
      </w:r>
      <w:r w:rsidRPr="3EC8AE1D" w:rsidR="354C59ED">
        <w:rPr>
          <w:rFonts w:ascii="Century Gothic" w:hAnsi="Century Gothic" w:eastAsia="Calibri" w:cs="Calibri"/>
          <w:color w:val="7030A0"/>
          <w:sz w:val="24"/>
          <w:szCs w:val="24"/>
        </w:rPr>
        <w:t xml:space="preserve">and per university </w:t>
      </w:r>
      <w:r w:rsidRPr="3EC8AE1D" w:rsidR="354C59ED">
        <w:rPr>
          <w:rFonts w:ascii="Century Gothic" w:hAnsi="Century Gothic" w:eastAsia="Calibri" w:cs="Calibri"/>
          <w:color w:val="7030A0"/>
          <w:sz w:val="24"/>
          <w:szCs w:val="24"/>
        </w:rPr>
        <w:t>p</w:t>
      </w:r>
      <w:r w:rsidRPr="3EC8AE1D" w:rsidR="354C59ED">
        <w:rPr>
          <w:rFonts w:ascii="Century Gothic" w:hAnsi="Century Gothic" w:eastAsia="Calibri" w:cs="Calibri"/>
          <w:color w:val="7030A0"/>
          <w:sz w:val="24"/>
          <w:szCs w:val="24"/>
        </w:rPr>
        <w:t>olicy</w:t>
      </w:r>
      <w:r w:rsidRPr="3EC8AE1D" w:rsidR="354C59ED">
        <w:rPr>
          <w:rFonts w:ascii="Century Gothic" w:hAnsi="Century Gothic" w:eastAsia="Calibri" w:cs="Calibri"/>
          <w:color w:val="7030A0"/>
          <w:sz w:val="24"/>
          <w:szCs w:val="24"/>
        </w:rPr>
        <w:t xml:space="preserve"> </w:t>
      </w:r>
      <w:r w:rsidRPr="3EC8AE1D" w:rsidR="354C59ED">
        <w:rPr>
          <w:rFonts w:ascii="Century Gothic" w:hAnsi="Century Gothic" w:eastAsia="Calibri" w:cs="Calibri"/>
          <w:color w:val="7030A0"/>
          <w:sz w:val="24"/>
          <w:szCs w:val="24"/>
        </w:rPr>
        <w:t xml:space="preserve">I </w:t>
      </w:r>
      <w:r w:rsidRPr="3EC8AE1D" w:rsidR="354C59ED">
        <w:rPr>
          <w:rFonts w:ascii="Century Gothic" w:hAnsi="Century Gothic" w:eastAsia="Calibri" w:cs="Calibri"/>
          <w:color w:val="7030A0"/>
          <w:sz w:val="24"/>
          <w:szCs w:val="24"/>
        </w:rPr>
        <w:t>a</w:t>
      </w:r>
      <w:r w:rsidRPr="3EC8AE1D" w:rsidR="354C59ED">
        <w:rPr>
          <w:rFonts w:ascii="Century Gothic" w:hAnsi="Century Gothic" w:eastAsia="Calibri" w:cs="Calibri"/>
          <w:color w:val="7030A0"/>
          <w:sz w:val="24"/>
          <w:szCs w:val="24"/>
        </w:rPr>
        <w:t>m required to</w:t>
      </w:r>
      <w:r w:rsidRPr="3EC8AE1D" w:rsidR="354C59ED">
        <w:rPr>
          <w:rFonts w:ascii="Century Gothic" w:hAnsi="Century Gothic" w:eastAsia="Calibri" w:cs="Calibri"/>
          <w:color w:val="7030A0"/>
          <w:sz w:val="24"/>
          <w:szCs w:val="24"/>
        </w:rPr>
        <w:t xml:space="preserve"> </w:t>
      </w:r>
      <w:r w:rsidRPr="3EC8AE1D" w:rsidR="354C59ED">
        <w:rPr>
          <w:rFonts w:ascii="Century Gothic" w:hAnsi="Century Gothic" w:eastAsia="Calibri" w:cs="Calibri"/>
          <w:color w:val="7030A0"/>
          <w:sz w:val="24"/>
          <w:szCs w:val="24"/>
        </w:rPr>
        <w:t>cite it.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503A1BFD"/>
    <w:multiLevelType w:val="hybridMultilevel"/>
    <w:tmpl w:val="FFFFFFFF"/>
    <w:lvl w:ilvl="0" w:tplc="F5C4FD92">
      <w:start w:val="1"/>
      <w:numFmt w:val="bullet"/>
      <w:lvlText w:val=""/>
      <w:lvlJc w:val="left"/>
      <w:pPr>
        <w:ind w:left="720" w:hanging="360"/>
      </w:pPr>
      <w:rPr>
        <w:rFonts w:hint="default" w:ascii="Symbol" w:hAnsi="Symbol"/>
      </w:rPr>
    </w:lvl>
    <w:lvl w:ilvl="1" w:tplc="5BE606E2">
      <w:start w:val="1"/>
      <w:numFmt w:val="bullet"/>
      <w:lvlText w:val="o"/>
      <w:lvlJc w:val="left"/>
      <w:pPr>
        <w:ind w:left="1440" w:hanging="360"/>
      </w:pPr>
      <w:rPr>
        <w:rFonts w:hint="default" w:ascii="Courier New" w:hAnsi="Courier New"/>
      </w:rPr>
    </w:lvl>
    <w:lvl w:ilvl="2" w:tplc="859634A6">
      <w:start w:val="1"/>
      <w:numFmt w:val="bullet"/>
      <w:lvlText w:val=""/>
      <w:lvlJc w:val="left"/>
      <w:pPr>
        <w:ind w:left="2160" w:hanging="360"/>
      </w:pPr>
      <w:rPr>
        <w:rFonts w:hint="default" w:ascii="Wingdings" w:hAnsi="Wingdings"/>
      </w:rPr>
    </w:lvl>
    <w:lvl w:ilvl="3" w:tplc="2AB61632">
      <w:start w:val="1"/>
      <w:numFmt w:val="bullet"/>
      <w:lvlText w:val=""/>
      <w:lvlJc w:val="left"/>
      <w:pPr>
        <w:ind w:left="2880" w:hanging="360"/>
      </w:pPr>
      <w:rPr>
        <w:rFonts w:hint="default" w:ascii="Symbol" w:hAnsi="Symbol"/>
      </w:rPr>
    </w:lvl>
    <w:lvl w:ilvl="4" w:tplc="D33AE950">
      <w:start w:val="1"/>
      <w:numFmt w:val="bullet"/>
      <w:lvlText w:val="o"/>
      <w:lvlJc w:val="left"/>
      <w:pPr>
        <w:ind w:left="3600" w:hanging="360"/>
      </w:pPr>
      <w:rPr>
        <w:rFonts w:hint="default" w:ascii="Courier New" w:hAnsi="Courier New"/>
      </w:rPr>
    </w:lvl>
    <w:lvl w:ilvl="5" w:tplc="221041CA">
      <w:start w:val="1"/>
      <w:numFmt w:val="bullet"/>
      <w:lvlText w:val=""/>
      <w:lvlJc w:val="left"/>
      <w:pPr>
        <w:ind w:left="4320" w:hanging="360"/>
      </w:pPr>
      <w:rPr>
        <w:rFonts w:hint="default" w:ascii="Wingdings" w:hAnsi="Wingdings"/>
      </w:rPr>
    </w:lvl>
    <w:lvl w:ilvl="6" w:tplc="59069B0C">
      <w:start w:val="1"/>
      <w:numFmt w:val="bullet"/>
      <w:lvlText w:val=""/>
      <w:lvlJc w:val="left"/>
      <w:pPr>
        <w:ind w:left="5040" w:hanging="360"/>
      </w:pPr>
      <w:rPr>
        <w:rFonts w:hint="default" w:ascii="Symbol" w:hAnsi="Symbol"/>
      </w:rPr>
    </w:lvl>
    <w:lvl w:ilvl="7" w:tplc="A5EAAE66">
      <w:start w:val="1"/>
      <w:numFmt w:val="bullet"/>
      <w:lvlText w:val="o"/>
      <w:lvlJc w:val="left"/>
      <w:pPr>
        <w:ind w:left="5760" w:hanging="360"/>
      </w:pPr>
      <w:rPr>
        <w:rFonts w:hint="default" w:ascii="Courier New" w:hAnsi="Courier New"/>
      </w:rPr>
    </w:lvl>
    <w:lvl w:ilvl="8" w:tplc="2D6840B4">
      <w:start w:val="1"/>
      <w:numFmt w:val="bullet"/>
      <w:lvlText w:val=""/>
      <w:lvlJc w:val="left"/>
      <w:pPr>
        <w:ind w:left="6480" w:hanging="360"/>
      </w:pPr>
      <w:rPr>
        <w:rFonts w:hint="default" w:ascii="Wingdings" w:hAnsi="Wingdings"/>
      </w:rPr>
    </w:lvl>
  </w:abstractNum>
  <w:abstractNum w:abstractNumId="6" w15:restartNumberingAfterBreak="0">
    <w:nsid w:val="63BE0675"/>
    <w:multiLevelType w:val="hybridMultilevel"/>
    <w:tmpl w:val="FFFFFFFF"/>
    <w:lvl w:ilvl="0" w:tplc="8EF4C37C">
      <w:start w:val="1"/>
      <w:numFmt w:val="decimal"/>
      <w:lvlText w:val="%1."/>
      <w:lvlJc w:val="left"/>
      <w:pPr>
        <w:ind w:left="720" w:hanging="360"/>
      </w:pPr>
    </w:lvl>
    <w:lvl w:ilvl="1" w:tplc="F3A0CAE2">
      <w:start w:val="1"/>
      <w:numFmt w:val="lowerLetter"/>
      <w:lvlText w:val="%2."/>
      <w:lvlJc w:val="left"/>
      <w:pPr>
        <w:ind w:left="1440" w:hanging="360"/>
      </w:pPr>
    </w:lvl>
    <w:lvl w:ilvl="2" w:tplc="DBE8D57C">
      <w:start w:val="1"/>
      <w:numFmt w:val="lowerRoman"/>
      <w:lvlText w:val="%3."/>
      <w:lvlJc w:val="right"/>
      <w:pPr>
        <w:ind w:left="2160" w:hanging="180"/>
      </w:pPr>
    </w:lvl>
    <w:lvl w:ilvl="3" w:tplc="AA40EDC2">
      <w:start w:val="1"/>
      <w:numFmt w:val="decimal"/>
      <w:lvlText w:val="%4."/>
      <w:lvlJc w:val="left"/>
      <w:pPr>
        <w:ind w:left="2880" w:hanging="360"/>
      </w:pPr>
    </w:lvl>
    <w:lvl w:ilvl="4" w:tplc="E3E21B5C">
      <w:start w:val="1"/>
      <w:numFmt w:val="lowerLetter"/>
      <w:lvlText w:val="%5."/>
      <w:lvlJc w:val="left"/>
      <w:pPr>
        <w:ind w:left="3600" w:hanging="360"/>
      </w:pPr>
    </w:lvl>
    <w:lvl w:ilvl="5" w:tplc="07A008F0">
      <w:start w:val="1"/>
      <w:numFmt w:val="lowerRoman"/>
      <w:lvlText w:val="%6."/>
      <w:lvlJc w:val="right"/>
      <w:pPr>
        <w:ind w:left="4320" w:hanging="180"/>
      </w:pPr>
    </w:lvl>
    <w:lvl w:ilvl="6" w:tplc="53CE6A6E">
      <w:start w:val="1"/>
      <w:numFmt w:val="decimal"/>
      <w:lvlText w:val="%7."/>
      <w:lvlJc w:val="left"/>
      <w:pPr>
        <w:ind w:left="5040" w:hanging="360"/>
      </w:pPr>
    </w:lvl>
    <w:lvl w:ilvl="7" w:tplc="8C784EFA">
      <w:start w:val="1"/>
      <w:numFmt w:val="lowerLetter"/>
      <w:lvlText w:val="%8."/>
      <w:lvlJc w:val="left"/>
      <w:pPr>
        <w:ind w:left="5760" w:hanging="360"/>
      </w:pPr>
    </w:lvl>
    <w:lvl w:ilvl="8" w:tplc="2BAE1A7E">
      <w:start w:val="1"/>
      <w:numFmt w:val="lowerRoman"/>
      <w:lvlText w:val="%9."/>
      <w:lvlJc w:val="right"/>
      <w:pPr>
        <w:ind w:left="6480" w:hanging="180"/>
      </w:pPr>
    </w:lvl>
  </w:abstractNum>
  <w:abstractNum w:abstractNumId="7"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8"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1243636116">
    <w:abstractNumId w:val="6"/>
  </w:num>
  <w:num w:numId="2" w16cid:durableId="796486177">
    <w:abstractNumId w:val="5"/>
  </w:num>
  <w:num w:numId="3" w16cid:durableId="558564000">
    <w:abstractNumId w:val="0"/>
  </w:num>
  <w:num w:numId="4" w16cid:durableId="633683039">
    <w:abstractNumId w:val="7"/>
  </w:num>
  <w:num w:numId="5" w16cid:durableId="901720464">
    <w:abstractNumId w:val="8"/>
  </w:num>
  <w:num w:numId="6" w16cid:durableId="1650404008">
    <w:abstractNumId w:val="2"/>
  </w:num>
  <w:num w:numId="7" w16cid:durableId="1337536224">
    <w:abstractNumId w:val="4"/>
  </w:num>
  <w:num w:numId="8" w16cid:durableId="2111317919">
    <w:abstractNumId w:val="1"/>
  </w:num>
  <w:num w:numId="9"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0790B"/>
    <w:rsid w:val="003D5C2E"/>
    <w:rsid w:val="0044D314"/>
    <w:rsid w:val="00533EA6"/>
    <w:rsid w:val="00631669"/>
    <w:rsid w:val="00640B7F"/>
    <w:rsid w:val="00657296"/>
    <w:rsid w:val="00686EE4"/>
    <w:rsid w:val="00721338"/>
    <w:rsid w:val="008851DA"/>
    <w:rsid w:val="00AD543F"/>
    <w:rsid w:val="00BE3237"/>
    <w:rsid w:val="00C2F475"/>
    <w:rsid w:val="00CA065C"/>
    <w:rsid w:val="00CA27D7"/>
    <w:rsid w:val="00CC4ECA"/>
    <w:rsid w:val="00EA5E6D"/>
    <w:rsid w:val="00F35EE7"/>
    <w:rsid w:val="04C764AE"/>
    <w:rsid w:val="04DC9B94"/>
    <w:rsid w:val="059DE804"/>
    <w:rsid w:val="066FB113"/>
    <w:rsid w:val="06FB4C65"/>
    <w:rsid w:val="0A44E58B"/>
    <w:rsid w:val="0A6955F7"/>
    <w:rsid w:val="0D3687D1"/>
    <w:rsid w:val="0DA0F6B9"/>
    <w:rsid w:val="0E8AF78F"/>
    <w:rsid w:val="0E8B6B60"/>
    <w:rsid w:val="0FB600B7"/>
    <w:rsid w:val="10E6C0F3"/>
    <w:rsid w:val="1282E1FF"/>
    <w:rsid w:val="154112F7"/>
    <w:rsid w:val="15591512"/>
    <w:rsid w:val="15611D62"/>
    <w:rsid w:val="18636C30"/>
    <w:rsid w:val="1B59EEB3"/>
    <w:rsid w:val="1BD3065C"/>
    <w:rsid w:val="1CF8AA4A"/>
    <w:rsid w:val="1E172337"/>
    <w:rsid w:val="1E55B65C"/>
    <w:rsid w:val="1EB85CB2"/>
    <w:rsid w:val="1F3CAA3E"/>
    <w:rsid w:val="21C955DB"/>
    <w:rsid w:val="23FC9A32"/>
    <w:rsid w:val="24ED5D6C"/>
    <w:rsid w:val="25265F02"/>
    <w:rsid w:val="25422E65"/>
    <w:rsid w:val="257A88C1"/>
    <w:rsid w:val="25C0DC2A"/>
    <w:rsid w:val="28AB7EA3"/>
    <w:rsid w:val="2953A169"/>
    <w:rsid w:val="2C09D706"/>
    <w:rsid w:val="2E8E0530"/>
    <w:rsid w:val="2EB28BFB"/>
    <w:rsid w:val="2EB418EB"/>
    <w:rsid w:val="304E5C5C"/>
    <w:rsid w:val="311043DD"/>
    <w:rsid w:val="33975836"/>
    <w:rsid w:val="33AA5DC2"/>
    <w:rsid w:val="33B591E3"/>
    <w:rsid w:val="354C59ED"/>
    <w:rsid w:val="35E866B1"/>
    <w:rsid w:val="3776DA41"/>
    <w:rsid w:val="37904AF0"/>
    <w:rsid w:val="383A444B"/>
    <w:rsid w:val="3853C4C9"/>
    <w:rsid w:val="3A811101"/>
    <w:rsid w:val="3BC92AD6"/>
    <w:rsid w:val="3C57A835"/>
    <w:rsid w:val="3D38434A"/>
    <w:rsid w:val="3D64FB37"/>
    <w:rsid w:val="3E02FC1B"/>
    <w:rsid w:val="3EC8AE1D"/>
    <w:rsid w:val="40E462CF"/>
    <w:rsid w:val="40E6B9E1"/>
    <w:rsid w:val="40E97C68"/>
    <w:rsid w:val="41616493"/>
    <w:rsid w:val="433401D2"/>
    <w:rsid w:val="438E5C71"/>
    <w:rsid w:val="443C4007"/>
    <w:rsid w:val="45D8E078"/>
    <w:rsid w:val="460CE6C4"/>
    <w:rsid w:val="46A5C586"/>
    <w:rsid w:val="46A9ED73"/>
    <w:rsid w:val="4788842A"/>
    <w:rsid w:val="47A85AA7"/>
    <w:rsid w:val="47FBEAF7"/>
    <w:rsid w:val="48B6BD98"/>
    <w:rsid w:val="48BD0A10"/>
    <w:rsid w:val="4925A5D6"/>
    <w:rsid w:val="493E18C3"/>
    <w:rsid w:val="4AF31C8B"/>
    <w:rsid w:val="4BD8442E"/>
    <w:rsid w:val="4C3613F0"/>
    <w:rsid w:val="4D830C87"/>
    <w:rsid w:val="4EF87734"/>
    <w:rsid w:val="4EFA2131"/>
    <w:rsid w:val="529CAA54"/>
    <w:rsid w:val="5346DFFE"/>
    <w:rsid w:val="54EBBC5C"/>
    <w:rsid w:val="55F9E754"/>
    <w:rsid w:val="56F00AE7"/>
    <w:rsid w:val="56FF4F14"/>
    <w:rsid w:val="58312153"/>
    <w:rsid w:val="58489307"/>
    <w:rsid w:val="589BB971"/>
    <w:rsid w:val="59129F9D"/>
    <w:rsid w:val="5994D52E"/>
    <w:rsid w:val="5FEE1DB3"/>
    <w:rsid w:val="5FF76BFF"/>
    <w:rsid w:val="6009D5C6"/>
    <w:rsid w:val="607DC4D0"/>
    <w:rsid w:val="609AA6B1"/>
    <w:rsid w:val="612D79E7"/>
    <w:rsid w:val="615A4585"/>
    <w:rsid w:val="634FA1C5"/>
    <w:rsid w:val="6494AD44"/>
    <w:rsid w:val="64F2AD60"/>
    <w:rsid w:val="657189CA"/>
    <w:rsid w:val="65DEEEBA"/>
    <w:rsid w:val="661BC247"/>
    <w:rsid w:val="66A530AD"/>
    <w:rsid w:val="677873BC"/>
    <w:rsid w:val="67C3C3E2"/>
    <w:rsid w:val="681AAD2D"/>
    <w:rsid w:val="684744FF"/>
    <w:rsid w:val="6858E586"/>
    <w:rsid w:val="68A92A8C"/>
    <w:rsid w:val="692AADFC"/>
    <w:rsid w:val="6A577B7B"/>
    <w:rsid w:val="6C28004D"/>
    <w:rsid w:val="6C88FA69"/>
    <w:rsid w:val="6D7C9BAF"/>
    <w:rsid w:val="6E51D136"/>
    <w:rsid w:val="6F186C10"/>
    <w:rsid w:val="6FA0C22C"/>
    <w:rsid w:val="70392E87"/>
    <w:rsid w:val="71D4FEE8"/>
    <w:rsid w:val="720AFDA8"/>
    <w:rsid w:val="72389DA4"/>
    <w:rsid w:val="73177F8A"/>
    <w:rsid w:val="742CDC19"/>
    <w:rsid w:val="7470AEC9"/>
    <w:rsid w:val="74B34FEB"/>
    <w:rsid w:val="755A899E"/>
    <w:rsid w:val="75EBA9F3"/>
    <w:rsid w:val="76C8B8A8"/>
    <w:rsid w:val="7713A3E4"/>
    <w:rsid w:val="77667843"/>
    <w:rsid w:val="77B2670C"/>
    <w:rsid w:val="7B4BA388"/>
    <w:rsid w:val="7B9C29CB"/>
    <w:rsid w:val="7CF63D1F"/>
    <w:rsid w:val="7DFE68B2"/>
    <w:rsid w:val="7ED3CA8D"/>
    <w:rsid w:val="7EFE5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chat.openai.co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png" Id="Rfa3b15053a3b462d" /><Relationship Type="http://schemas.openxmlformats.org/officeDocument/2006/relationships/image" Target="/media/image3.png" Id="R962979977ec44376" /><Relationship Type="http://schemas.openxmlformats.org/officeDocument/2006/relationships/image" Target="/media/image4.png" Id="R616d8395f88a4f6c" /><Relationship Type="http://schemas.openxmlformats.org/officeDocument/2006/relationships/hyperlink" Target="https://gitleaks.io/index.html" TargetMode="External" Id="R8793fd0186c340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www.w3.org/2000/xmlns/"/>
    <ds:schemaRef ds:uri="77252ad1-05a0-43c0-94e8-7b806562f2e0"/>
    <ds:schemaRef ds:uri="http://schemas.microsoft.com/office/infopath/2007/PartnerControls"/>
    <ds:schemaRef ds:uri="d3f73e42-daf7-45f1-a950-0ef4cc04dd1a"/>
    <ds:schemaRef ds:uri="http://www.w3.org/2001/XMLSchema-instance"/>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0/xmlns/"/>
    <ds:schemaRef ds:uri="http://www.w3.org/2001/XMLSchema"/>
    <ds:schemaRef ds:uri="77252ad1-05a0-43c0-94e8-7b806562f2e0"/>
    <ds:schemaRef ds:uri="d3f73e42-daf7-45f1-a950-0ef4cc04dd1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JASPRIYA KAUR</lastModifiedBy>
  <revision>4</revision>
  <dcterms:created xsi:type="dcterms:W3CDTF">2024-04-11T01:26:00.0000000Z</dcterms:created>
  <dcterms:modified xsi:type="dcterms:W3CDTF">2024-04-14T08:55:06.5284141Z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