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68A801AB" w:rsidR="7B4BA388" w:rsidRPr="00BE3237" w:rsidRDefault="00BE3237" w:rsidP="56F00AE7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AC290B">
        <w:rPr>
          <w:rFonts w:ascii="Century Gothic" w:hAnsi="Century Gothic"/>
          <w:color w:val="0070C0"/>
        </w:rPr>
        <w:t>Exposure of data element to wrong session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2F108234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Payas </w:t>
            </w:r>
            <w:r w:rsidR="00AE5EAF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Paul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23A14842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0FB583F6" w:rsidR="4EFA2131" w:rsidRPr="00533EA6" w:rsidRDefault="145FBBD9" w:rsidP="778B6C7E">
            <w:pPr>
              <w:spacing w:line="259" w:lineRule="auto"/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>Senior Lead</w:t>
            </w:r>
          </w:p>
          <w:p w14:paraId="548E61B0" w14:textId="70120EFC" w:rsidR="4EFA2131" w:rsidRPr="00533EA6" w:rsidRDefault="4EFA2131" w:rsidP="70392E87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31AFF48B" w:rsidR="4EFA2131" w:rsidRPr="00533EA6" w:rsidRDefault="000C519E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Jaspriya</w:t>
            </w:r>
            <w:proofErr w:type="spellEnd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Kaur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49E14809" w14:textId="77777777" w:rsidR="00AE5EAF" w:rsidRPr="00BE3237" w:rsidRDefault="00AE5EAF" w:rsidP="154112F7">
      <w:pPr>
        <w:rPr>
          <w:rFonts w:ascii="Century Gothic" w:hAnsi="Century Gothic"/>
          <w:b/>
          <w:bCs/>
          <w:sz w:val="24"/>
          <w:szCs w:val="24"/>
        </w:rPr>
      </w:pPr>
    </w:p>
    <w:p w14:paraId="605C6082" w14:textId="3EBBD728" w:rsidR="48BD0A10" w:rsidRPr="00533EA6" w:rsidRDefault="48BD0A10" w:rsidP="48BD0A10">
      <w:pPr>
        <w:rPr>
          <w:rFonts w:ascii="Century Gothic" w:hAnsi="Century Gothic"/>
          <w:color w:val="0070C0"/>
        </w:rPr>
      </w:pPr>
    </w:p>
    <w:p w14:paraId="50911984" w14:textId="18294CEC" w:rsidR="2953A169" w:rsidRPr="00BE3237" w:rsidRDefault="2953A169" w:rsidP="56F00AE7">
      <w:pPr>
        <w:rPr>
          <w:rFonts w:ascii="Century Gothic" w:hAnsi="Century Gothic"/>
        </w:rPr>
      </w:pPr>
      <w:r w:rsidRPr="4AF31C8B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4AF31C8B">
        <w:rPr>
          <w:rFonts w:ascii="Century Gothic" w:hAnsi="Century Gothic"/>
        </w:rPr>
        <w:t>Impact:</w:t>
      </w:r>
      <w:r w:rsidR="00AE5EAF">
        <w:rPr>
          <w:rFonts w:ascii="Century Gothic" w:hAnsi="Century Gothic"/>
        </w:rPr>
        <w:t xml:space="preserve"> Significant </w:t>
      </w:r>
      <w:r>
        <w:br/>
      </w:r>
      <w:r w:rsidR="40E462CF" w:rsidRPr="4AF31C8B">
        <w:rPr>
          <w:rFonts w:ascii="Century Gothic" w:hAnsi="Century Gothic"/>
        </w:rPr>
        <w:t xml:space="preserve">Likelihood: </w:t>
      </w:r>
      <w:r w:rsidR="00AE5EAF">
        <w:rPr>
          <w:rFonts w:ascii="Century Gothic" w:hAnsi="Century Gothic"/>
        </w:rPr>
        <w:t>Moderate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may occur and/or if it did, it happens in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could occur occasionally and/or could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344D7158" w14:textId="77777777" w:rsidR="000C519E" w:rsidRPr="000C519E" w:rsidRDefault="003F7E2F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F7E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="000C519E"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Denial of Service (DoS) Vulnerability:</w:t>
      </w:r>
    </w:p>
    <w:p w14:paraId="1A020C65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The CVE-2023-26141 vulnerability in the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sidekiq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package could allow an attacker to cause a DoS condition by manipulating the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localStorage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value.</w:t>
      </w:r>
    </w:p>
    <w:p w14:paraId="5BA246D9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 successful DoS attack could disrupt the availability of the affected systems and services, leading to downtime, loss of productivity, and potential reputational damage.</w:t>
      </w:r>
    </w:p>
    <w:p w14:paraId="7B84C998" w14:textId="77777777" w:rsidR="000C519E" w:rsidRPr="000C519E" w:rsidRDefault="000C519E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Potential Data Exposure:</w:t>
      </w:r>
    </w:p>
    <w:p w14:paraId="3036D976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vulnerability is described as an "Exposure of Data Element to Wrong Session" issue, which could result in the leakage of sensitive user session information.</w:t>
      </w:r>
    </w:p>
    <w:p w14:paraId="4341467B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Data exposure incidents can have severe consequences, including the compromise of user accounts, theft of confidential data, and regulatory compliance issues (e.g., GDPR, HIPAA).</w:t>
      </w:r>
    </w:p>
    <w:p w14:paraId="3A39A284" w14:textId="77777777" w:rsidR="000C519E" w:rsidRPr="000C519E" w:rsidRDefault="000C519E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Exploitation and Public Disclosure:</w:t>
      </w:r>
    </w:p>
    <w:p w14:paraId="501C86E2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search results indicate that the vulnerability has been publicly disclosed, meaning that details about the issue are available to potential attackers.</w:t>
      </w:r>
    </w:p>
    <w:p w14:paraId="716F5946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availability of exploit information increases the risk of the vulnerability being actively exploited, which could lead to further data breaches, system compromises, and financial losses.</w:t>
      </w:r>
    </w:p>
    <w:p w14:paraId="57C0D614" w14:textId="77777777" w:rsidR="000C519E" w:rsidRPr="000C519E" w:rsidRDefault="000C519E" w:rsidP="000C519E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Potential Cascading Effects:</w:t>
      </w:r>
    </w:p>
    <w:p w14:paraId="1BE19CA7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If the vulnerable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sidekiq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package is used in other applications or systems, the impact of the vulnerability could extend beyond the initial affected component.</w:t>
      </w:r>
    </w:p>
    <w:p w14:paraId="39436EE9" w14:textId="77777777" w:rsidR="000C519E" w:rsidRPr="000C519E" w:rsidRDefault="000C519E" w:rsidP="000C519E">
      <w:pPr>
        <w:numPr>
          <w:ilvl w:val="1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This could result in a wider security breach, affecting multiple systems and potentially exposing additional sensitive data or resources.</w:t>
      </w:r>
    </w:p>
    <w:p w14:paraId="7253CF2E" w14:textId="6B02BBFB" w:rsidR="5994D52E" w:rsidRPr="003F7E2F" w:rsidRDefault="003F7E2F" w:rsidP="003F7E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F7E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  <w:r w:rsidR="5994D52E"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776F7BAB" w14:textId="3985900B" w:rsidR="000C519E" w:rsidRPr="000C519E" w:rsidRDefault="000C519E" w:rsidP="000C519E">
      <w:pPr>
        <w:numPr>
          <w:ilvl w:val="0"/>
          <w:numId w:val="9"/>
        </w:numPr>
        <w:rPr>
          <w:rFonts w:ascii="Century Gothic" w:eastAsia="Calibri" w:hAnsi="Century Gothic" w:cs="Calibri"/>
          <w:sz w:val="24"/>
          <w:szCs w:val="24"/>
          <w:lang w:val="en-AU"/>
        </w:rPr>
      </w:pPr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V</w:t>
      </w:r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ersions of the package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sidekiq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before 7.1.3.</w:t>
      </w:r>
    </w:p>
    <w:p w14:paraId="7D7BA0F5" w14:textId="0AE858FE" w:rsidR="6009D5C6" w:rsidRPr="000C519E" w:rsidRDefault="000C519E" w:rsidP="000C519E">
      <w:pPr>
        <w:rPr>
          <w:rFonts w:ascii="Century Gothic" w:eastAsia="Calibri" w:hAnsi="Century Gothic" w:cs="Calibri"/>
          <w:sz w:val="24"/>
          <w:szCs w:val="24"/>
        </w:rPr>
      </w:pPr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The vulnerability description states that "Versions of the package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sidekiq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before 7.1.3 are vulnerable to Denial of Service (DoS) due to insufficient checks in the </w:t>
      </w:r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lastRenderedPageBreak/>
        <w:t xml:space="preserve">dashboard-charts.js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file."This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indicates that the vulnerable component is the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sidekiq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package, specifically versions prior to 7.1.3. An attacker can exploit this vulnerability by manipulating the </w:t>
      </w:r>
      <w:proofErr w:type="spellStart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>localStorage</w:t>
      </w:r>
      <w:proofErr w:type="spellEnd"/>
      <w:r w:rsidRPr="000C519E">
        <w:rPr>
          <w:rFonts w:ascii="Century Gothic" w:eastAsia="Calibri" w:hAnsi="Century Gothic" w:cs="Calibri"/>
          <w:sz w:val="24"/>
          <w:szCs w:val="24"/>
          <w:lang w:val="en-AU"/>
        </w:rPr>
        <w:t xml:space="preserve"> value, which will cause excessive polling requests and lead to a Denial of Service (DoS) condition.</w:t>
      </w:r>
    </w:p>
    <w:p w14:paraId="69B7DB13" w14:textId="7D947FB1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44ECCB12" w14:textId="2B388B44" w:rsidR="00CC4ECA" w:rsidRPr="00686EE4" w:rsidRDefault="00CC4ECA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Provide a </w:t>
      </w:r>
      <w:proofErr w:type="gramStart"/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>step by step</w:t>
      </w:r>
      <w:proofErr w:type="gramEnd"/>
      <w:r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 guide on how to reproduce the vulnerability</w:t>
      </w:r>
      <w:r w:rsidR="00686EE4" w:rsidRPr="00686EE4">
        <w:rPr>
          <w:rFonts w:ascii="Century Gothic" w:eastAsia="Calibri" w:hAnsi="Century Gothic" w:cs="Calibri"/>
          <w:color w:val="0070C0"/>
          <w:sz w:val="24"/>
          <w:szCs w:val="24"/>
        </w:rPr>
        <w:t xml:space="preserve"> with screenshots</w:t>
      </w:r>
    </w:p>
    <w:p w14:paraId="1478894A" w14:textId="2FF42BE4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 xml:space="preserve">Step 1. </w:t>
      </w:r>
    </w:p>
    <w:p w14:paraId="4E66D4F0" w14:textId="640D37FF" w:rsidR="00AE5EAF" w:rsidRPr="00686EE4" w:rsidRDefault="00AE5EAF" w:rsidP="6009D5C6">
      <w:pPr>
        <w:rPr>
          <w:rFonts w:ascii="Century Gothic" w:eastAsia="Calibri" w:hAnsi="Century Gothic" w:cs="Calibri"/>
          <w:b/>
          <w:bCs/>
          <w:color w:val="0070C0"/>
        </w:rPr>
      </w:pPr>
      <w:r>
        <w:rPr>
          <w:rFonts w:ascii="Century Gothic" w:eastAsia="Calibri" w:hAnsi="Century Gothic" w:cs="Calibri"/>
          <w:b/>
          <w:bCs/>
          <w:color w:val="0070C0"/>
        </w:rPr>
        <w:t xml:space="preserve">Go to </w:t>
      </w:r>
      <w:proofErr w:type="spellStart"/>
      <w:r>
        <w:rPr>
          <w:rFonts w:ascii="Century Gothic" w:eastAsia="Calibri" w:hAnsi="Century Gothic" w:cs="Calibri"/>
          <w:b/>
          <w:bCs/>
          <w:color w:val="0070C0"/>
        </w:rPr>
        <w:t>doubtfire</w:t>
      </w:r>
      <w:proofErr w:type="spellEnd"/>
      <w:r>
        <w:rPr>
          <w:rFonts w:ascii="Century Gothic" w:eastAsia="Calibri" w:hAnsi="Century Gothic" w:cs="Calibri"/>
          <w:b/>
          <w:bCs/>
          <w:color w:val="0070C0"/>
        </w:rPr>
        <w:t>-deploy/</w:t>
      </w:r>
      <w:proofErr w:type="spellStart"/>
      <w:r>
        <w:rPr>
          <w:rFonts w:ascii="Century Gothic" w:eastAsia="Calibri" w:hAnsi="Century Gothic" w:cs="Calibri"/>
          <w:b/>
          <w:bCs/>
          <w:color w:val="0070C0"/>
        </w:rPr>
        <w:t>doubtfire-api</w:t>
      </w:r>
      <w:proofErr w:type="spellEnd"/>
      <w:r>
        <w:rPr>
          <w:rFonts w:ascii="Century Gothic" w:eastAsia="Calibri" w:hAnsi="Century Gothic" w:cs="Calibri"/>
          <w:b/>
          <w:bCs/>
          <w:color w:val="0070C0"/>
        </w:rPr>
        <w:t>/</w:t>
      </w:r>
      <w:proofErr w:type="spellStart"/>
      <w:r>
        <w:rPr>
          <w:rFonts w:ascii="Century Gothic" w:eastAsia="Calibri" w:hAnsi="Century Gothic" w:cs="Calibri"/>
          <w:b/>
          <w:bCs/>
          <w:color w:val="0070C0"/>
        </w:rPr>
        <w:t>Gemfile.lock</w:t>
      </w:r>
      <w:proofErr w:type="spellEnd"/>
      <w:r>
        <w:rPr>
          <w:rFonts w:ascii="Century Gothic" w:eastAsia="Calibri" w:hAnsi="Century Gothic" w:cs="Calibri"/>
          <w:b/>
          <w:bCs/>
          <w:color w:val="0070C0"/>
        </w:rPr>
        <w:t xml:space="preserve"> - </w:t>
      </w:r>
      <w:r>
        <w:rPr>
          <w:rFonts w:ascii="Century Gothic" w:eastAsia="Calibri" w:hAnsi="Century Gothic" w:cs="Calibri"/>
          <w:b/>
          <w:bCs/>
          <w:color w:val="0070C0"/>
        </w:rPr>
        <w:tab/>
        <w:t xml:space="preserve">Line </w:t>
      </w:r>
      <w:r w:rsidR="00AC290B">
        <w:rPr>
          <w:rFonts w:ascii="Century Gothic" w:eastAsia="Calibri" w:hAnsi="Century Gothic" w:cs="Calibri"/>
          <w:b/>
          <w:bCs/>
          <w:color w:val="0070C0"/>
        </w:rPr>
        <w:t>257</w:t>
      </w:r>
    </w:p>
    <w:p w14:paraId="7B6E1590" w14:textId="771D77D3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2.</w:t>
      </w:r>
    </w:p>
    <w:p w14:paraId="11008E69" w14:textId="4470EF01" w:rsidR="003F7E2F" w:rsidRPr="00686EE4" w:rsidRDefault="00AC290B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AC290B">
        <w:rPr>
          <w:rFonts w:ascii="Century Gothic" w:eastAsia="Calibri" w:hAnsi="Century Gothic" w:cs="Calibri"/>
          <w:b/>
          <w:bCs/>
          <w:noProof/>
          <w:color w:val="0070C0"/>
        </w:rPr>
        <w:drawing>
          <wp:inline distT="0" distB="0" distL="0" distR="0" wp14:anchorId="3B8DC4F7" wp14:editId="4437D00B">
            <wp:extent cx="5943600" cy="2630170"/>
            <wp:effectExtent l="0" t="0" r="0" b="0"/>
            <wp:docPr id="182763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0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C88B" w14:textId="51F08885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</w:p>
    <w:p w14:paraId="6ED60111" w14:textId="1CFCE064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060B4E12" w14:textId="74C8BF8C" w:rsidR="003F7E2F" w:rsidRDefault="003F7E2F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The following steps can be taken to fix this issue.</w:t>
      </w:r>
    </w:p>
    <w:p w14:paraId="1C168272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Upgrade the affected package to a version that resolves the "Exposure of Data Element to Wrong Session" issue.</w:t>
      </w:r>
    </w:p>
    <w:p w14:paraId="26972103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Change the default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behavior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to prevent sending a Set-Cookie header along with the user's session cookie when serving blobs.</w:t>
      </w:r>
    </w:p>
    <w:p w14:paraId="0EDA4284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Set Cache-Control to private to avoid potential information leakage.</w:t>
      </w:r>
    </w:p>
    <w:p w14:paraId="66366DEF" w14:textId="77777777" w:rsid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Ensure proxies do not cache the Set-Cookie header to prevent unintended sharing of the session.</w:t>
      </w:r>
    </w:p>
    <w:p w14:paraId="1368D57C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Promptly apply the available patch or upgrade to the affected </w:t>
      </w:r>
      <w:proofErr w:type="spellStart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sidekiq</w:t>
      </w:r>
      <w:proofErr w:type="spellEnd"/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package to address the vulnerability.</w:t>
      </w:r>
    </w:p>
    <w:p w14:paraId="37D2C46C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t>Assess the potential impact on any other systems or applications that may be using the vulnerable package.</w:t>
      </w:r>
    </w:p>
    <w:p w14:paraId="2BC63CED" w14:textId="77777777" w:rsidR="000C519E" w:rsidRPr="000C519E" w:rsidRDefault="000C519E" w:rsidP="000C519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C519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Review and strengthen security controls, such as network segmentation, access management, and monitoring, to detect and respond to any potential exploitation attempts.</w:t>
      </w:r>
    </w:p>
    <w:p w14:paraId="5C7B81F8" w14:textId="77777777" w:rsidR="000C519E" w:rsidRPr="000C519E" w:rsidRDefault="000C519E" w:rsidP="000C51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2FD341F" w14:textId="6C711D2F" w:rsidR="003F7E2F" w:rsidRPr="003F7E2F" w:rsidRDefault="003F7E2F" w:rsidP="003F7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3F7E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</w:r>
    </w:p>
    <w:p w14:paraId="7BF24CA9" w14:textId="42BF042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51B6088F" w14:textId="6EA69DD2" w:rsidR="008A0450" w:rsidRDefault="008A0450" w:rsidP="6009D5C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OWASP JSON Web Token Cheat Sheet:</w:t>
      </w:r>
      <w:r>
        <w:rPr>
          <w:rFonts w:ascii="Segoe UI" w:hAnsi="Segoe UI" w:cs="Segoe UI"/>
          <w:color w:val="0D0D0D"/>
          <w:shd w:val="clear" w:color="auto" w:fill="FFFFFF"/>
        </w:rPr>
        <w:t xml:space="preserve"> Provides guidance on securely implementing JWTs: </w:t>
      </w:r>
      <w:hyperlink r:id="rId12" w:history="1">
        <w:r w:rsidRPr="00C7379F">
          <w:rPr>
            <w:rStyle w:val="Hyperlink"/>
            <w:rFonts w:ascii="Segoe UI" w:hAnsi="Segoe UI" w:cs="Segoe UI"/>
            <w:shd w:val="clear" w:color="auto" w:fill="FFFFFF"/>
          </w:rPr>
          <w:t>https://cheatsheetseries.owasp.org/cheatsheets/JSON_Web_Token_for_Java_Cheat_Sheet.html</w:t>
        </w:r>
      </w:hyperlink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E254538" w14:textId="4A799028" w:rsidR="008A0450" w:rsidRPr="00BE3237" w:rsidRDefault="008A0450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  <w:r w:rsidRPr="008A0450">
        <w:rPr>
          <w:rFonts w:ascii="Segoe UI" w:hAnsi="Segoe UI" w:cs="Segoe UI"/>
          <w:b/>
          <w:bCs/>
          <w:color w:val="0D0D0D"/>
          <w:shd w:val="clear" w:color="auto" w:fill="FFFFFF"/>
        </w:rPr>
        <w:t>online tutorials</w:t>
      </w:r>
      <w:r>
        <w:rPr>
          <w:rFonts w:ascii="Segoe UI" w:hAnsi="Segoe UI" w:cs="Segoe UI"/>
          <w:color w:val="0D0D0D"/>
          <w:shd w:val="clear" w:color="auto" w:fill="FFFFFF"/>
        </w:rPr>
        <w:t xml:space="preserve"> - </w:t>
      </w:r>
    </w:p>
    <w:p w14:paraId="623F4A6E" w14:textId="4AD71AFB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568C48DF" w14:textId="7B661413" w:rsidR="6009D5C6" w:rsidRDefault="008A0450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Payas Paul</w:t>
      </w:r>
    </w:p>
    <w:p w14:paraId="776815BD" w14:textId="5585D8B0" w:rsidR="008A0450" w:rsidRPr="00686EE4" w:rsidRDefault="008A0450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>612payaspaul@gmail.com</w:t>
      </w:r>
    </w:p>
    <w:p w14:paraId="20BCDEBA" w14:textId="189B684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E9CA1" w14:textId="77777777" w:rsidR="00E6431E" w:rsidRDefault="00E6431E" w:rsidP="00CA27D7">
      <w:pPr>
        <w:spacing w:after="0" w:line="240" w:lineRule="auto"/>
      </w:pPr>
      <w:r>
        <w:separator/>
      </w:r>
    </w:p>
  </w:endnote>
  <w:endnote w:type="continuationSeparator" w:id="0">
    <w:p w14:paraId="0B0393F0" w14:textId="77777777" w:rsidR="00E6431E" w:rsidRDefault="00E6431E" w:rsidP="00CA27D7">
      <w:pPr>
        <w:spacing w:after="0" w:line="240" w:lineRule="auto"/>
      </w:pPr>
      <w:r>
        <w:continuationSeparator/>
      </w:r>
    </w:p>
  </w:endnote>
  <w:endnote w:type="continuationNotice" w:id="1">
    <w:p w14:paraId="29A50C9B" w14:textId="77777777" w:rsidR="00E6431E" w:rsidRDefault="00E643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14B6" w14:textId="77777777" w:rsidR="00E6431E" w:rsidRDefault="00E6431E" w:rsidP="00CA27D7">
      <w:pPr>
        <w:spacing w:after="0" w:line="240" w:lineRule="auto"/>
      </w:pPr>
      <w:r>
        <w:separator/>
      </w:r>
    </w:p>
  </w:footnote>
  <w:footnote w:type="continuationSeparator" w:id="0">
    <w:p w14:paraId="37546DEB" w14:textId="77777777" w:rsidR="00E6431E" w:rsidRDefault="00E6431E" w:rsidP="00CA27D7">
      <w:pPr>
        <w:spacing w:after="0" w:line="240" w:lineRule="auto"/>
      </w:pPr>
      <w:r>
        <w:continuationSeparator/>
      </w:r>
    </w:p>
  </w:footnote>
  <w:footnote w:type="continuationNotice" w:id="1">
    <w:p w14:paraId="36B6EC95" w14:textId="77777777" w:rsidR="00E6431E" w:rsidRDefault="00E6431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501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79E6164"/>
    <w:multiLevelType w:val="multilevel"/>
    <w:tmpl w:val="29E8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2603"/>
    <w:multiLevelType w:val="multilevel"/>
    <w:tmpl w:val="D5A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D3A16"/>
    <w:multiLevelType w:val="multilevel"/>
    <w:tmpl w:val="3E14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564000">
    <w:abstractNumId w:val="0"/>
  </w:num>
  <w:num w:numId="2" w16cid:durableId="633683039">
    <w:abstractNumId w:val="7"/>
  </w:num>
  <w:num w:numId="3" w16cid:durableId="901720464">
    <w:abstractNumId w:val="8"/>
  </w:num>
  <w:num w:numId="4" w16cid:durableId="1650404008">
    <w:abstractNumId w:val="4"/>
  </w:num>
  <w:num w:numId="5" w16cid:durableId="1337536224">
    <w:abstractNumId w:val="6"/>
  </w:num>
  <w:num w:numId="6" w16cid:durableId="2111317919">
    <w:abstractNumId w:val="2"/>
  </w:num>
  <w:num w:numId="7" w16cid:durableId="1112163528">
    <w:abstractNumId w:val="5"/>
  </w:num>
  <w:num w:numId="8" w16cid:durableId="1579288897">
    <w:abstractNumId w:val="3"/>
  </w:num>
  <w:num w:numId="9" w16cid:durableId="940068565">
    <w:abstractNumId w:val="1"/>
  </w:num>
  <w:num w:numId="10" w16cid:durableId="849491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0C519E"/>
    <w:rsid w:val="003D5C2E"/>
    <w:rsid w:val="003F7E2F"/>
    <w:rsid w:val="0044D314"/>
    <w:rsid w:val="00533EA6"/>
    <w:rsid w:val="00640B7F"/>
    <w:rsid w:val="00657296"/>
    <w:rsid w:val="00686EE4"/>
    <w:rsid w:val="00721338"/>
    <w:rsid w:val="008A0450"/>
    <w:rsid w:val="00AC290B"/>
    <w:rsid w:val="00AD543F"/>
    <w:rsid w:val="00AE5EAF"/>
    <w:rsid w:val="00B27E9C"/>
    <w:rsid w:val="00B82369"/>
    <w:rsid w:val="00BE3237"/>
    <w:rsid w:val="00C2F475"/>
    <w:rsid w:val="00CA065C"/>
    <w:rsid w:val="00CA27D7"/>
    <w:rsid w:val="00CA7C18"/>
    <w:rsid w:val="00CC4ECA"/>
    <w:rsid w:val="00E6431E"/>
    <w:rsid w:val="00EA5E6D"/>
    <w:rsid w:val="00F35EE7"/>
    <w:rsid w:val="04C764AE"/>
    <w:rsid w:val="04DC9B94"/>
    <w:rsid w:val="0A44E58B"/>
    <w:rsid w:val="0A6955F7"/>
    <w:rsid w:val="0DA0F6B9"/>
    <w:rsid w:val="0E8AF78F"/>
    <w:rsid w:val="0E8B6B60"/>
    <w:rsid w:val="0FB600B7"/>
    <w:rsid w:val="145FBBD9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78B6C7E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F7E2F"/>
    <w:rPr>
      <w:b/>
      <w:bCs/>
    </w:rPr>
  </w:style>
  <w:style w:type="character" w:styleId="Hyperlink">
    <w:name w:val="Hyperlink"/>
    <w:basedOn w:val="DefaultParagraphFont"/>
    <w:uiPriority w:val="99"/>
    <w:unhideWhenUsed/>
    <w:rsid w:val="003F7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heatsheetseries.owasp.org/cheatsheets/JSON_Web_Token_for_Java_Cheat_Shee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PAYAS PAUL</cp:lastModifiedBy>
  <cp:revision>2</cp:revision>
  <dcterms:created xsi:type="dcterms:W3CDTF">2024-04-14T14:37:00Z</dcterms:created>
  <dcterms:modified xsi:type="dcterms:W3CDTF">2024-04-14T14:37:00Z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