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E00" w:rsidRDefault="00B94E00" w:rsidP="000D4243">
      <w:pPr>
        <w:jc w:val="center"/>
        <w:rPr>
          <w:b/>
          <w:bCs/>
          <w:sz w:val="32"/>
          <w:szCs w:val="32"/>
        </w:rPr>
      </w:pPr>
      <w:r w:rsidRPr="00B94E00">
        <w:rPr>
          <w:b/>
          <w:bCs/>
          <w:sz w:val="32"/>
          <w:szCs w:val="32"/>
        </w:rPr>
        <w:t>Metody numeryczne, projekt 1: wskaźnik MACD</w:t>
      </w:r>
    </w:p>
    <w:p w:rsidR="00B94E00" w:rsidRDefault="00B94E00" w:rsidP="00B94E00">
      <w:r>
        <w:t xml:space="preserve">Wskaźnik MACD, czyli wskaźnik zbieżności/rozbieżności średnich kroczących (ang.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>/</w:t>
      </w:r>
      <w:proofErr w:type="spellStart"/>
      <w:r>
        <w:t>divergence</w:t>
      </w:r>
      <w:proofErr w:type="spellEnd"/>
      <w:r>
        <w:t xml:space="preserve">), jest jednym z najpopularniejszych narzędzi w analizie technicznej instrumentów finansowych. Umożliwia identyfikację sygnałów kupna i sprzedaży, które mogą wspomóc ocenę sytuacji rynkowej, lecz należy traktować je jako pomocniczy element analizy technicznej, a nie jedyny fundament decyzji inwestycyjnych. Sygnały te często generowane są z opóźnieniem względem bieżących zmian cen, co sprawia, że wskaźnik MACD lepiej sprawdza się przy analizie długoterminowych trendów niż w strategiach krótkoterminowych. Do jego głównych zalet należą prostota implementacji oraz przejrzystość interpretacji wyników. Podstawą konstrukcji wskaźnika MACD jest wyznaczenie krzywych MACD i SIGNAL. </w:t>
      </w:r>
    </w:p>
    <w:p w:rsidR="00B94E00" w:rsidRDefault="00B94E00" w:rsidP="00B94E00">
      <w:r>
        <w:t xml:space="preserve">W popularnym podejściu krzywą MACD oblicza się jako różnicę następujących wykładniczych średnich kroczących: MACD = EMA12 − EMA26 gdzie: </w:t>
      </w:r>
    </w:p>
    <w:p w:rsidR="00B94E00" w:rsidRDefault="00B94E00" w:rsidP="00B94E00">
      <w:r>
        <w:t>• EMA12 oznacza 12-okresową wykładniczą średnią kroczącą,</w:t>
      </w:r>
    </w:p>
    <w:p w:rsidR="00B94E00" w:rsidRDefault="00B94E00" w:rsidP="00B94E00">
      <w:r>
        <w:t xml:space="preserve">• EMA26 oznacza 26-okresową wykładniczą średnią kroczącą. </w:t>
      </w:r>
    </w:p>
    <w:p w:rsidR="00B94E00" w:rsidRDefault="00B94E00" w:rsidP="00B94E00">
      <w:r>
        <w:t xml:space="preserve">Wartości parametrów 12 i 26 mogą być modyfikowane w celu optymalizacji wskaźnika dla konkretnego aktywa. Przy realizacji tego projektu wszelkie modyfikacje parametrów MACD(12,26,9) należy traktować jako zadania dodatkowe, a rezultaty obliczeń porównywać z MACD(12,26,9). </w:t>
      </w:r>
    </w:p>
    <w:p w:rsidR="00B94E00" w:rsidRDefault="00B94E00" w:rsidP="00B94E00">
      <w:r>
        <w:t xml:space="preserve">Linia SIGNAL to 9-okresowa wykładnicza średnia krocząca obliczana na podstawie wartości MACD. W analizie technicznej wartość 9 również może być modyfikowana w celu dostosowania wskaźnika do konkretnego aktywa. Przecięcia krzywych MACD i SIGNAL są interpretowane jako sygnały transakcyjne: </w:t>
      </w:r>
    </w:p>
    <w:p w:rsidR="00B94E00" w:rsidRDefault="00B94E00" w:rsidP="00B94E00">
      <w:r>
        <w:t xml:space="preserve">• przecięcie od dołu – sygnał kupna, </w:t>
      </w:r>
    </w:p>
    <w:p w:rsidR="00B94E00" w:rsidRDefault="00B94E00" w:rsidP="00B94E00">
      <w:r>
        <w:t xml:space="preserve">• przecięcie od góry – sygnał sprzedaży. </w:t>
      </w:r>
    </w:p>
    <w:p w:rsidR="00B94E00" w:rsidRDefault="00B94E00" w:rsidP="00B94E00">
      <w:r>
        <w:t xml:space="preserve">Wykładnicza średnia krocząca (ang.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EMA) jest odmianą średniej ważonej, w której wagi wcześniejszych cen maleją wykładniczo. Najczęściej EMA oblicza się na podstawie cen zamknięcia waloru w kolejnych przedziałach czasu1 . W porównaniu do prostej średniej ruchomej (ang.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SMA), obliczanej jako średnia z ostatnich N cen, EMA charakteryzuje się szybszą reakcją na zmiany ceny aktywa oraz uwzględnieniem wszystkich wcześniejszych cen przy jednoczesnym stopniowym zmniejszaniu ich wpływu. Ze względu na te właściwości, EMA znajduje zastosowanie m.in. w konstrukcji wskaźnika MACD. Wartość EMA dla i-tego przedziału czasu można obliczyć rekurencyjnie za pomocą zależności: EMAN (i) = α · xi + (1 − α) · EMAN (i − 1) (1) gdzie: </w:t>
      </w:r>
    </w:p>
    <w:p w:rsidR="00B94E00" w:rsidRDefault="00B94E00" w:rsidP="00B94E00">
      <w:r>
        <w:t xml:space="preserve">• cena zamknięcia w i-tym przedziale czasu (okresie): xi , </w:t>
      </w:r>
    </w:p>
    <w:p w:rsidR="00B94E00" w:rsidRDefault="00B94E00" w:rsidP="00B94E00">
      <w:r>
        <w:lastRenderedPageBreak/>
        <w:t xml:space="preserve">• liczba okresów: N, </w:t>
      </w:r>
    </w:p>
    <w:p w:rsidR="00B94E00" w:rsidRDefault="00B94E00" w:rsidP="00B94E00">
      <w:r>
        <w:t xml:space="preserve">• współczynnik wygładzający: α = 2 N + 1 . </w:t>
      </w:r>
    </w:p>
    <w:p w:rsidR="00B94E00" w:rsidRDefault="00B94E00" w:rsidP="00B94E00">
      <w:r>
        <w:t xml:space="preserve">Równanie (1) można przekształcić do postaci jawnej: </w:t>
      </w:r>
    </w:p>
    <w:p w:rsidR="00B94E00" w:rsidRDefault="00B94E00" w:rsidP="00B94E00">
      <w:r>
        <w:t xml:space="preserve">EMAN (i) = xi + (1 − α)xi−1 + (1 − α) 2xi−2 + · · · + (1 − α) ix0 1 + (1 − α) + (1 − α) 2 + · · · + (1 − α) </w:t>
      </w:r>
      <w:r>
        <w:rPr>
          <w:noProof/>
        </w:rPr>
        <w:drawing>
          <wp:inline distT="0" distB="0" distL="0" distR="0">
            <wp:extent cx="5764530" cy="2878455"/>
            <wp:effectExtent l="0" t="0" r="7620" b="0"/>
            <wp:docPr id="936594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00" w:rsidRDefault="00B94E00" w:rsidP="00B94E00">
      <w:r>
        <w:t xml:space="preserve">Rys.1 </w:t>
      </w:r>
      <w:r w:rsidR="00896A18">
        <w:t xml:space="preserve">Wykres giełdowy </w:t>
      </w:r>
      <w:proofErr w:type="spellStart"/>
      <w:r w:rsidR="00896A18">
        <w:t>Ubisoft</w:t>
      </w:r>
      <w:proofErr w:type="spellEnd"/>
      <w:r w:rsidR="00896A18">
        <w:t xml:space="preserve"> 2020-03-30 – 2025-03-10 (1270 próbek)</w:t>
      </w:r>
    </w:p>
    <w:p w:rsidR="005410A8" w:rsidRDefault="005410A8" w:rsidP="00B94E00">
      <w:r>
        <w:rPr>
          <w:noProof/>
        </w:rPr>
        <w:drawing>
          <wp:inline distT="0" distB="0" distL="0" distR="0" wp14:anchorId="75AD10F1" wp14:editId="0B6FEC55">
            <wp:extent cx="5760720" cy="2880360"/>
            <wp:effectExtent l="0" t="0" r="0" b="0"/>
            <wp:docPr id="36074310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 xml:space="preserve">Rys.2 Wykres giełdowy </w:t>
      </w:r>
      <w:proofErr w:type="spellStart"/>
      <w:r>
        <w:t>Capcom</w:t>
      </w:r>
      <w:proofErr w:type="spellEnd"/>
      <w:r>
        <w:t xml:space="preserve"> 2020-03-23 – 2025-03-21 (1220 próbek)</w:t>
      </w:r>
    </w:p>
    <w:p w:rsidR="005410A8" w:rsidRDefault="005410A8" w:rsidP="00B94E00"/>
    <w:p w:rsidR="00896A18" w:rsidRDefault="00896A18" w:rsidP="00B94E00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11664990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18" w:rsidRDefault="00896A18" w:rsidP="00B94E00">
      <w:r>
        <w:t>Rys.</w:t>
      </w:r>
      <w:r w:rsidR="005410A8">
        <w:t>3</w:t>
      </w:r>
      <w:r>
        <w:t xml:space="preserve"> Wykres MACD/SIGNAL dla </w:t>
      </w:r>
      <w:proofErr w:type="spellStart"/>
      <w:r>
        <w:t>Ubisoft</w:t>
      </w:r>
      <w:proofErr w:type="spellEnd"/>
      <w:r>
        <w:t xml:space="preserve"> 2020-03-30 – 2025-03-10 (1270 próbek)</w:t>
      </w:r>
    </w:p>
    <w:p w:rsidR="005410A8" w:rsidRDefault="005410A8" w:rsidP="00B94E00">
      <w:r>
        <w:rPr>
          <w:noProof/>
        </w:rPr>
        <w:drawing>
          <wp:inline distT="0" distB="0" distL="0" distR="0" wp14:anchorId="320E1454" wp14:editId="612EB554">
            <wp:extent cx="5760720" cy="2880360"/>
            <wp:effectExtent l="0" t="0" r="0" b="0"/>
            <wp:docPr id="100724328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B94E00">
      <w:r>
        <w:t xml:space="preserve">Rys.4 Wykres MACD/SIGNAL dla </w:t>
      </w:r>
      <w:proofErr w:type="spellStart"/>
      <w:r>
        <w:t>Capcom</w:t>
      </w:r>
      <w:proofErr w:type="spellEnd"/>
      <w:r>
        <w:t xml:space="preserve"> 2020-03-23 – 2025-03-21 (1220</w:t>
      </w:r>
      <w:r w:rsidRPr="005410A8">
        <w:t xml:space="preserve"> </w:t>
      </w:r>
      <w:r>
        <w:t>próbek)</w:t>
      </w:r>
    </w:p>
    <w:p w:rsidR="00896A18" w:rsidRDefault="00896A18" w:rsidP="00B94E00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204815907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18" w:rsidRDefault="00896A18" w:rsidP="00896A18">
      <w:r>
        <w:t>Rys.</w:t>
      </w:r>
      <w:r w:rsidR="005410A8">
        <w:t>5</w:t>
      </w:r>
      <w:r>
        <w:t xml:space="preserve"> Wykres giełdowy </w:t>
      </w:r>
      <w:proofErr w:type="spellStart"/>
      <w:r>
        <w:t>Ubisoft</w:t>
      </w:r>
      <w:proofErr w:type="spellEnd"/>
      <w:r>
        <w:t xml:space="preserve"> wraz ze wskaźnikami zakupu i sprzedaży MACD 2020-03-30 – 2025-03-10 (1270 próbek)</w:t>
      </w:r>
    </w:p>
    <w:p w:rsidR="005410A8" w:rsidRDefault="005410A8" w:rsidP="00896A18">
      <w:r>
        <w:rPr>
          <w:noProof/>
        </w:rPr>
        <w:drawing>
          <wp:inline distT="0" distB="0" distL="0" distR="0" wp14:anchorId="0017270A" wp14:editId="13415725">
            <wp:extent cx="5760720" cy="2880360"/>
            <wp:effectExtent l="0" t="0" r="0" b="0"/>
            <wp:docPr id="46433303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 xml:space="preserve">Rys.6 Wykres giełdowy </w:t>
      </w:r>
      <w:proofErr w:type="spellStart"/>
      <w:r>
        <w:t>Capcom</w:t>
      </w:r>
      <w:proofErr w:type="spellEnd"/>
      <w:r>
        <w:t xml:space="preserve"> wraz ze wskaźnikami zakupu i sprzedaży MACD 2020-03-23 – 2025-03-21 (1220 próbek)</w:t>
      </w:r>
    </w:p>
    <w:p w:rsidR="005410A8" w:rsidRDefault="005410A8" w:rsidP="00896A18"/>
    <w:p w:rsidR="00D71F97" w:rsidRDefault="00D71F97" w:rsidP="00896A18">
      <w:r>
        <w:t xml:space="preserve">Analiza wybranych odcinków </w:t>
      </w:r>
    </w:p>
    <w:p w:rsidR="00D71F97" w:rsidRDefault="00D71F97" w:rsidP="00896A18">
      <w:r>
        <w:rPr>
          <w:noProof/>
        </w:rPr>
        <w:lastRenderedPageBreak/>
        <w:drawing>
          <wp:inline distT="0" distB="0" distL="0" distR="0">
            <wp:extent cx="5764530" cy="2878455"/>
            <wp:effectExtent l="0" t="0" r="7620" b="0"/>
            <wp:docPr id="176987464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97" w:rsidRDefault="00D71F97" w:rsidP="00896A18">
      <w:r>
        <w:t>Rys.</w:t>
      </w:r>
      <w:r w:rsidR="005410A8">
        <w:t>7</w:t>
      </w:r>
      <w:r>
        <w:t xml:space="preserve"> Wykres MACD/SIGNAL dla </w:t>
      </w:r>
      <w:proofErr w:type="spellStart"/>
      <w:r>
        <w:t>Ubisoft</w:t>
      </w:r>
      <w:proofErr w:type="spellEnd"/>
      <w:r>
        <w:t xml:space="preserve"> (próbki 600 – 800)</w:t>
      </w:r>
    </w:p>
    <w:p w:rsidR="00A22B17" w:rsidRDefault="00A22B17" w:rsidP="00896A18">
      <w:r>
        <w:rPr>
          <w:noProof/>
        </w:rPr>
        <w:drawing>
          <wp:inline distT="0" distB="0" distL="0" distR="0">
            <wp:extent cx="5759450" cy="2882900"/>
            <wp:effectExtent l="0" t="0" r="0" b="0"/>
            <wp:docPr id="133548588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896A18">
      <w:r>
        <w:t>Rys.</w:t>
      </w:r>
      <w:r w:rsidR="005410A8">
        <w:t>8</w:t>
      </w:r>
      <w:r>
        <w:t xml:space="preserve"> Wykres akcji dla </w:t>
      </w:r>
      <w:proofErr w:type="spellStart"/>
      <w:r>
        <w:t>Ubisoft</w:t>
      </w:r>
      <w:proofErr w:type="spellEnd"/>
      <w:r>
        <w:t xml:space="preserve"> (próbki 600 – 800)</w:t>
      </w:r>
    </w:p>
    <w:p w:rsidR="00A22B17" w:rsidRDefault="00A22B17" w:rsidP="00896A18">
      <w:r>
        <w:t>Tabela transakcji dla okresu 600-800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960"/>
        <w:gridCol w:w="960"/>
        <w:gridCol w:w="1171"/>
        <w:gridCol w:w="1171"/>
        <w:gridCol w:w="1040"/>
      </w:tblGrid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 xml:space="preserve">Nr. </w:t>
            </w:r>
            <w:proofErr w:type="spellStart"/>
            <w:r w:rsidRPr="000D4243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sprzedaży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sprzedaży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>
            <w:r w:rsidRPr="000D4243">
              <w:t>zysk w %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46.15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43.74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624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-5,22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44.72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43.16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626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-3,49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28.19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650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25.30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682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-10,25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26.81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684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25.95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699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-3,23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26.25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707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25.07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715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-4,50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18.97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732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22.15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767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16,78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-9,91</w:t>
            </w:r>
          </w:p>
        </w:tc>
      </w:tr>
    </w:tbl>
    <w:p w:rsidR="000D4243" w:rsidRDefault="000D4243" w:rsidP="00896A18"/>
    <w:p w:rsidR="00D71F97" w:rsidRDefault="000D4243" w:rsidP="00896A18">
      <w:r>
        <w:rPr>
          <w:noProof/>
        </w:rPr>
        <w:drawing>
          <wp:inline distT="0" distB="0" distL="0" distR="0">
            <wp:extent cx="5764530" cy="2878455"/>
            <wp:effectExtent l="0" t="0" r="7620" b="0"/>
            <wp:docPr id="31316463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A22B17">
      <w:r>
        <w:t>Rys.</w:t>
      </w:r>
      <w:r w:rsidR="005410A8">
        <w:t>9</w:t>
      </w:r>
      <w:r>
        <w:t xml:space="preserve"> Wykres MACD/SIGNAL dla </w:t>
      </w:r>
      <w:proofErr w:type="spellStart"/>
      <w:r>
        <w:t>Ubisoft</w:t>
      </w:r>
      <w:proofErr w:type="spellEnd"/>
      <w:r>
        <w:t xml:space="preserve"> (próbki 200 – 400)</w:t>
      </w:r>
    </w:p>
    <w:p w:rsidR="00A22B17" w:rsidRDefault="00A22B17" w:rsidP="00896A18"/>
    <w:p w:rsidR="00A22B17" w:rsidRDefault="00A22B17" w:rsidP="00896A18">
      <w:r>
        <w:rPr>
          <w:noProof/>
        </w:rPr>
        <w:drawing>
          <wp:inline distT="0" distB="0" distL="0" distR="0">
            <wp:extent cx="5759450" cy="2882900"/>
            <wp:effectExtent l="0" t="0" r="0" b="0"/>
            <wp:docPr id="200149002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17" w:rsidRDefault="00A22B17" w:rsidP="00A22B17">
      <w:r>
        <w:t>Rys.</w:t>
      </w:r>
      <w:r w:rsidR="005410A8">
        <w:t>10</w:t>
      </w:r>
      <w:r>
        <w:t xml:space="preserve"> Wykres akcji dla </w:t>
      </w:r>
      <w:proofErr w:type="spellStart"/>
      <w:r>
        <w:t>Ubisoft</w:t>
      </w:r>
      <w:proofErr w:type="spellEnd"/>
      <w:r>
        <w:t xml:space="preserve"> (próbki 200 – 400)</w:t>
      </w:r>
    </w:p>
    <w:p w:rsidR="00A22B17" w:rsidRDefault="00A22B17" w:rsidP="00896A18">
      <w:r>
        <w:t>Tabela transakcji dla okresu 200-400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960"/>
        <w:gridCol w:w="960"/>
        <w:gridCol w:w="1171"/>
        <w:gridCol w:w="1171"/>
        <w:gridCol w:w="1040"/>
      </w:tblGrid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 xml:space="preserve">Nr. </w:t>
            </w:r>
            <w:proofErr w:type="spellStart"/>
            <w:r w:rsidRPr="000D4243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Kupna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Cena sprzedaży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Próbka sprzedaży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>
            <w:r w:rsidRPr="000D4243">
              <w:t>zysk w %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1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83.93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202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82.13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212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-2,14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65.57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244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64.00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274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-2,39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58.70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292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57.80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330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-1,53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4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51.56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352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>
            <w:r w:rsidRPr="000D4243">
              <w:t>53.43</w:t>
            </w:r>
          </w:p>
        </w:tc>
        <w:tc>
          <w:tcPr>
            <w:tcW w:w="960" w:type="dxa"/>
            <w:noWrap/>
            <w:hideMark/>
          </w:tcPr>
          <w:p w:rsidR="000D4243" w:rsidRPr="000D4243" w:rsidRDefault="000D4243" w:rsidP="000D4243">
            <w:r w:rsidRPr="000D4243">
              <w:t>378</w:t>
            </w:r>
          </w:p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3,63</w:t>
            </w:r>
          </w:p>
        </w:tc>
      </w:tr>
      <w:tr w:rsidR="000D4243" w:rsidRPr="000D4243" w:rsidTr="000D4243">
        <w:trPr>
          <w:trHeight w:val="300"/>
        </w:trPr>
        <w:tc>
          <w:tcPr>
            <w:tcW w:w="960" w:type="dxa"/>
            <w:noWrap/>
            <w:hideMark/>
          </w:tcPr>
          <w:p w:rsidR="000D4243" w:rsidRPr="000D4243" w:rsidRDefault="000D4243" w:rsidP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960" w:type="dxa"/>
            <w:noWrap/>
            <w:hideMark/>
          </w:tcPr>
          <w:p w:rsidR="000D4243" w:rsidRPr="000D4243" w:rsidRDefault="000D4243"/>
        </w:tc>
        <w:tc>
          <w:tcPr>
            <w:tcW w:w="1040" w:type="dxa"/>
            <w:noWrap/>
            <w:hideMark/>
          </w:tcPr>
          <w:p w:rsidR="000D4243" w:rsidRPr="000D4243" w:rsidRDefault="000D4243" w:rsidP="000D4243">
            <w:r w:rsidRPr="000D4243">
              <w:t>-2,43</w:t>
            </w:r>
          </w:p>
        </w:tc>
      </w:tr>
    </w:tbl>
    <w:p w:rsidR="000D4243" w:rsidRDefault="000D4243" w:rsidP="00896A18"/>
    <w:p w:rsidR="007771E2" w:rsidRDefault="007771E2" w:rsidP="00896A18">
      <w:r w:rsidRPr="007771E2">
        <w:t>Analiza wyników i wnioski</w:t>
      </w:r>
    </w:p>
    <w:p w:rsidR="007771E2" w:rsidRPr="007771E2" w:rsidRDefault="007771E2" w:rsidP="007771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sz w:val="27"/>
          <w:szCs w:val="27"/>
          <w:lang w:eastAsia="pl-PL"/>
          <w14:ligatures w14:val="none"/>
        </w:rPr>
        <w:t>Analiza wyników i wnioski</w:t>
      </w:r>
    </w:p>
    <w:p w:rsidR="007771E2" w:rsidRPr="007771E2" w:rsidRDefault="007771E2" w:rsidP="007771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Analiza wybranych okresów dla spółki </w:t>
      </w:r>
      <w:proofErr w:type="spellStart"/>
      <w:r w:rsidRPr="007771E2">
        <w:rPr>
          <w:rFonts w:eastAsia="Times New Roman" w:cstheme="minorHAnsi"/>
          <w:kern w:val="0"/>
          <w:lang w:eastAsia="pl-PL"/>
          <w14:ligatures w14:val="none"/>
        </w:rPr>
        <w:t>Ubisoft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wskazuje, że strategia transakcyjna oparta na wskaźniku MACD nie przyniosła oczekiwanych rezultatów. W obu analizowanych przedziałach czasowych strategia ta wygenerowała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ujemne stopy zwrotu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>:</w:t>
      </w:r>
    </w:p>
    <w:p w:rsidR="007771E2" w:rsidRPr="007771E2" w:rsidRDefault="007771E2" w:rsidP="0077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Przedział 600-800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: skumulowana strata na poziomie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-9,91%</w:t>
      </w:r>
    </w:p>
    <w:p w:rsidR="007771E2" w:rsidRPr="007771E2" w:rsidRDefault="007771E2" w:rsidP="0077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Przedział 200-400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: skumulowana strata na poziomie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-2,43%</w:t>
      </w:r>
    </w:p>
    <w:p w:rsidR="005410A8" w:rsidRPr="005410A8" w:rsidRDefault="007771E2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Większość transakcji zakończyła się stratą, co sugeruje, że MACD nie był skutecznym narzędziem w tym przypadku. Przyczyną może być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długoterminowy trend spadkowy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akcji </w:t>
      </w:r>
      <w:proofErr w:type="spellStart"/>
      <w:r w:rsidRPr="007771E2">
        <w:rPr>
          <w:rFonts w:eastAsia="Times New Roman" w:cstheme="minorHAnsi"/>
          <w:kern w:val="0"/>
          <w:lang w:eastAsia="pl-PL"/>
          <w14:ligatures w14:val="none"/>
        </w:rPr>
        <w:t>Ubisoft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, który sprawia, że wskaźnik MACD generuje fałszywe sygnały kupna. W warunkach </w:t>
      </w:r>
      <w:r w:rsidRPr="007771E2">
        <w:rPr>
          <w:rFonts w:eastAsia="Times New Roman" w:cstheme="minorHAnsi"/>
          <w:b/>
          <w:bCs/>
          <w:kern w:val="0"/>
          <w:lang w:eastAsia="pl-PL"/>
          <w14:ligatures w14:val="none"/>
        </w:rPr>
        <w:t>trendu spadkowego</w:t>
      </w: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przecięcia MACD i SIGNAL mogą prowadzić do nieefektywnych decyzji inwestycyjnych</w:t>
      </w:r>
      <w:r>
        <w:rPr>
          <w:rFonts w:eastAsia="Times New Roman" w:cstheme="minorHAnsi"/>
          <w:kern w:val="0"/>
          <w:lang w:eastAsia="pl-PL"/>
          <w14:ligatures w14:val="none"/>
        </w:rPr>
        <w:t>.</w:t>
      </w:r>
      <w:r w:rsidR="005410A8">
        <w:rPr>
          <w:rFonts w:eastAsia="Times New Roman" w:cstheme="minorHAnsi"/>
          <w:noProof/>
          <w:kern w:val="0"/>
          <w:lang w:eastAsia="pl-PL"/>
          <w14:ligatures w14:val="none"/>
        </w:rPr>
        <w:drawing>
          <wp:inline distT="0" distB="0" distL="0" distR="0">
            <wp:extent cx="5759450" cy="2879725"/>
            <wp:effectExtent l="0" t="0" r="0" b="0"/>
            <wp:docPr id="91162764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0A8">
        <w:lastRenderedPageBreak/>
        <w:t xml:space="preserve">Rys.11 Wykres MACD/SIGNAL dla </w:t>
      </w:r>
      <w:proofErr w:type="spellStart"/>
      <w:r w:rsidR="005410A8">
        <w:t>Capcom</w:t>
      </w:r>
      <w:proofErr w:type="spellEnd"/>
      <w:r w:rsidR="005410A8">
        <w:t xml:space="preserve"> (próbki 600 – 800)</w:t>
      </w:r>
      <w:r w:rsidR="005410A8">
        <w:rPr>
          <w:noProof/>
        </w:rPr>
        <w:drawing>
          <wp:inline distT="0" distB="0" distL="0" distR="0">
            <wp:extent cx="5759450" cy="2879725"/>
            <wp:effectExtent l="0" t="0" r="0" b="0"/>
            <wp:docPr id="177554661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 xml:space="preserve">Rys.12 Wykres akcji dla </w:t>
      </w:r>
      <w:proofErr w:type="spellStart"/>
      <w:r>
        <w:t>Capcom</w:t>
      </w:r>
      <w:proofErr w:type="spellEnd"/>
      <w:r>
        <w:t xml:space="preserve"> (próbki 600 – 800)</w:t>
      </w:r>
    </w:p>
    <w:p w:rsidR="005410A8" w:rsidRDefault="005410A8" w:rsidP="005410A8">
      <w:r>
        <w:t>Tabela transakcji dla okresu 600-800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1007"/>
        <w:gridCol w:w="960"/>
        <w:gridCol w:w="1171"/>
        <w:gridCol w:w="1171"/>
        <w:gridCol w:w="1040"/>
      </w:tblGrid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 xml:space="preserve">Nr. </w:t>
            </w:r>
            <w:proofErr w:type="spellStart"/>
            <w:r w:rsidRPr="005410A8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sprzedaży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sprzedaży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>
            <w:r w:rsidRPr="005410A8">
              <w:t>zysk w %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1880.94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606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1831.24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607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-2,64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1871.00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1800.00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-3,79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619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1795.00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624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-4,14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1872.50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630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2177.50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652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16,29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2092.50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693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2132.50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716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1,91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2310.00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730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2315.00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743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0,22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2570.00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751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2735.00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776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6,42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2898.00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782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2732.50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785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-5,71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8,56</w:t>
            </w:r>
          </w:p>
        </w:tc>
      </w:tr>
    </w:tbl>
    <w:p w:rsidR="005410A8" w:rsidRDefault="005410A8" w:rsidP="005410A8"/>
    <w:p w:rsidR="005410A8" w:rsidRDefault="005410A8" w:rsidP="005410A8">
      <w:r>
        <w:rPr>
          <w:noProof/>
        </w:rPr>
        <w:lastRenderedPageBreak/>
        <w:drawing>
          <wp:inline distT="0" distB="0" distL="0" distR="0">
            <wp:extent cx="5764530" cy="2882265"/>
            <wp:effectExtent l="0" t="0" r="7620" b="0"/>
            <wp:docPr id="105392919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97" w:rsidRDefault="00D71F97" w:rsidP="00896A18"/>
    <w:p w:rsidR="00896A18" w:rsidRDefault="005410A8" w:rsidP="00B94E00">
      <w:r>
        <w:t xml:space="preserve">Rys.13 Wykres MACD/SIGNAL dla </w:t>
      </w:r>
      <w:proofErr w:type="spellStart"/>
      <w:r>
        <w:t>Capcom</w:t>
      </w:r>
      <w:proofErr w:type="spellEnd"/>
      <w:r>
        <w:t xml:space="preserve"> (próbki 200 – 400)</w:t>
      </w:r>
    </w:p>
    <w:p w:rsidR="005410A8" w:rsidRDefault="005410A8" w:rsidP="00B94E00">
      <w:r>
        <w:rPr>
          <w:noProof/>
        </w:rPr>
        <w:drawing>
          <wp:inline distT="0" distB="0" distL="0" distR="0">
            <wp:extent cx="5762625" cy="2881630"/>
            <wp:effectExtent l="0" t="0" r="9525" b="0"/>
            <wp:docPr id="127810347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A8" w:rsidRDefault="005410A8" w:rsidP="005410A8">
      <w:r>
        <w:t xml:space="preserve">Rys.14 Wykres akcji dla </w:t>
      </w:r>
      <w:proofErr w:type="spellStart"/>
      <w:r>
        <w:t>Capcom</w:t>
      </w:r>
      <w:proofErr w:type="spellEnd"/>
      <w:r>
        <w:t xml:space="preserve"> (próbki 200 – 400)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6"/>
        <w:gridCol w:w="1007"/>
        <w:gridCol w:w="960"/>
        <w:gridCol w:w="1171"/>
        <w:gridCol w:w="1171"/>
        <w:gridCol w:w="1040"/>
      </w:tblGrid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 xml:space="preserve">Nr. </w:t>
            </w:r>
            <w:proofErr w:type="spellStart"/>
            <w:r w:rsidRPr="005410A8">
              <w:t>Transkacji</w:t>
            </w:r>
            <w:proofErr w:type="spellEnd"/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Kupna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Cena sprzedaży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Próbka sprzedaży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>
            <w:r w:rsidRPr="005410A8">
              <w:t>zysk w %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1727.73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1686.36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-2,39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1752.07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1708.26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206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1773.96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1666.90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208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-6,04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4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1645.00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237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1763.73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261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7,22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5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1721.97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287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1584.40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293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-7,99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1670.39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298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1626.16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300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-2,65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1596.69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311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1547.56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312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-3,08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1505.80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327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1450.28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338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-3,69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9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1470.42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347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1591.78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367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8,25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10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1573.43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383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>
            <w:r w:rsidRPr="005410A8">
              <w:t>1521.56</w:t>
            </w:r>
          </w:p>
        </w:tc>
        <w:tc>
          <w:tcPr>
            <w:tcW w:w="960" w:type="dxa"/>
            <w:noWrap/>
            <w:hideMark/>
          </w:tcPr>
          <w:p w:rsidR="005410A8" w:rsidRPr="005410A8" w:rsidRDefault="005410A8" w:rsidP="005410A8">
            <w:r w:rsidRPr="005410A8">
              <w:t>394</w:t>
            </w:r>
          </w:p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-3,3</w:t>
            </w:r>
          </w:p>
        </w:tc>
      </w:tr>
      <w:tr w:rsidR="005410A8" w:rsidRPr="005410A8" w:rsidTr="005410A8">
        <w:trPr>
          <w:trHeight w:val="300"/>
        </w:trPr>
        <w:tc>
          <w:tcPr>
            <w:tcW w:w="960" w:type="dxa"/>
            <w:noWrap/>
            <w:hideMark/>
          </w:tcPr>
          <w:p w:rsidR="005410A8" w:rsidRPr="005410A8" w:rsidRDefault="005410A8" w:rsidP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960" w:type="dxa"/>
            <w:noWrap/>
            <w:hideMark/>
          </w:tcPr>
          <w:p w:rsidR="005410A8" w:rsidRPr="005410A8" w:rsidRDefault="005410A8"/>
        </w:tc>
        <w:tc>
          <w:tcPr>
            <w:tcW w:w="1040" w:type="dxa"/>
            <w:noWrap/>
            <w:hideMark/>
          </w:tcPr>
          <w:p w:rsidR="005410A8" w:rsidRPr="005410A8" w:rsidRDefault="005410A8" w:rsidP="005410A8">
            <w:r w:rsidRPr="005410A8">
              <w:t>-16,17</w:t>
            </w:r>
          </w:p>
        </w:tc>
      </w:tr>
    </w:tbl>
    <w:p w:rsidR="00BB4813" w:rsidRDefault="00BB4813" w:rsidP="00BB4813"/>
    <w:p w:rsidR="005410A8" w:rsidRPr="00377EF6" w:rsidRDefault="005410A8" w:rsidP="005410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</w:pPr>
      <w:r w:rsidRPr="00377EF6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Analiza wyników i wnioski</w:t>
      </w:r>
    </w:p>
    <w:p w:rsidR="005410A8" w:rsidRDefault="005410A8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Analiza wybranych okresów dla spółki </w:t>
      </w:r>
      <w:proofErr w:type="spellStart"/>
      <w:r>
        <w:rPr>
          <w:rFonts w:eastAsia="Times New Roman" w:cstheme="minorHAnsi"/>
          <w:kern w:val="0"/>
          <w:lang w:eastAsia="pl-PL"/>
          <w14:ligatures w14:val="none"/>
        </w:rPr>
        <w:t>Capcom</w:t>
      </w:r>
      <w:proofErr w:type="spellEnd"/>
      <w:r w:rsidRPr="007771E2">
        <w:rPr>
          <w:rFonts w:eastAsia="Times New Roman" w:cstheme="minorHAnsi"/>
          <w:kern w:val="0"/>
          <w:lang w:eastAsia="pl-PL"/>
          <w14:ligatures w14:val="none"/>
        </w:rPr>
        <w:t xml:space="preserve"> wskazuje, że strategia transakcyjna oparta na wskaźniku MACD nie przyniosła oczekiwanych rezultatów.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W przedziale 600-800 skumulowana stopa zwrotu wyniosła +8,56%, jednak wynik ten był w dużej mierze efektem jednej pojedynczej transakcji o bardzo wysokim zysku (16,29%), co może wskazywać na przypadkowy sukces zamiast regularnej skuteczności strategii.</w:t>
      </w:r>
      <w:r>
        <w:rPr>
          <w:rFonts w:eastAsia="Times New Roman" w:cstheme="minorHAnsi"/>
          <w:kern w:val="0"/>
          <w:lang w:eastAsia="pl-PL"/>
          <w14:ligatures w14:val="none"/>
        </w:rPr>
        <w:t xml:space="preserve">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W przedziale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200-400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 strategia wygenerowała skumulowaną stratę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-16,17%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, co świadczy o dominacji transakcji stratnych w tym okresie.</w:t>
      </w:r>
      <w:r w:rsidR="00FA7942">
        <w:rPr>
          <w:rFonts w:eastAsia="Times New Roman" w:cstheme="minorHAnsi"/>
          <w:kern w:val="0"/>
          <w:lang w:eastAsia="pl-PL"/>
          <w14:ligatures w14:val="none"/>
        </w:rPr>
        <w:t xml:space="preserve"> 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Mimo że </w:t>
      </w:r>
      <w:proofErr w:type="spellStart"/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Capcom</w:t>
      </w:r>
      <w:proofErr w:type="spellEnd"/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 xml:space="preserve"> wykazuje </w:t>
      </w:r>
      <w:r w:rsidR="00FA7942" w:rsidRPr="00FA7942">
        <w:rPr>
          <w:rFonts w:eastAsia="Times New Roman" w:cstheme="minorHAnsi"/>
          <w:b/>
          <w:bCs/>
          <w:kern w:val="0"/>
          <w:lang w:eastAsia="pl-PL"/>
          <w14:ligatures w14:val="none"/>
        </w:rPr>
        <w:t>długoterminowy trend wzrostowy</w:t>
      </w:r>
      <w:r w:rsidR="00FA7942" w:rsidRPr="00FA7942">
        <w:rPr>
          <w:rFonts w:eastAsia="Times New Roman" w:cstheme="minorHAnsi"/>
          <w:kern w:val="0"/>
          <w:lang w:eastAsia="pl-PL"/>
          <w14:ligatures w14:val="none"/>
        </w:rPr>
        <w:t>, wskaźnik MACD nadal nie okazał się skuteczny jako narzędzie decyzyjne dla krótkoterminowych transakcji.</w:t>
      </w:r>
    </w:p>
    <w:p w:rsidR="00FA7942" w:rsidRPr="005410A8" w:rsidRDefault="00377EF6" w:rsidP="005410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77EF6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Symulacja transakcji na podstawie MACD</w:t>
      </w:r>
      <w:r>
        <w:rPr>
          <w:rFonts w:eastAsia="Times New Roman" w:cstheme="minorHAnsi"/>
          <w:noProof/>
          <w:kern w:val="0"/>
          <w:lang w:eastAsia="pl-PL"/>
          <w14:ligatures w14:val="none"/>
        </w:rPr>
        <w:drawing>
          <wp:inline distT="0" distB="0" distL="0" distR="0">
            <wp:extent cx="5759450" cy="2885440"/>
            <wp:effectExtent l="0" t="0" r="0" b="0"/>
            <wp:docPr id="1843361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6" w:rsidRDefault="00377EF6" w:rsidP="0040202F">
      <w:r>
        <w:t xml:space="preserve">Rys.15 </w:t>
      </w:r>
      <w:r>
        <w:tab/>
        <w:t xml:space="preserve">Wykres zmian wartości portfela inwestycyjnego dla </w:t>
      </w:r>
      <w:proofErr w:type="spellStart"/>
      <w:r>
        <w:t>Ubisoft</w:t>
      </w:r>
      <w:proofErr w:type="spellEnd"/>
      <w:r>
        <w:t xml:space="preserve"> (budżet początkowy = 1000 jednostek)</w:t>
      </w:r>
    </w:p>
    <w:p w:rsidR="0040202F" w:rsidRDefault="00377EF6" w:rsidP="0040202F">
      <w:r>
        <w:t>Budżet końcowy: 577.04 jednostek</w:t>
      </w:r>
    </w:p>
    <w:p w:rsidR="00377EF6" w:rsidRDefault="00377EF6" w:rsidP="00377EF6">
      <w:r>
        <w:t>Liczba zyskownych transakcji: 13</w:t>
      </w:r>
    </w:p>
    <w:p w:rsidR="00377EF6" w:rsidRDefault="00377EF6" w:rsidP="00377EF6">
      <w:r>
        <w:t>Liczba stratnych transakcji: 34</w:t>
      </w:r>
    </w:p>
    <w:p w:rsidR="00BB4813" w:rsidRDefault="00377EF6" w:rsidP="00377EF6">
      <w:r>
        <w:t>Skuteczność strategii: 27.66%</w:t>
      </w:r>
    </w:p>
    <w:p w:rsidR="00377EF6" w:rsidRDefault="00377EF6" w:rsidP="00377EF6">
      <w:r>
        <w:rPr>
          <w:noProof/>
        </w:rPr>
        <w:lastRenderedPageBreak/>
        <w:drawing>
          <wp:inline distT="0" distB="0" distL="0" distR="0">
            <wp:extent cx="5759450" cy="2885440"/>
            <wp:effectExtent l="0" t="0" r="0" b="0"/>
            <wp:docPr id="38746038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F6" w:rsidRDefault="00377EF6" w:rsidP="00377EF6">
      <w:r>
        <w:t>Rys.1</w:t>
      </w:r>
      <w:r>
        <w:t>6</w:t>
      </w:r>
      <w:r>
        <w:t xml:space="preserve"> </w:t>
      </w:r>
      <w:r>
        <w:tab/>
        <w:t xml:space="preserve">Wykres zmian wartości portfela inwestycyjnego dla </w:t>
      </w:r>
      <w:proofErr w:type="spellStart"/>
      <w:r>
        <w:t>Capcom</w:t>
      </w:r>
      <w:proofErr w:type="spellEnd"/>
      <w:r>
        <w:t xml:space="preserve"> (budżet początkowy = 1000 jednostek)</w:t>
      </w:r>
    </w:p>
    <w:p w:rsidR="00377EF6" w:rsidRDefault="00377EF6" w:rsidP="00377EF6">
      <w:r>
        <w:t>Końcowy budżet: 1138.49</w:t>
      </w:r>
    </w:p>
    <w:p w:rsidR="00377EF6" w:rsidRDefault="00377EF6" w:rsidP="00377EF6">
      <w:r>
        <w:t>Liczba zyskownych transakcji: 20</w:t>
      </w:r>
    </w:p>
    <w:p w:rsidR="00377EF6" w:rsidRDefault="00377EF6" w:rsidP="00377EF6">
      <w:r>
        <w:t>Liczba stratnych transakcji: 36</w:t>
      </w:r>
    </w:p>
    <w:p w:rsidR="00377EF6" w:rsidRDefault="00377EF6" w:rsidP="00377EF6">
      <w:r>
        <w:t>Skuteczność strategii: 35.71%</w:t>
      </w:r>
    </w:p>
    <w:p w:rsidR="00377EF6" w:rsidRDefault="00377EF6" w:rsidP="00377EF6">
      <w:pPr>
        <w:rPr>
          <w:sz w:val="40"/>
          <w:szCs w:val="40"/>
        </w:rPr>
      </w:pPr>
      <w:r w:rsidRPr="00377EF6">
        <w:rPr>
          <w:sz w:val="40"/>
          <w:szCs w:val="40"/>
        </w:rPr>
        <w:t>Wnioski symulacji</w:t>
      </w:r>
    </w:p>
    <w:p w:rsidR="00377EF6" w:rsidRPr="00377EF6" w:rsidRDefault="00EB4860" w:rsidP="00EB4860">
      <w:r w:rsidRPr="00EB4860">
        <w:t xml:space="preserve">Dla spółki znajdującej się w trendzie spadkowym (np. </w:t>
      </w:r>
      <w:proofErr w:type="spellStart"/>
      <w:r w:rsidRPr="00EB4860">
        <w:t>Ubisoft</w:t>
      </w:r>
      <w:proofErr w:type="spellEnd"/>
      <w:r w:rsidRPr="00EB4860">
        <w:t>), strategia oparta wyłącznie na wskaźniku MACD okazała się wysoce nieskuteczna. Skuteczność transakcji wyniosła jedynie 27,66%, a budżet końcowy spadł do 577,04 jednostek, co oznacza stratę prawie 50% wartości początkowej.</w:t>
      </w:r>
      <w:r>
        <w:t xml:space="preserve"> </w:t>
      </w:r>
      <w:r w:rsidRPr="00EB4860">
        <w:t xml:space="preserve">W przypadku spółki o rosnącym trendzie długoterminowym (np. </w:t>
      </w:r>
      <w:proofErr w:type="spellStart"/>
      <w:r w:rsidRPr="00EB4860">
        <w:t>Capcom</w:t>
      </w:r>
      <w:proofErr w:type="spellEnd"/>
      <w:r w:rsidRPr="00EB4860">
        <w:t>), MACD umożliwił osiągnięcie dodatniego zwrotu z inwestycji (+13,85%, budżet końcowy 1138,49 jednostek). Mimo to skuteczność transakcji pozostawała niska (35,71%), co sugeruje, że pozytywny wynik wynikał głównie z pojedynczych, bardzo zyskownych transakcji, a nie z systematycznej przewagi strategii.</w:t>
      </w:r>
      <w:r w:rsidRPr="00EB4860">
        <w:t xml:space="preserve"> </w:t>
      </w:r>
      <w:r w:rsidRPr="00EB4860">
        <w:t>W obu przypadkach zaobserwowano dużą liczbę fałszywych sygnałów, prowadzących do stratnych transakcji. W szczególności w warunkach trendu spadkowego wskaźnik generował sygnały kupna, które nie miały uzasadnienia fundamentalnego, prowadząc do nieoptymalnych decyzji inwestycyjnych.</w:t>
      </w:r>
      <w:r w:rsidRPr="00EB4860">
        <w:t xml:space="preserve"> </w:t>
      </w:r>
      <w:r w:rsidRPr="00EB4860">
        <w:t>Średnia skuteczność strategii dla obu spółek wyniosła około 31,7%, co oznacza, że ponad 2/3 transakcji kończyło się stratą.</w:t>
      </w:r>
      <w:r w:rsidRPr="00EB4860">
        <w:t xml:space="preserve"> </w:t>
      </w:r>
      <w:r w:rsidRPr="00EB4860">
        <w:t xml:space="preserve">Wyniki te potwierdzają, że MACD nie jest wystarczająco skutecznym narzędziem do samodzielnego podejmowania decyzji inwestycyjnych, zwłaszcza w krótkoterminowym </w:t>
      </w:r>
      <w:proofErr w:type="spellStart"/>
      <w:r w:rsidRPr="00EB4860">
        <w:t>tradingu</w:t>
      </w:r>
      <w:proofErr w:type="spellEnd"/>
      <w:r w:rsidRPr="00EB4860">
        <w:t>.</w:t>
      </w:r>
    </w:p>
    <w:sectPr w:rsidR="00377EF6" w:rsidRPr="0037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0585A"/>
    <w:multiLevelType w:val="multilevel"/>
    <w:tmpl w:val="747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375D5"/>
    <w:multiLevelType w:val="multilevel"/>
    <w:tmpl w:val="7AB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399736">
    <w:abstractNumId w:val="1"/>
  </w:num>
  <w:num w:numId="2" w16cid:durableId="149960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00"/>
    <w:rsid w:val="000D4243"/>
    <w:rsid w:val="00377EF6"/>
    <w:rsid w:val="0040202F"/>
    <w:rsid w:val="004E1FD9"/>
    <w:rsid w:val="005410A8"/>
    <w:rsid w:val="0072101A"/>
    <w:rsid w:val="007771E2"/>
    <w:rsid w:val="007D1939"/>
    <w:rsid w:val="00896A18"/>
    <w:rsid w:val="00A22B17"/>
    <w:rsid w:val="00AA150D"/>
    <w:rsid w:val="00B94E00"/>
    <w:rsid w:val="00BB4813"/>
    <w:rsid w:val="00CA489A"/>
    <w:rsid w:val="00D71F97"/>
    <w:rsid w:val="00EB4860"/>
    <w:rsid w:val="00FA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0712"/>
  <w15:chartTrackingRefBased/>
  <w15:docId w15:val="{96F80CFB-3E58-431E-8323-2302EF4E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4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4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4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4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4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4E0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4E0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4E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4E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4E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4E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4E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4E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4E0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4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4E0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4E00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0D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1194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Hałas</dc:creator>
  <cp:keywords/>
  <dc:description/>
  <cp:lastModifiedBy>Cyprian Hałas</cp:lastModifiedBy>
  <cp:revision>10</cp:revision>
  <dcterms:created xsi:type="dcterms:W3CDTF">2025-03-24T12:14:00Z</dcterms:created>
  <dcterms:modified xsi:type="dcterms:W3CDTF">2025-03-24T20:31:00Z</dcterms:modified>
</cp:coreProperties>
</file>