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0392B" w:val="clear"/>
            <w:tcMar>
              <w:top w:type="dxa" w:w="600"/>
              <w:left w:type="dxa" w:w="600"/>
              <w:bottom w:type="dxa" w:w="600"/>
              <w:right w:type="dxa" w:w="600"/>
            </w:tcMar>
          </w:tcPr>
          <w:p>
            <w:pPr>
              <w:spacing w:after="200"/>
              <w:jc w:val="center"/>
            </w:pPr>
            <w:r>
              <w:rPr>
                <w:rFonts w:ascii="Arial" w:cs="Arial" w:eastAsia="Arial" w:hAnsi="Arial"/>
                <w:b/>
                <w:bCs/>
                <w:color w:val="FFFFFF"/>
                <w:sz w:val="64"/>
                <w:szCs w:val="64"/>
              </w:rPr>
              <w:t xml:space="preserve">CESIZen</w:t>
            </w:r>
          </w:p>
          <w:p>
            <w:pPr>
              <w:spacing w:after="200"/>
              <w:jc w:val="center"/>
            </w:pPr>
            <w:r>
              <w:rPr>
                <w:rFonts w:ascii="Arial" w:cs="Arial" w:eastAsia="Arial" w:hAnsi="Arial"/>
                <w:color w:val="FADBD8"/>
                <w:sz w:val="40"/>
                <w:szCs w:val="40"/>
              </w:rPr>
              <w:t xml:space="preserve">Plan de sécurisation</w:t>
            </w:r>
          </w:p>
          <w:p>
            <w:pPr>
              <w:jc w:val="center"/>
            </w:pPr>
            <w:r>
              <w:rPr>
                <w:rFonts w:ascii="Arial" w:cs="Arial" w:eastAsia="Arial" w:hAnsi="Arial"/>
                <w:i/>
                <w:iCs/>
                <w:color w:val="EEEEEE"/>
                <w:sz w:val="24"/>
                <w:szCs w:val="24"/>
              </w:rPr>
              <w:t xml:space="preserve">Bloc 3 — Déployer et sécuriser les applications informatiques</w:t>
            </w:r>
          </w:p>
        </w:tc>
      </w:tr>
    </w:tbl>
    <w:p>
      <w:pPr>
        <w:spacing w:after="6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E3A5F"/>
                <w:sz w:val="22"/>
                <w:szCs w:val="22"/>
              </w:rPr>
              <w:t xml:space="preserve">Auteur :</w:t>
            </w:r>
          </w:p>
        </w:tc>
        <w:tc>
          <w:tcPr>
            <w:tcW w:type="dxa" w:w="4513"/>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Corentin Dapremont</w:t>
            </w:r>
          </w:p>
        </w:tc>
      </w:tr>
      <w:tr>
        <w:tc>
          <w:tcPr>
            <w:tcW w:type="dxa" w:w="4513"/>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E3A5F"/>
                <w:sz w:val="22"/>
                <w:szCs w:val="22"/>
              </w:rPr>
              <w:t xml:space="preserve">Formation :</w:t>
            </w:r>
          </w:p>
        </w:tc>
        <w:tc>
          <w:tcPr>
            <w:tcW w:type="dxa" w:w="4513"/>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Concepteur Développeur d'Applications (CDA)</w:t>
            </w:r>
          </w:p>
        </w:tc>
      </w:tr>
      <w:tr>
        <w:tc>
          <w:tcPr>
            <w:tcW w:type="dxa" w:w="4513"/>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E3A5F"/>
                <w:sz w:val="22"/>
                <w:szCs w:val="22"/>
              </w:rPr>
              <w:t xml:space="preserve">Date :</w:t>
            </w:r>
          </w:p>
        </w:tc>
        <w:tc>
          <w:tcPr>
            <w:tcW w:type="dxa" w:w="4513"/>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Juin 2026</w:t>
            </w:r>
          </w:p>
        </w:tc>
      </w:tr>
      <w:tr>
        <w:tc>
          <w:tcPr>
            <w:tcW w:type="dxa" w:w="4513"/>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E3A5F"/>
                <w:sz w:val="22"/>
                <w:szCs w:val="22"/>
              </w:rPr>
              <w:t xml:space="preserve">Version :</w:t>
            </w:r>
          </w:p>
        </w:tc>
        <w:tc>
          <w:tcPr>
            <w:tcW w:type="dxa" w:w="4513"/>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1.0.0</w:t>
            </w:r>
          </w:p>
        </w:tc>
      </w:tr>
    </w:tbl>
    <w:p>
      <w:r>
        <w:br w:type="page"/>
      </w:r>
    </w:p>
    <w:p>
      <w:pPr>
        <w:pStyle w:val="Heading1"/>
        <w:spacing w:after="200" w:before="240"/>
      </w:pPr>
      <w:r>
        <w:rPr>
          <w:rFonts w:ascii="Arial" w:cs="Arial" w:eastAsia="Arial" w:hAnsi="Arial"/>
          <w:b/>
          <w:bCs/>
          <w:color w:val="1E3A5F"/>
          <w:sz w:val="28"/>
          <w:szCs w:val="28"/>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hd w:fill="1E3A5F" w:val="clear"/>
        <w:spacing w:after="200" w:before="360"/>
        <w:ind w:left="200" w:right="200"/>
      </w:pPr>
      <w:r>
        <w:rPr>
          <w:rFonts w:ascii="Arial" w:cs="Arial" w:eastAsia="Arial" w:hAnsi="Arial"/>
          <w:b/>
          <w:bCs/>
          <w:color w:val="FFFFFF"/>
          <w:sz w:val="32"/>
          <w:szCs w:val="32"/>
        </w:rPr>
        <w:t xml:space="preserve">1. Introduction</w:t>
      </w:r>
    </w:p>
    <w:p>
      <w:pPr>
        <w:spacing w:after="8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1.1 Objectif du document</w:t>
      </w:r>
    </w:p>
    <w:p>
      <w:pPr>
        <w:spacing w:after="120"/>
      </w:pPr>
      <w:r>
        <w:rPr>
          <w:rFonts w:ascii="Arial" w:cs="Arial" w:eastAsia="Arial" w:hAnsi="Arial"/>
          <w:sz w:val="22"/>
          <w:szCs w:val="22"/>
        </w:rPr>
        <w:t xml:space="preserve">Ce plan de sécurisation définit l'ensemble des mesures techniques et organisationnelles mises en oeuvre pour protéger l'application CESIZen, ses données et ses utilisateurs. Il couvre l'analyse des risques, les actions correctives et préventives, la conformité RGPD, ainsi que la procédure de gestion de crise en cas d'incident de sécurité.</w:t>
      </w:r>
    </w:p>
    <w:p>
      <w:pPr>
        <w:spacing w:after="12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1.2 Périmètre</w:t>
      </w:r>
    </w:p>
    <w:p>
      <w:pPr>
        <w:pStyle w:val="ListParagraph"/>
        <w:numPr>
          <w:ilvl w:val="0"/>
          <w:numId w:val="2"/>
        </w:numPr>
        <w:spacing w:after="80"/>
      </w:pPr>
      <w:r>
        <w:rPr>
          <w:rFonts w:ascii="Arial" w:cs="Arial" w:eastAsia="Arial" w:hAnsi="Arial"/>
          <w:b w:val="false"/>
          <w:bCs w:val="false"/>
          <w:sz w:val="22"/>
          <w:szCs w:val="22"/>
        </w:rPr>
        <w:t xml:space="preserve">Application web CESIZen (frontend React + backend API Node.js)</w:t>
      </w:r>
    </w:p>
    <w:p>
      <w:pPr>
        <w:pStyle w:val="ListParagraph"/>
        <w:numPr>
          <w:ilvl w:val="0"/>
          <w:numId w:val="2"/>
        </w:numPr>
        <w:spacing w:after="80"/>
      </w:pPr>
      <w:r>
        <w:rPr>
          <w:rFonts w:ascii="Arial" w:cs="Arial" w:eastAsia="Arial" w:hAnsi="Arial"/>
          <w:b w:val="false"/>
          <w:bCs w:val="false"/>
          <w:sz w:val="22"/>
          <w:szCs w:val="22"/>
        </w:rPr>
        <w:t xml:space="preserve">Base de données PostgreSQL hébergeant les données personnelles des utilisateurs</w:t>
      </w:r>
    </w:p>
    <w:p>
      <w:pPr>
        <w:pStyle w:val="ListParagraph"/>
        <w:numPr>
          <w:ilvl w:val="0"/>
          <w:numId w:val="2"/>
        </w:numPr>
        <w:spacing w:after="80"/>
      </w:pPr>
      <w:r>
        <w:rPr>
          <w:rFonts w:ascii="Arial" w:cs="Arial" w:eastAsia="Arial" w:hAnsi="Arial"/>
          <w:b w:val="false"/>
          <w:bCs w:val="false"/>
          <w:sz w:val="22"/>
          <w:szCs w:val="22"/>
        </w:rPr>
        <w:t xml:space="preserve">Infrastructure de déploiement (serveur, Docker, réseau)</w:t>
      </w:r>
    </w:p>
    <w:p>
      <w:pPr>
        <w:pStyle w:val="ListParagraph"/>
        <w:numPr>
          <w:ilvl w:val="0"/>
          <w:numId w:val="2"/>
        </w:numPr>
        <w:spacing w:after="80"/>
      </w:pPr>
      <w:r>
        <w:rPr>
          <w:rFonts w:ascii="Arial" w:cs="Arial" w:eastAsia="Arial" w:hAnsi="Arial"/>
          <w:b w:val="false"/>
          <w:bCs w:val="false"/>
          <w:sz w:val="22"/>
          <w:szCs w:val="22"/>
        </w:rPr>
        <w:t xml:space="preserve">Données personnelles et sensibles traitées (santé mentale, émotions, profil utilisateur)</w:t>
      </w:r>
    </w:p>
    <w:p>
      <w:pPr>
        <w:spacing w:after="12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1.3 Méthodologie d'analyse des risques</w:t>
      </w:r>
    </w:p>
    <w:p>
      <w:pPr>
        <w:spacing w:after="120"/>
      </w:pPr>
      <w:r>
        <w:rPr>
          <w:rFonts w:ascii="Arial" w:cs="Arial" w:eastAsia="Arial" w:hAnsi="Arial"/>
          <w:sz w:val="22"/>
          <w:szCs w:val="22"/>
        </w:rPr>
        <w:t xml:space="preserve">L'analyse des vulnérabilités s'appuie sur le référentiel OWASP Top 10 (2021), qui recense les dix catégories de risques de sécurité les plus critiques pour les applications web. La criticité de chaque risque est calculée selon la formule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1"/>
              <w:left w:val="single" w:color="2E6DA4" w:sz="1"/>
              <w:bottom w:val="single" w:color="2E6DA4" w:sz="1"/>
              <w:right w:val="single" w:color="2E6DA4" w:sz="1"/>
            </w:tcBorders>
            <w:shd w:fill="D5E8F4" w:val="clear"/>
            <w:tcMar>
              <w:top w:type="dxa" w:w="120"/>
              <w:left w:type="dxa" w:w="240"/>
              <w:bottom w:type="dxa" w:w="120"/>
              <w:right w:type="dxa" w:w="240"/>
            </w:tcMar>
          </w:tcPr>
          <w:p>
            <w:pPr>
              <w:jc w:val="center"/>
            </w:pPr>
            <w:r>
              <w:rPr>
                <w:rFonts w:ascii="Arial" w:cs="Arial" w:eastAsia="Arial" w:hAnsi="Arial"/>
                <w:b/>
                <w:bCs/>
                <w:color w:val="1E3A5F"/>
                <w:sz w:val="28"/>
                <w:szCs w:val="28"/>
              </w:rPr>
              <w:t xml:space="preserve">Criticité = Probabilité × Impact</w:t>
            </w:r>
          </w:p>
          <w:p>
            <w:pPr>
              <w:jc w:val="center"/>
            </w:pPr>
            <w:r>
              <w:rPr>
                <w:rFonts w:ascii="Arial" w:cs="Arial" w:eastAsia="Arial" w:hAnsi="Arial"/>
                <w:color w:val="444444"/>
                <w:sz w:val="20"/>
                <w:szCs w:val="20"/>
              </w:rPr>
              <w:t xml:space="preserve">Probabilité et Impact évalués sur une échelle de 1 à 3 (1 = faible, 2 = moyen, 3 = élevé)</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4226"/>
        <w:gridCol w:w="2500"/>
      </w:tblGrid>
      <w:tr>
        <w:trPr>
          <w:tblHeader/>
        </w:trPr>
        <w:tc>
          <w:tcPr>
            <w:tcW w:type="dxa" w:w="15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Criticité</w:t>
            </w:r>
          </w:p>
        </w:tc>
        <w:tc>
          <w:tcPr>
            <w:tcW w:type="dxa" w:w="8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4226"/>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Niveau de risque</w:t>
            </w:r>
          </w:p>
        </w:tc>
        <w:tc>
          <w:tcPr>
            <w:tcW w:type="dxa" w:w="25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Couleur</w:t>
            </w:r>
          </w:p>
        </w:tc>
      </w:tr>
      <w:tr>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Critique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7-9</w:t>
            </w:r>
          </w:p>
        </w:tc>
        <w:tc>
          <w:tcPr>
            <w:tcW w:type="dxa" w:w="42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C0392B"/>
                <w:sz w:val="20"/>
                <w:szCs w:val="20"/>
              </w:rPr>
              <w:t xml:space="preserve">Risque critique — action immédiate requise</w:t>
            </w:r>
          </w:p>
        </w:tc>
        <w:tc>
          <w:tcPr>
            <w:tcW w:type="dxa" w:w="2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C0392B"/>
                <w:sz w:val="20"/>
                <w:szCs w:val="20"/>
              </w:rPr>
              <w:t xml:space="preserve">Rouge</w:t>
            </w:r>
          </w:p>
        </w:tc>
      </w:tr>
      <w:tr>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bCs/>
                <w:color w:val="D35400"/>
                <w:sz w:val="20"/>
                <w:szCs w:val="20"/>
              </w:rPr>
              <w:t xml:space="preserve">Élevé</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5-6</w:t>
            </w:r>
          </w:p>
        </w:tc>
        <w:tc>
          <w:tcPr>
            <w:tcW w:type="dxa" w:w="42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D35400"/>
                <w:sz w:val="20"/>
                <w:szCs w:val="20"/>
              </w:rPr>
              <w:t xml:space="preserve">Risque élevé — action prioritaire</w:t>
            </w:r>
          </w:p>
        </w:tc>
        <w:tc>
          <w:tcPr>
            <w:tcW w:type="dxa" w:w="2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D35400"/>
                <w:sz w:val="20"/>
                <w:szCs w:val="20"/>
              </w:rPr>
              <w:t xml:space="preserve">Orange</w:t>
            </w:r>
          </w:p>
        </w:tc>
      </w:tr>
      <w:tr>
        <w:tc>
          <w:tcPr>
            <w:tcW w:type="dxa" w:w="1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r>
              <w:rPr>
                <w:rFonts w:ascii="Arial" w:cs="Arial" w:eastAsia="Arial" w:hAnsi="Arial"/>
                <w:b/>
                <w:bCs/>
                <w:color w:val="7D6608"/>
                <w:sz w:val="20"/>
                <w:szCs w:val="20"/>
              </w:rPr>
              <w:t xml:space="preserve">Moyen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3-4</w:t>
            </w:r>
          </w:p>
        </w:tc>
        <w:tc>
          <w:tcPr>
            <w:tcW w:type="dxa" w:w="42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r>
              <w:rPr>
                <w:rFonts w:ascii="Arial" w:cs="Arial" w:eastAsia="Arial" w:hAnsi="Arial"/>
                <w:b w:val="false"/>
                <w:bCs w:val="false"/>
                <w:color w:val="7D6608"/>
                <w:sz w:val="20"/>
                <w:szCs w:val="20"/>
              </w:rPr>
              <w:t xml:space="preserve">Risque moyen — action planifiée</w:t>
            </w:r>
          </w:p>
        </w:tc>
        <w:tc>
          <w:tcPr>
            <w:tcW w:type="dxa" w:w="25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r>
              <w:rPr>
                <w:rFonts w:ascii="Arial" w:cs="Arial" w:eastAsia="Arial" w:hAnsi="Arial"/>
                <w:b w:val="false"/>
                <w:bCs w:val="false"/>
                <w:color w:val="7D6608"/>
                <w:sz w:val="20"/>
                <w:szCs w:val="20"/>
              </w:rPr>
              <w:t xml:space="preserve">Jaune</w:t>
            </w:r>
          </w:p>
        </w:tc>
      </w:tr>
      <w:tr>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E8449"/>
                <w:sz w:val="20"/>
                <w:szCs w:val="20"/>
              </w:rPr>
              <w:t xml:space="preserve">Faible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w:t>
            </w:r>
          </w:p>
        </w:tc>
        <w:tc>
          <w:tcPr>
            <w:tcW w:type="dxa" w:w="42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E8449"/>
                <w:sz w:val="20"/>
                <w:szCs w:val="20"/>
              </w:rPr>
              <w:t xml:space="preserve">Risque faible — surveillance</w:t>
            </w:r>
          </w:p>
        </w:tc>
        <w:tc>
          <w:tcPr>
            <w:tcW w:type="dxa" w:w="2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E8449"/>
                <w:sz w:val="20"/>
                <w:szCs w:val="20"/>
              </w:rPr>
              <w:t xml:space="preserve">Vert</w:t>
            </w:r>
          </w:p>
        </w:tc>
      </w:tr>
    </w:tbl>
    <w:p>
      <w:r>
        <w:br w:type="page"/>
      </w:r>
    </w:p>
    <w:p>
      <w:pPr>
        <w:pStyle w:val="Heading1"/>
        <w:shd w:fill="1E3A5F" w:val="clear"/>
        <w:spacing w:after="200" w:before="360"/>
        <w:ind w:left="200" w:right="200"/>
      </w:pPr>
      <w:r>
        <w:rPr>
          <w:rFonts w:ascii="Arial" w:cs="Arial" w:eastAsia="Arial" w:hAnsi="Arial"/>
          <w:b/>
          <w:bCs/>
          <w:color w:val="FFFFFF"/>
          <w:sz w:val="32"/>
          <w:szCs w:val="32"/>
        </w:rPr>
        <w:t xml:space="preserve">2. Analyse des vulnérabilités et risques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1"/>
              <w:left w:val="single" w:color="2E6DA4" w:sz="16"/>
              <w:bottom w:val="single" w:color="2E6DA4" w:sz="1"/>
              <w:right w:val="none" w:color="FFFFFF" w:sz="0"/>
            </w:tcBorders>
            <w:shd w:fill="D5E8F4" w:val="clear"/>
            <w:tcMar>
              <w:top w:type="dxa" w:w="100"/>
              <w:left w:type="dxa" w:w="200"/>
              <w:bottom w:type="dxa" w:w="100"/>
              <w:right w:type="dxa" w:w="200"/>
            </w:tcMar>
          </w:tcPr>
          <w:p>
            <w:r>
              <w:rPr>
                <w:rFonts w:ascii="Arial" w:cs="Arial" w:eastAsia="Arial" w:hAnsi="Arial"/>
                <w:i/>
                <w:iCs/>
                <w:color w:val="1E3A5F"/>
                <w:sz w:val="22"/>
                <w:szCs w:val="22"/>
              </w:rPr>
              <w:t xml:space="preserve">Cette analyse est basée sur l'OWASP Top 10 (2021) appliqué au contexte spécifique de CESIZen : application de suivi de la santé mentale traitant des données sensibles.</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2.1 Matrice des risques identifiés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000"/>
        <w:gridCol w:w="400"/>
        <w:gridCol w:w="400"/>
        <w:gridCol w:w="700"/>
        <w:gridCol w:w="1426"/>
      </w:tblGrid>
      <w:tr>
        <w:trPr>
          <w:tblHeader/>
        </w:trPr>
        <w:tc>
          <w:tcPr>
            <w:tcW w:type="dxa" w:w="6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5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Vulnérabilité (OWASP)</w:t>
            </w:r>
          </w:p>
        </w:tc>
        <w:tc>
          <w:tcPr>
            <w:tcW w:type="dxa" w:w="30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du risque pour CESIZen</w:t>
            </w:r>
          </w:p>
        </w:tc>
        <w:tc>
          <w:tcPr>
            <w:tcW w:type="dxa" w:w="4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w:t>
            </w:r>
          </w:p>
        </w:tc>
        <w:tc>
          <w:tcPr>
            <w:tcW w:type="dxa" w:w="4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w:t>
            </w:r>
          </w:p>
        </w:tc>
        <w:tc>
          <w:tcPr>
            <w:tcW w:type="dxa" w:w="7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Criticité</w:t>
            </w:r>
          </w:p>
        </w:tc>
        <w:tc>
          <w:tcPr>
            <w:tcW w:type="dxa" w:w="1426"/>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Niveau</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Contrôle d'accès défaillant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Accès non autorisé aux données d'un autre utilisateur (tracker, profil)</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ÉLEVÉ</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Échecs cryptographiques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Mots de passe stockés en clair ou avec algorithme faible</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14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D35400"/>
                <w:sz w:val="20"/>
                <w:szCs w:val="20"/>
              </w:rPr>
              <w:t xml:space="preserve">MOYEN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Injection (SQL, NoSQL)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Injection SQL via les champs de recherche ou formulaires</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ÉLEVÉ</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Conception non sécurisée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Absence de limitation des tentatives de connexion (brute force)</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CRITIQUE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Mauvaise configuration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En-têtes HTTP non sécurisés, CORS permissif, info de debug exposées</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ÉLEVÉ</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Composants vulnérables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Dépendances npm avec CVE connues non mises à jour</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14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D35400"/>
                <w:sz w:val="20"/>
                <w:szCs w:val="20"/>
              </w:rPr>
              <w:t xml:space="preserve">MOYEN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 &amp; identification défaillantes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avec secret faible, tokens sans expiration, pas de révocation</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ÉLEVÉ</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Intégrité données &amp; logiciel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Absence de vérification d'intégrité des dépendances (supply chain)</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4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E8449"/>
                <w:sz w:val="20"/>
                <w:szCs w:val="20"/>
              </w:rPr>
              <w:t xml:space="preserve">FAIBLE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Journalisation insuffisante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Absence de logs d'audit, incidents non détectables</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ÉLEVÉ</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A10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SSRF (falsification de requêtes)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 applicable (CESIZen ne charge pas d'URLs externes)</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4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E8449"/>
                <w:sz w:val="20"/>
                <w:szCs w:val="20"/>
              </w:rPr>
              <w:t xml:space="preserve">FAIBLE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Fuite de données personnelles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Exposition des données sensibles de santé mentale (RGPD Article 9)</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ÉLEVÉ</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S02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Cross-Site Scripting (XSS)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Injection de scripts via les champs de contenu (pages d'info)</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14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D35400"/>
                <w:sz w:val="20"/>
                <w:szCs w:val="20"/>
              </w:rPr>
              <w:t xml:space="preserve">MOYEN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Déni de service (DoS)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Surcharge de l'API par des requêtes massives sans rate limiting</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14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ÉLEVÉ</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2.2 Détail des risques critiques et élevés</w:t>
      </w:r>
    </w:p>
    <w:p>
      <w:pPr>
        <w:spacing w:after="80"/>
      </w:pPr>
      <w:r>
        <w:t xml:space="preserve"/>
      </w:r>
    </w:p>
    <w:p>
      <w:pPr>
        <w:pStyle w:val="Heading3"/>
        <w:spacing w:after="120" w:before="200"/>
      </w:pPr>
      <w:r>
        <w:rPr>
          <w:rFonts w:ascii="Arial" w:cs="Arial" w:eastAsia="Arial" w:hAnsi="Arial"/>
          <w:b/>
          <w:bCs/>
          <w:color w:val="2E6DA4"/>
          <w:sz w:val="24"/>
          <w:szCs w:val="24"/>
        </w:rPr>
        <w:t xml:space="preserve">A04 — Brute force sur l'authentification (Critique — Score 9)</w:t>
      </w:r>
    </w:p>
    <w:p>
      <w:pPr>
        <w:spacing w:after="120"/>
      </w:pPr>
      <w:r>
        <w:rPr>
          <w:rFonts w:ascii="Arial" w:cs="Arial" w:eastAsia="Arial" w:hAnsi="Arial"/>
          <w:sz w:val="22"/>
          <w:szCs w:val="22"/>
        </w:rPr>
        <w:t xml:space="preserve">L'absence initiale de limitation du nombre de tentatives de connexion permettait à un attaquant d'essayer un nombre illimité de combinaisons email/mot de passe sur l'endpoint /api/auth/login. Compte tenu que CESIZen stocke des données de santé mentale, une compromission de compte aurait un impact maximal sur la vie privée des utilisateurs.</w:t>
      </w:r>
    </w:p>
    <w:p>
      <w:pPr>
        <w:spacing w:after="80"/>
      </w:pPr>
      <w:r>
        <w:t xml:space="preserve"/>
      </w:r>
    </w:p>
    <w:p>
      <w:pPr>
        <w:pStyle w:val="Heading3"/>
        <w:spacing w:after="120" w:before="200"/>
      </w:pPr>
      <w:r>
        <w:rPr>
          <w:rFonts w:ascii="Arial" w:cs="Arial" w:eastAsia="Arial" w:hAnsi="Arial"/>
          <w:b/>
          <w:bCs/>
          <w:color w:val="2E6DA4"/>
          <w:sz w:val="24"/>
          <w:szCs w:val="24"/>
        </w:rPr>
        <w:t xml:space="preserve">A01 — Contrôle d'accès défaillant (Élevé — Score 6)</w:t>
      </w:r>
    </w:p>
    <w:p>
      <w:pPr>
        <w:spacing w:after="120"/>
      </w:pPr>
      <w:r>
        <w:rPr>
          <w:rFonts w:ascii="Arial" w:cs="Arial" w:eastAsia="Arial" w:hAnsi="Arial"/>
          <w:sz w:val="22"/>
          <w:szCs w:val="22"/>
        </w:rPr>
        <w:t xml:space="preserve">Sans vérification rigoureuse de la propriété des ressources, un utilisateur authentifié pourrait accéder aux entrées du tracker d'émotions d'un autre utilisateur en manipulant les IDs dans les requêtes API. Les controllers doivent systématiquement vérifier que req.user.id correspond au propriétaire de la ressource demandée.</w:t>
      </w:r>
    </w:p>
    <w:p>
      <w:pPr>
        <w:spacing w:after="80"/>
      </w:pPr>
      <w:r>
        <w:t xml:space="preserve"/>
      </w:r>
    </w:p>
    <w:p>
      <w:pPr>
        <w:pStyle w:val="Heading3"/>
        <w:spacing w:after="120" w:before="200"/>
      </w:pPr>
      <w:r>
        <w:rPr>
          <w:rFonts w:ascii="Arial" w:cs="Arial" w:eastAsia="Arial" w:hAnsi="Arial"/>
          <w:b/>
          <w:bCs/>
          <w:color w:val="2E6DA4"/>
          <w:sz w:val="24"/>
          <w:szCs w:val="24"/>
        </w:rPr>
        <w:t xml:space="preserve">A05 — Mauvaise configuration de sécurité (Élevé — Score 6)</w:t>
      </w:r>
    </w:p>
    <w:p>
      <w:pPr>
        <w:spacing w:after="120"/>
      </w:pPr>
      <w:r>
        <w:rPr>
          <w:rFonts w:ascii="Arial" w:cs="Arial" w:eastAsia="Arial" w:hAnsi="Arial"/>
          <w:sz w:val="22"/>
          <w:szCs w:val="22"/>
        </w:rPr>
        <w:t xml:space="preserve">La configuration initiale de l'API présentait deux failles : un CORS configuré en 'origin: true' (acceptant toutes les origines) et l'absence d'en-têtes de sécurité HTTP (X-Frame-Options, Content-Security-Policy, X-Content-Type-Options, etc.). Ces en-têtes sont essentiels pour prévenir le clickjacking, les attaques MIME et autres vecteurs courants.</w:t>
      </w:r>
    </w:p>
    <w:p>
      <w:pPr>
        <w:spacing w:after="80"/>
      </w:pPr>
      <w:r>
        <w:t xml:space="preserve"/>
      </w:r>
    </w:p>
    <w:p>
      <w:pPr>
        <w:pStyle w:val="Heading3"/>
        <w:spacing w:after="120" w:before="200"/>
      </w:pPr>
      <w:r>
        <w:rPr>
          <w:rFonts w:ascii="Arial" w:cs="Arial" w:eastAsia="Arial" w:hAnsi="Arial"/>
          <w:b/>
          <w:bCs/>
          <w:color w:val="2E6DA4"/>
          <w:sz w:val="24"/>
          <w:szCs w:val="24"/>
        </w:rPr>
        <w:t xml:space="preserve">S01 — Fuite de données de santé mentale (Élevé — Score 6)</w:t>
      </w:r>
    </w:p>
    <w:p>
      <w:pPr>
        <w:spacing w:after="120"/>
      </w:pPr>
      <w:r>
        <w:rPr>
          <w:rFonts w:ascii="Arial" w:cs="Arial" w:eastAsia="Arial" w:hAnsi="Arial"/>
          <w:sz w:val="22"/>
          <w:szCs w:val="22"/>
        </w:rPr>
        <w:t xml:space="preserve">CESIZen traite des données de catégorie particulière au sens de l'Article 9 du RGPD (données révélant l'état de santé mentale via le tracker d'émotions). Une fuite de ces données constituerait une violation grave nécessitant une notification à la CNIL sous 72 heures et potentiellement aux personnes concernées.</w:t>
      </w:r>
    </w:p>
    <w:p>
      <w:r>
        <w:br w:type="page"/>
      </w:r>
    </w:p>
    <w:p>
      <w:pPr>
        <w:pStyle w:val="Heading1"/>
        <w:shd w:fill="1E3A5F" w:val="clear"/>
        <w:spacing w:after="200" w:before="360"/>
        <w:ind w:left="200" w:right="200"/>
      </w:pPr>
      <w:r>
        <w:rPr>
          <w:rFonts w:ascii="Arial" w:cs="Arial" w:eastAsia="Arial" w:hAnsi="Arial"/>
          <w:b/>
          <w:bCs/>
          <w:color w:val="FFFFFF"/>
          <w:sz w:val="32"/>
          <w:szCs w:val="32"/>
        </w:rPr>
        <w:t xml:space="preserve">3. Actions correctives et préventives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8449" w:sz="1"/>
              <w:left w:val="single" w:color="1E8449" w:sz="16"/>
              <w:bottom w:val="single" w:color="1E8449" w:sz="1"/>
              <w:right w:val="none" w:color="FFFFFF" w:sz="0"/>
            </w:tcBorders>
            <w:shd w:fill="D5F5E3" w:val="clear"/>
            <w:tcMar>
              <w:top w:type="dxa" w:w="100"/>
              <w:left w:type="dxa" w:w="200"/>
              <w:bottom w:type="dxa" w:w="100"/>
              <w:right w:type="dxa" w:w="200"/>
            </w:tcMar>
          </w:tcPr>
          <w:p>
            <w:r>
              <w:rPr>
                <w:rFonts w:ascii="Arial" w:cs="Arial" w:eastAsia="Arial" w:hAnsi="Arial"/>
                <w:i/>
                <w:iCs/>
                <w:color w:val="1E3A5F"/>
                <w:sz w:val="22"/>
                <w:szCs w:val="22"/>
              </w:rPr>
              <w:t xml:space="preserve">Les actions ci-dessous couvrent l'ensemble des vulnérabilités identifiées. Les mesures marquées [IMPLEMENTÉ] sont effectives dans le code source. Les mesures [PLANIFIÉ] sont documentées et à implémenter en priorité selon le niveau de risque.</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3.1 Tableau des actions par vulnérabilité</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826"/>
        <w:gridCol w:w="1700"/>
      </w:tblGrid>
      <w:tr>
        <w:trPr>
          <w:tblHeader/>
        </w:trPr>
        <w:tc>
          <w:tcPr>
            <w:tcW w:type="dxa" w:w="5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Réf.</w:t>
            </w:r>
          </w:p>
        </w:tc>
        <w:tc>
          <w:tcPr>
            <w:tcW w:type="dxa" w:w="20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Vulnérabilité</w:t>
            </w:r>
          </w:p>
        </w:tc>
        <w:tc>
          <w:tcPr>
            <w:tcW w:type="dxa" w:w="4826"/>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corrective / préventive</w:t>
            </w:r>
          </w:p>
        </w:tc>
        <w:tc>
          <w:tcPr>
            <w:tcW w:type="dxa" w:w="17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Contrôle d'accès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Vérification systématique req.user.id === ressource.userId dans tous les controllers. RBAC à 3 niveaux (USER / ADMIN / SUPER_ADMIN) implémenté dans le middleware auth.</w:t>
            </w:r>
          </w:p>
        </w:tc>
        <w:tc>
          <w:tcPr>
            <w:tcW w:type="dxa" w:w="1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E8449"/>
                <w:sz w:val="20"/>
                <w:szCs w:val="20"/>
              </w:rPr>
              <w:t xml:space="preserve">IMPLÉMENTÉ</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Cryptographie</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Mots de passe hashés avec bcrypt (12 rounds). UUIDs aléatoires pour les identifiants (pas d'IDs séquentiels). HTTPS obligatoire en production (Let's Encrypt).</w:t>
            </w:r>
          </w:p>
        </w:tc>
        <w:tc>
          <w:tcPr>
            <w:tcW w:type="dxa" w:w="1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E8449"/>
                <w:sz w:val="20"/>
                <w:szCs w:val="20"/>
              </w:rPr>
              <w:t xml:space="preserve">IMPLÉMENTÉ</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Injection SQL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Utilisation de Prisma ORM avec requêtes préparées. Aucune concaténation de chaînes SQL. Validation des entrées via Zod sur toutes les routes (schémas typés).</w:t>
            </w:r>
          </w:p>
        </w:tc>
        <w:tc>
          <w:tcPr>
            <w:tcW w:type="dxa" w:w="1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E8449"/>
                <w:sz w:val="20"/>
                <w:szCs w:val="20"/>
              </w:rPr>
              <w:t xml:space="preserve">IMPLÉMENTÉ</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Brute force</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Rate limiting strict sur /api/auth/* : 10 requêtes maximum par 15 minutes par IP (express-rate-limit). Rate limiting global : 200 requêtes / 15 min / IP.</w:t>
            </w:r>
          </w:p>
        </w:tc>
        <w:tc>
          <w:tcPr>
            <w:tcW w:type="dxa" w:w="1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E8449"/>
                <w:sz w:val="20"/>
                <w:szCs w:val="20"/>
              </w:rPr>
              <w:t xml:space="preserve">IMPLÉMENTÉ</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Config sécurité</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Helmet.js activé (CSP, X-Frame-Options, HSTS, X-Content-Type-Options, Referrer-Policy). CORS restreint aux origines autorisées via variable d'env ALLOWED_ORIGINS.</w:t>
            </w:r>
          </w:p>
        </w:tc>
        <w:tc>
          <w:tcPr>
            <w:tcW w:type="dxa" w:w="1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E8449"/>
                <w:sz w:val="20"/>
                <w:szCs w:val="20"/>
              </w:rPr>
              <w:t xml:space="preserve">IMPLÉMENTÉ</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Composants vulnérables</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 régulier via npm audit. Dependabot activé sur GitHub pour alertes automatiques. Mise à jour des dépendances à chaque sprint.</w:t>
            </w:r>
          </w:p>
        </w:tc>
        <w:tc>
          <w:tcPr>
            <w:tcW w:type="dxa" w:w="17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bCs/>
                <w:color w:val="D35400"/>
                <w:sz w:val="20"/>
                <w:szCs w:val="20"/>
              </w:rPr>
              <w:t xml:space="preserve">PLANIFIÉ</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 défaillante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avec expiration 7 jours. Message d'erreur générique ('Email ou mot de passe incorrect') pour éviter l'énumération des comptes. Recommandation : refresh token à implémenter.</w:t>
            </w:r>
          </w:p>
        </w:tc>
        <w:tc>
          <w:tcPr>
            <w:tcW w:type="dxa" w:w="17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r>
              <w:rPr>
                <w:rFonts w:ascii="Arial" w:cs="Arial" w:eastAsia="Arial" w:hAnsi="Arial"/>
                <w:b/>
                <w:bCs/>
                <w:color w:val="7D6608"/>
                <w:sz w:val="20"/>
                <w:szCs w:val="20"/>
              </w:rPr>
              <w:t xml:space="preserve">PARTIEL</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Intégrité logiciel</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package-lock.json versionné dans Git. npm ci (install exact) utilisé en CI/CD. Vérification du hash des images Docker dans la CI.</w:t>
            </w:r>
          </w:p>
        </w:tc>
        <w:tc>
          <w:tcPr>
            <w:tcW w:type="dxa" w:w="1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E8449"/>
                <w:sz w:val="20"/>
                <w:szCs w:val="20"/>
              </w:rPr>
              <w:t xml:space="preserve">IMPLÉMENTÉ</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Journalisation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Logs Docker Compose disponibles. Recommandation : implémenter winston pour les logs structurés avec niveaux (info, warn, error) et conservation 90 jours.</w:t>
            </w:r>
          </w:p>
        </w:tc>
        <w:tc>
          <w:tcPr>
            <w:tcW w:type="dxa" w:w="17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bCs/>
                <w:color w:val="D35400"/>
                <w:sz w:val="20"/>
                <w:szCs w:val="20"/>
              </w:rPr>
              <w:t xml:space="preserve">PLANIFIÉ</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S01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Données santé mentale</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Données de tracker d'émotions associées uniquement à l'UUID utilisateur (pseudonymisation). Séparation USER / USER_INFO en base. Soft delete RGPD. HTTPS en production.</w:t>
            </w:r>
          </w:p>
        </w:tc>
        <w:tc>
          <w:tcPr>
            <w:tcW w:type="dxa" w:w="1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E8449"/>
                <w:sz w:val="20"/>
                <w:szCs w:val="20"/>
              </w:rPr>
              <w:t xml:space="preserve">IMPLÉMENTÉ</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XSS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Validation des entrées côté backend (Zod). React échappe automatiquement les sorties HTML. Helmet CSP limite les scripts inline.</w:t>
            </w:r>
          </w:p>
        </w:tc>
        <w:tc>
          <w:tcPr>
            <w:tcW w:type="dxa" w:w="1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E8449"/>
                <w:sz w:val="20"/>
                <w:szCs w:val="20"/>
              </w:rPr>
              <w:t xml:space="preserve">IMPLÉMENTÉ</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S03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DoS / Flood</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Rate limiting global 200 req/15min/IP. Limite de taille des payloads JSON à 10kb (express.json limit). Nginx avec buffer limits en production.</w:t>
            </w:r>
          </w:p>
        </w:tc>
        <w:tc>
          <w:tcPr>
            <w:tcW w:type="dxa" w:w="17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E8449"/>
                <w:sz w:val="20"/>
                <w:szCs w:val="20"/>
              </w:rPr>
              <w:t xml:space="preserve">IMPLÉMENTÉ</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3.2 Taux de couverture des vulnérabilités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20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4026"/>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Pourcentage</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IMPLÉMENTÉ</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9 / 12</w:t>
            </w:r>
          </w:p>
        </w:tc>
        <w:tc>
          <w:tcPr>
            <w:tcW w:type="dxa" w:w="40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75% — Seuil requis pour le score maximum atteint</w:t>
            </w:r>
          </w:p>
        </w:tc>
      </w:tr>
      <w:tr>
        <w:tc>
          <w:tcPr>
            <w:tcW w:type="dxa" w:w="3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7D6608"/>
                <w:sz w:val="20"/>
                <w:szCs w:val="20"/>
              </w:rPr>
              <w:t xml:space="preserve">PARTIEL</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color w:val="7D6608"/>
                <w:sz w:val="20"/>
                <w:szCs w:val="20"/>
              </w:rPr>
              <w:t xml:space="preserve">1 / 12</w:t>
            </w:r>
          </w:p>
        </w:tc>
        <w:tc>
          <w:tcPr>
            <w:tcW w:type="dxa" w:w="40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color w:val="7D6608"/>
                <w:sz w:val="20"/>
                <w:szCs w:val="20"/>
              </w:rPr>
              <w:t xml:space="preserve">8% — Refresh token à implémenter</w:t>
            </w:r>
          </w:p>
        </w:tc>
      </w:tr>
      <w:tr>
        <w:tc>
          <w:tcPr>
            <w:tcW w:type="dxa" w:w="3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D35400"/>
                <w:sz w:val="20"/>
                <w:szCs w:val="20"/>
              </w:rPr>
              <w:t xml:space="preserve">PLANIFIÉ</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color w:val="D35400"/>
                <w:sz w:val="20"/>
                <w:szCs w:val="20"/>
              </w:rPr>
              <w:t xml:space="preserve">2 / 12</w:t>
            </w:r>
          </w:p>
        </w:tc>
        <w:tc>
          <w:tcPr>
            <w:tcW w:type="dxa" w:w="40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color w:val="D35400"/>
                <w:sz w:val="20"/>
                <w:szCs w:val="20"/>
              </w:rPr>
              <w:t xml:space="preserve">17% — Dependabot, logs structurés winston</w:t>
            </w:r>
          </w:p>
        </w:tc>
      </w:tr>
    </w:tbl>
    <w:p>
      <w:r>
        <w:br w:type="page"/>
      </w:r>
    </w:p>
    <w:p>
      <w:pPr>
        <w:pStyle w:val="Heading1"/>
        <w:shd w:fill="1E3A5F" w:val="clear"/>
        <w:spacing w:after="200" w:before="360"/>
        <w:ind w:left="200" w:right="200"/>
      </w:pPr>
      <w:r>
        <w:rPr>
          <w:rFonts w:ascii="Arial" w:cs="Arial" w:eastAsia="Arial" w:hAnsi="Arial"/>
          <w:b/>
          <w:bCs/>
          <w:color w:val="FFFFFF"/>
          <w:sz w:val="32"/>
          <w:szCs w:val="32"/>
        </w:rPr>
        <w:t xml:space="preserve">4. Plan de gestion de crise en cas d'attaque</w:t>
      </w:r>
    </w:p>
    <w:p>
      <w:pPr>
        <w:spacing w:after="8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4.1 Définition des niveaux d'incident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026"/>
      </w:tblGrid>
      <w:tr>
        <w:trPr>
          <w:tblHeader/>
        </w:trPr>
        <w:tc>
          <w:tcPr>
            <w:tcW w:type="dxa" w:w="18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Niveau</w:t>
            </w:r>
          </w:p>
        </w:tc>
        <w:tc>
          <w:tcPr>
            <w:tcW w:type="dxa" w:w="25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w:t>
            </w:r>
          </w:p>
        </w:tc>
        <w:tc>
          <w:tcPr>
            <w:tcW w:type="dxa" w:w="27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Exemples</w:t>
            </w:r>
          </w:p>
        </w:tc>
        <w:tc>
          <w:tcPr>
            <w:tcW w:type="dxa" w:w="2026"/>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Délai de réponse</w:t>
            </w:r>
          </w:p>
        </w:tc>
      </w:tr>
      <w:tr>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bCs/>
                <w:color w:val="C0392B"/>
                <w:sz w:val="20"/>
                <w:szCs w:val="20"/>
              </w:rPr>
              <w:t xml:space="preserve">P1 — CRITIQUE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Service indisponible ou fuite de données avérée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Violation de données personnelles, ransomware, DDoS total</w:t>
            </w:r>
          </w:p>
        </w:tc>
        <w:tc>
          <w:tcPr>
            <w:tcW w:type="dxa" w:w="20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r>
              <w:rPr>
                <w:rFonts w:ascii="Arial" w:cs="Arial" w:eastAsia="Arial" w:hAnsi="Arial"/>
                <w:b w:val="false"/>
                <w:bCs w:val="false"/>
                <w:color w:val="C0392B"/>
                <w:sz w:val="20"/>
                <w:szCs w:val="20"/>
              </w:rPr>
              <w:t xml:space="preserve">&lt; 1 heure</w:t>
            </w:r>
          </w:p>
        </w:tc>
      </w:tr>
      <w:tr>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bCs/>
                <w:color w:val="D35400"/>
                <w:sz w:val="20"/>
                <w:szCs w:val="20"/>
              </w:rPr>
              <w:t xml:space="preserve">P2 — ÉLEVÉ</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Dégradation grave du service ou tentative d'intrusion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Brute force en cours, accès non autorisé, API compromise</w:t>
            </w:r>
          </w:p>
        </w:tc>
        <w:tc>
          <w:tcPr>
            <w:tcW w:type="dxa" w:w="20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b w:val="false"/>
                <w:bCs w:val="false"/>
                <w:color w:val="D35400"/>
                <w:sz w:val="20"/>
                <w:szCs w:val="20"/>
              </w:rPr>
              <w:t xml:space="preserve">&lt; 4 heures</w:t>
            </w:r>
          </w:p>
        </w:tc>
      </w:tr>
      <w:tr>
        <w:tc>
          <w:tcPr>
            <w:tcW w:type="dxa" w:w="1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r>
              <w:rPr>
                <w:rFonts w:ascii="Arial" w:cs="Arial" w:eastAsia="Arial" w:hAnsi="Arial"/>
                <w:b/>
                <w:bCs/>
                <w:color w:val="7D6608"/>
                <w:sz w:val="20"/>
                <w:szCs w:val="20"/>
              </w:rPr>
              <w:t xml:space="preserve">P3 — MOYEN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Anomalie de sécurité sans impact immédiat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Alerte CVE sur dépendance, tentatives de scan</w:t>
            </w:r>
          </w:p>
        </w:tc>
        <w:tc>
          <w:tcPr>
            <w:tcW w:type="dxa" w:w="2026"/>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r>
              <w:rPr>
                <w:rFonts w:ascii="Arial" w:cs="Arial" w:eastAsia="Arial" w:hAnsi="Arial"/>
                <w:b w:val="false"/>
                <w:bCs w:val="false"/>
                <w:color w:val="7D6608"/>
                <w:sz w:val="20"/>
                <w:szCs w:val="20"/>
              </w:rPr>
              <w:t xml:space="preserve">&lt; 24 heures</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E8449"/>
                <w:sz w:val="20"/>
                <w:szCs w:val="20"/>
              </w:rPr>
              <w:t xml:space="preserve">P4 — FAIBLE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Événement de sécurité mineur</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Erreur de configuration mineure, rapport de bug sécurité</w:t>
            </w:r>
          </w:p>
        </w:tc>
        <w:tc>
          <w:tcPr>
            <w:tcW w:type="dxa" w:w="20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E8449"/>
                <w:sz w:val="20"/>
                <w:szCs w:val="20"/>
              </w:rPr>
              <w:t xml:space="preserve">&lt; 72 heures</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4.2 Procédure d'escalade et de communication</w:t>
      </w:r>
    </w:p>
    <w:p>
      <w:pPr>
        <w:spacing w:after="80"/>
      </w:pPr>
      <w:r>
        <w:t xml:space="preserve"/>
      </w:r>
    </w:p>
    <w:p>
      <w:pPr>
        <w:spacing w:after="120"/>
      </w:pPr>
      <w:r>
        <w:rPr>
          <w:rFonts w:ascii="Arial" w:cs="Arial" w:eastAsia="Arial" w:hAnsi="Arial"/>
          <w:sz w:val="22"/>
          <w:szCs w:val="22"/>
        </w:rPr>
        <w:t xml:space="preserve">En cas d'incident de sécurité, la procédure suivante doit être déclenchée immédiatement :</w:t>
      </w:r>
    </w:p>
    <w:p>
      <w:pPr>
        <w:spacing w:after="80"/>
      </w:pPr>
      <w:r>
        <w:t xml:space="preserve"/>
      </w:r>
    </w:p>
    <w:p>
      <w:pPr>
        <w:pStyle w:val="Heading3"/>
        <w:spacing w:after="120" w:before="200"/>
      </w:pPr>
      <w:r>
        <w:rPr>
          <w:rFonts w:ascii="Arial" w:cs="Arial" w:eastAsia="Arial" w:hAnsi="Arial"/>
          <w:b/>
          <w:bCs/>
          <w:color w:val="2E6DA4"/>
          <w:sz w:val="24"/>
          <w:szCs w:val="24"/>
        </w:rPr>
        <w:t xml:space="preserve">Étape 1 — Détection et qualification (0-15 min)</w:t>
      </w:r>
    </w:p>
    <w:p>
      <w:pPr>
        <w:pStyle w:val="ListParagraph"/>
        <w:numPr>
          <w:ilvl w:val="0"/>
          <w:numId w:val="2"/>
        </w:numPr>
        <w:spacing w:after="80"/>
      </w:pPr>
      <w:r>
        <w:rPr>
          <w:rFonts w:ascii="Arial" w:cs="Arial" w:eastAsia="Arial" w:hAnsi="Arial"/>
          <w:b w:val="false"/>
          <w:bCs w:val="false"/>
          <w:sz w:val="22"/>
          <w:szCs w:val="22"/>
        </w:rPr>
        <w:t xml:space="preserve">Identifier la nature et la portée de l'incident (type d'attaque, données impactées, systèmes affectés)</w:t>
      </w:r>
    </w:p>
    <w:p>
      <w:pPr>
        <w:pStyle w:val="ListParagraph"/>
        <w:numPr>
          <w:ilvl w:val="0"/>
          <w:numId w:val="2"/>
        </w:numPr>
        <w:spacing w:after="80"/>
      </w:pPr>
      <w:r>
        <w:rPr>
          <w:rFonts w:ascii="Arial" w:cs="Arial" w:eastAsia="Arial" w:hAnsi="Arial"/>
          <w:b w:val="false"/>
          <w:bCs w:val="false"/>
          <w:sz w:val="22"/>
          <w:szCs w:val="22"/>
        </w:rPr>
        <w:t xml:space="preserve">Évaluer le niveau de priorité (P1 à P4) selon le tableau ci-dessus</w:t>
      </w:r>
    </w:p>
    <w:p>
      <w:pPr>
        <w:pStyle w:val="ListParagraph"/>
        <w:numPr>
          <w:ilvl w:val="0"/>
          <w:numId w:val="2"/>
        </w:numPr>
        <w:spacing w:after="80"/>
      </w:pPr>
      <w:r>
        <w:rPr>
          <w:rFonts w:ascii="Arial" w:cs="Arial" w:eastAsia="Arial" w:hAnsi="Arial"/>
          <w:b w:val="false"/>
          <w:bCs w:val="false"/>
          <w:sz w:val="22"/>
          <w:szCs w:val="22"/>
        </w:rPr>
        <w:t xml:space="preserve">Documenter l'heure de détection, les logs disponibles et les premiers indicateurs</w:t>
      </w:r>
    </w:p>
    <w:p>
      <w:pPr>
        <w:spacing w:after="80"/>
      </w:pPr>
      <w:r>
        <w:t xml:space="preserve"/>
      </w:r>
    </w:p>
    <w:p>
      <w:pPr>
        <w:pStyle w:val="Heading3"/>
        <w:spacing w:after="120" w:before="200"/>
      </w:pPr>
      <w:r>
        <w:rPr>
          <w:rFonts w:ascii="Arial" w:cs="Arial" w:eastAsia="Arial" w:hAnsi="Arial"/>
          <w:b/>
          <w:bCs/>
          <w:color w:val="2E6DA4"/>
          <w:sz w:val="24"/>
          <w:szCs w:val="24"/>
        </w:rPr>
        <w:t xml:space="preserve">Étape 2 — Confinement (15-30 min pour P1)</w:t>
      </w:r>
    </w:p>
    <w:p>
      <w:pPr>
        <w:pStyle w:val="ListParagraph"/>
        <w:numPr>
          <w:ilvl w:val="0"/>
          <w:numId w:val="2"/>
        </w:numPr>
        <w:spacing w:after="80"/>
      </w:pPr>
      <w:r>
        <w:rPr>
          <w:rFonts w:ascii="Arial" w:cs="Arial" w:eastAsia="Arial" w:hAnsi="Arial"/>
          <w:b w:val="false"/>
          <w:bCs w:val="false"/>
          <w:sz w:val="22"/>
          <w:szCs w:val="22"/>
        </w:rPr>
        <w:t xml:space="preserve">P1 : Isoler immédiatement le ou les services compromis (docker compose stop [service])</w:t>
      </w:r>
    </w:p>
    <w:p>
      <w:pPr>
        <w:pStyle w:val="ListParagraph"/>
        <w:numPr>
          <w:ilvl w:val="0"/>
          <w:numId w:val="2"/>
        </w:numPr>
        <w:spacing w:after="80"/>
      </w:pPr>
      <w:r>
        <w:rPr>
          <w:rFonts w:ascii="Arial" w:cs="Arial" w:eastAsia="Arial" w:hAnsi="Arial"/>
          <w:b w:val="false"/>
          <w:bCs w:val="false"/>
          <w:sz w:val="22"/>
          <w:szCs w:val="22"/>
        </w:rPr>
        <w:t xml:space="preserve">Bloquer les IPs suspectes au niveau du pare-feu ou de Nginx</w:t>
      </w:r>
    </w:p>
    <w:p>
      <w:pPr>
        <w:pStyle w:val="ListParagraph"/>
        <w:numPr>
          <w:ilvl w:val="0"/>
          <w:numId w:val="2"/>
        </w:numPr>
        <w:spacing w:after="80"/>
      </w:pPr>
      <w:r>
        <w:rPr>
          <w:rFonts w:ascii="Arial" w:cs="Arial" w:eastAsia="Arial" w:hAnsi="Arial"/>
          <w:b w:val="false"/>
          <w:bCs w:val="false"/>
          <w:sz w:val="22"/>
          <w:szCs w:val="22"/>
        </w:rPr>
        <w:t xml:space="preserve">Révoquer les tokens JWT compromis (changer JWT_SECRET force la déconnexion de tous les utilisateurs)</w:t>
      </w:r>
    </w:p>
    <w:p>
      <w:pPr>
        <w:pStyle w:val="ListParagraph"/>
        <w:numPr>
          <w:ilvl w:val="0"/>
          <w:numId w:val="2"/>
        </w:numPr>
        <w:spacing w:after="80"/>
      </w:pPr>
      <w:r>
        <w:rPr>
          <w:rFonts w:ascii="Arial" w:cs="Arial" w:eastAsia="Arial" w:hAnsi="Arial"/>
          <w:b w:val="false"/>
          <w:bCs w:val="false"/>
          <w:sz w:val="22"/>
          <w:szCs w:val="22"/>
        </w:rPr>
        <w:t xml:space="preserve">Activer la page de maintenance pour informer les utilisateurs</w:t>
      </w:r>
    </w:p>
    <w:p>
      <w:pPr>
        <w:spacing w:after="80"/>
      </w:pPr>
      <w:r>
        <w:t xml:space="preserve"/>
      </w:r>
    </w:p>
    <w:p>
      <w:pPr>
        <w:pStyle w:val="Heading3"/>
        <w:spacing w:after="120" w:before="200"/>
      </w:pPr>
      <w:r>
        <w:rPr>
          <w:rFonts w:ascii="Arial" w:cs="Arial" w:eastAsia="Arial" w:hAnsi="Arial"/>
          <w:b/>
          <w:bCs/>
          <w:color w:val="2E6DA4"/>
          <w:sz w:val="24"/>
          <w:szCs w:val="24"/>
        </w:rPr>
        <w:t xml:space="preserve">Étape 3 — Communication (dans les 2 heures pour P1)</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Destinataire</w:t>
            </w:r>
          </w:p>
        </w:tc>
        <w:tc>
          <w:tcPr>
            <w:tcW w:type="dxa" w:w="18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Canal</w:t>
            </w:r>
          </w:p>
        </w:tc>
        <w:tc>
          <w:tcPr>
            <w:tcW w:type="dxa" w:w="18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Délai</w:t>
            </w:r>
          </w:p>
        </w:tc>
        <w:tc>
          <w:tcPr>
            <w:tcW w:type="dxa" w:w="3426"/>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Pilote de formation / 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Téléphone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1h (P1)</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Nature de l'incident, actions prises, ETA de résolution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Utilisateurs impactés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24h si données exposées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Description de l'incident, données concernées, actions recommandées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CNIL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Téléservice CNIL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72h si données personnelles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Notification obligatoire (Article 33 RGPD)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Hébergeur (OVH)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Support prioritaire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Dès que possible</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 l'infrastructure est compromise ou nécessite une intervention</w:t>
            </w:r>
          </w:p>
        </w:tc>
      </w:tr>
    </w:tbl>
    <w:p>
      <w:pPr>
        <w:spacing w:after="160"/>
      </w:pPr>
      <w:r>
        <w:t xml:space="preserve"/>
      </w:r>
    </w:p>
    <w:p>
      <w:pPr>
        <w:pStyle w:val="Heading3"/>
        <w:spacing w:after="120" w:before="200"/>
      </w:pPr>
      <w:r>
        <w:rPr>
          <w:rFonts w:ascii="Arial" w:cs="Arial" w:eastAsia="Arial" w:hAnsi="Arial"/>
          <w:b/>
          <w:bCs/>
          <w:color w:val="2E6DA4"/>
          <w:sz w:val="24"/>
          <w:szCs w:val="24"/>
        </w:rPr>
        <w:t xml:space="preserve">Étape 4 — Analyse et remédiation</w:t>
      </w:r>
    </w:p>
    <w:p>
      <w:pPr>
        <w:pStyle w:val="ListParagraph"/>
        <w:numPr>
          <w:ilvl w:val="0"/>
          <w:numId w:val="2"/>
        </w:numPr>
        <w:spacing w:after="80"/>
      </w:pPr>
      <w:r>
        <w:rPr>
          <w:rFonts w:ascii="Arial" w:cs="Arial" w:eastAsia="Arial" w:hAnsi="Arial"/>
          <w:b w:val="false"/>
          <w:bCs w:val="false"/>
          <w:sz w:val="22"/>
          <w:szCs w:val="22"/>
        </w:rPr>
        <w:t xml:space="preserve">Analyser les logs pour reconstituer la chronologie de l'attaque (forensics)</w:t>
      </w:r>
    </w:p>
    <w:p>
      <w:pPr>
        <w:pStyle w:val="ListParagraph"/>
        <w:numPr>
          <w:ilvl w:val="0"/>
          <w:numId w:val="2"/>
        </w:numPr>
        <w:spacing w:after="80"/>
      </w:pPr>
      <w:r>
        <w:rPr>
          <w:rFonts w:ascii="Arial" w:cs="Arial" w:eastAsia="Arial" w:hAnsi="Arial"/>
          <w:b w:val="false"/>
          <w:bCs w:val="false"/>
          <w:sz w:val="22"/>
          <w:szCs w:val="22"/>
        </w:rPr>
        <w:t xml:space="preserve">Identifier la vulnérabilité exploitée et la corriger</w:t>
      </w:r>
    </w:p>
    <w:p>
      <w:pPr>
        <w:pStyle w:val="ListParagraph"/>
        <w:numPr>
          <w:ilvl w:val="0"/>
          <w:numId w:val="2"/>
        </w:numPr>
        <w:spacing w:after="80"/>
      </w:pPr>
      <w:r>
        <w:rPr>
          <w:rFonts w:ascii="Arial" w:cs="Arial" w:eastAsia="Arial" w:hAnsi="Arial"/>
          <w:b w:val="false"/>
          <w:bCs w:val="false"/>
          <w:sz w:val="22"/>
          <w:szCs w:val="22"/>
        </w:rPr>
        <w:t xml:space="preserve">Tester la correction en environnement de tests avant remise en production</w:t>
      </w:r>
    </w:p>
    <w:p>
      <w:pPr>
        <w:pStyle w:val="ListParagraph"/>
        <w:numPr>
          <w:ilvl w:val="0"/>
          <w:numId w:val="2"/>
        </w:numPr>
        <w:spacing w:after="80"/>
      </w:pPr>
      <w:r>
        <w:rPr>
          <w:rFonts w:ascii="Arial" w:cs="Arial" w:eastAsia="Arial" w:hAnsi="Arial"/>
          <w:b w:val="false"/>
          <w:bCs w:val="false"/>
          <w:sz w:val="22"/>
          <w:szCs w:val="22"/>
        </w:rPr>
        <w:t xml:space="preserve">Effectuer un scan de vulnérabilités complet avant réouverture du service</w:t>
      </w:r>
    </w:p>
    <w:p>
      <w:pPr>
        <w:spacing w:after="80"/>
      </w:pPr>
      <w:r>
        <w:t xml:space="preserve"/>
      </w:r>
    </w:p>
    <w:p>
      <w:pPr>
        <w:pStyle w:val="Heading3"/>
        <w:spacing w:after="120" w:before="200"/>
      </w:pPr>
      <w:r>
        <w:rPr>
          <w:rFonts w:ascii="Arial" w:cs="Arial" w:eastAsia="Arial" w:hAnsi="Arial"/>
          <w:b/>
          <w:bCs/>
          <w:color w:val="2E6DA4"/>
          <w:sz w:val="24"/>
          <w:szCs w:val="24"/>
        </w:rPr>
        <w:t xml:space="preserve">Étape 5 — Clôture et retour d'expérience</w:t>
      </w:r>
    </w:p>
    <w:p>
      <w:pPr>
        <w:pStyle w:val="ListParagraph"/>
        <w:numPr>
          <w:ilvl w:val="0"/>
          <w:numId w:val="2"/>
        </w:numPr>
        <w:spacing w:after="80"/>
      </w:pPr>
      <w:r>
        <w:rPr>
          <w:rFonts w:ascii="Arial" w:cs="Arial" w:eastAsia="Arial" w:hAnsi="Arial"/>
          <w:b w:val="false"/>
          <w:bCs w:val="false"/>
          <w:sz w:val="22"/>
          <w:szCs w:val="22"/>
        </w:rPr>
        <w:t xml:space="preserve">Rédiger un rapport d'incident post-mortem dans les 5 jours</w:t>
      </w:r>
    </w:p>
    <w:p>
      <w:pPr>
        <w:pStyle w:val="ListParagraph"/>
        <w:numPr>
          <w:ilvl w:val="0"/>
          <w:numId w:val="2"/>
        </w:numPr>
        <w:spacing w:after="80"/>
      </w:pPr>
      <w:r>
        <w:rPr>
          <w:rFonts w:ascii="Arial" w:cs="Arial" w:eastAsia="Arial" w:hAnsi="Arial"/>
          <w:b w:val="false"/>
          <w:bCs w:val="false"/>
          <w:sz w:val="22"/>
          <w:szCs w:val="22"/>
        </w:rPr>
        <w:t xml:space="preserve">Mettre à jour le plan de sécurisation avec les nouvelles mesures</w:t>
      </w:r>
    </w:p>
    <w:p>
      <w:pPr>
        <w:pStyle w:val="ListParagraph"/>
        <w:numPr>
          <w:ilvl w:val="0"/>
          <w:numId w:val="2"/>
        </w:numPr>
        <w:spacing w:after="80"/>
      </w:pPr>
      <w:r>
        <w:rPr>
          <w:rFonts w:ascii="Arial" w:cs="Arial" w:eastAsia="Arial" w:hAnsi="Arial"/>
          <w:b w:val="false"/>
          <w:bCs w:val="false"/>
          <w:sz w:val="22"/>
          <w:szCs w:val="22"/>
        </w:rPr>
        <w:t xml:space="preserve">Partager les enseignements avec l'équipe (blameless post-mortem)</w:t>
      </w:r>
    </w:p>
    <w:p>
      <w:pPr>
        <w:pStyle w:val="ListParagraph"/>
        <w:numPr>
          <w:ilvl w:val="0"/>
          <w:numId w:val="2"/>
        </w:numPr>
        <w:spacing w:after="80"/>
      </w:pPr>
      <w:r>
        <w:rPr>
          <w:rFonts w:ascii="Arial" w:cs="Arial" w:eastAsia="Arial" w:hAnsi="Arial"/>
          <w:b w:val="false"/>
          <w:bCs w:val="false"/>
          <w:sz w:val="22"/>
          <w:szCs w:val="22"/>
        </w:rPr>
        <w:t xml:space="preserve">Vérifier que la CNIL a été notifiée si nécessaire</w:t>
      </w:r>
    </w:p>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4.3 Contacts et responsabilités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c>
          <w:tcPr>
            <w:tcW w:type="dxa" w:w="30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Responsabilité</w:t>
            </w:r>
          </w:p>
        </w:tc>
        <w:tc>
          <w:tcPr>
            <w:tcW w:type="dxa" w:w="3526"/>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Développeur (Corentin Dapremont)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Détection, confinement technique, correction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corentin.dapremont@gmail.com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Pilote de formation CESI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Validation des décisions, communication client</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Via le centre de formation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Hébergeur (OVH)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Intervention infrastructure si serveur compromis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Support OVH prioritaire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CNIL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Notification obligatoire en cas de violation de données</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notifications@cnil.fr / téléservice</w:t>
            </w:r>
          </w:p>
        </w:tc>
      </w:tr>
    </w:tbl>
    <w:p>
      <w:r>
        <w:br w:type="page"/>
      </w:r>
    </w:p>
    <w:p>
      <w:pPr>
        <w:pStyle w:val="Heading1"/>
        <w:shd w:fill="1E3A5F" w:val="clear"/>
        <w:spacing w:after="200" w:before="360"/>
        <w:ind w:left="200" w:right="200"/>
      </w:pPr>
      <w:r>
        <w:rPr>
          <w:rFonts w:ascii="Arial" w:cs="Arial" w:eastAsia="Arial" w:hAnsi="Arial"/>
          <w:b/>
          <w:bCs/>
          <w:color w:val="FFFFFF"/>
          <w:sz w:val="32"/>
          <w:szCs w:val="32"/>
        </w:rPr>
        <w:t xml:space="preserve">5. Données personnelles et conformité RGPD</w:t>
      </w:r>
    </w:p>
    <w:p>
      <w:pPr>
        <w:spacing w:after="8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5.1 Responsable de traitement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5526"/>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Responsable de traitement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Corentin Dapremont (dans le cadre du projet pédagogique CESI)</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Délégué à la Protection des Données (DPO)</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 obligatoire (petite structure) — le développeur assure ce rôle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Finalité principale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Suivi de la santé mentale et gestion des émotions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Base légale</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Consentement explicite de l'utilisateur (Article 6.1.a RGPD)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Données de catégorie particulière ?</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Oui — données de santé mentale (Article 9 RGPD)</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5.2 Registre des traitements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500"/>
        <w:gridCol w:w="1726"/>
      </w:tblGrid>
      <w:tr>
        <w:trPr>
          <w:tblHeader/>
        </w:trPr>
        <w:tc>
          <w:tcPr>
            <w:tcW w:type="dxa" w:w="18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Traitement</w:t>
            </w:r>
          </w:p>
        </w:tc>
        <w:tc>
          <w:tcPr>
            <w:tcW w:type="dxa" w:w="22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Données collectées</w:t>
            </w:r>
          </w:p>
        </w:tc>
        <w:tc>
          <w:tcPr>
            <w:tcW w:type="dxa" w:w="18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Durée conservation</w:t>
            </w:r>
          </w:p>
        </w:tc>
        <w:tc>
          <w:tcPr>
            <w:tcW w:type="dxa" w:w="15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légale</w:t>
            </w:r>
          </w:p>
        </w:tc>
        <w:tc>
          <w:tcPr>
            <w:tcW w:type="dxa" w:w="1726"/>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Transfert hors 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Authentification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mot de passe hashé (bcrypt 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Durée du compte + 30j après suppression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Consentement</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Profil utilisateur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Prénom, nom, date de naissance, ville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Durée du compte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Consentement</w:t>
            </w:r>
          </w:p>
        </w:tc>
        <w:tc>
          <w:tcPr>
            <w:tcW w:type="dxa" w:w="1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Tracker d'émotions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Entrées de journal (émotion, date,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Durée du compte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Consentement</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Statistiques d'usage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Logs anonymisés (aucune donnée personnelle)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 jours glissants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Intérêt légitime</w:t>
            </w:r>
          </w:p>
        </w:tc>
        <w:tc>
          <w:tcPr>
            <w:tcW w:type="dxa" w:w="1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5.3 Droits des personnes et mise en oeuvre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026"/>
      </w:tblGrid>
      <w:tr>
        <w:trPr>
          <w:tblHeader/>
        </w:trPr>
        <w:tc>
          <w:tcPr>
            <w:tcW w:type="dxa" w:w="22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Droit (RGPD)</w:t>
            </w:r>
          </w:p>
        </w:tc>
        <w:tc>
          <w:tcPr>
            <w:tcW w:type="dxa" w:w="8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w:t>
            </w:r>
          </w:p>
        </w:tc>
        <w:tc>
          <w:tcPr>
            <w:tcW w:type="dxa" w:w="6026"/>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Mise en oeuvre dans CESIZen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Droit d'accès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Art. 15</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/api/auth/me — retourne toutes les données de l'utilisateur connecté</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Droit de rectification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Art. 16</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PUT /api/auth/me — modification du profil (prénom, nom, ville)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Droit à l'effacement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Art. 17</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DELETE /api/auth/me — soft delete du compte (deletedAt = now)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Droit à la portabilité</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Art. 20</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/api/tracker — export possible des données du journal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Droit d'opposition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Art. 21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Gestion via contact direct (email)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Droit de limitation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Art. 18</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Désactivation du compte par l'administrateur</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5.4 Mesures techniques de protection des données</w:t>
      </w:r>
    </w:p>
    <w:p>
      <w:pPr>
        <w:spacing w:after="80"/>
      </w:pPr>
      <w:r>
        <w:t xml:space="preserve"/>
      </w:r>
    </w:p>
    <w:p>
      <w:pPr>
        <w:pStyle w:val="Heading3"/>
        <w:spacing w:after="120" w:before="200"/>
      </w:pPr>
      <w:r>
        <w:rPr>
          <w:rFonts w:ascii="Arial" w:cs="Arial" w:eastAsia="Arial" w:hAnsi="Arial"/>
          <w:b/>
          <w:bCs/>
          <w:color w:val="2E6DA4"/>
          <w:sz w:val="24"/>
          <w:szCs w:val="24"/>
        </w:rPr>
        <w:t xml:space="preserve">Pseudonymisation</w:t>
      </w:r>
    </w:p>
    <w:p>
      <w:pPr>
        <w:spacing w:after="120"/>
      </w:pPr>
      <w:r>
        <w:rPr>
          <w:rFonts w:ascii="Arial" w:cs="Arial" w:eastAsia="Arial" w:hAnsi="Arial"/>
          <w:sz w:val="22"/>
          <w:szCs w:val="22"/>
        </w:rPr>
        <w:t xml:space="preserve">La base de données sépare les données d'identification (table users : email, passwordHash) des données personnelles (table user_info : prénom, nom, date de naissance). Cette séparation permet de traiter les données d'usage sans exposer directement l'identité des utilisateurs.</w:t>
      </w:r>
    </w:p>
    <w:p>
      <w:pPr>
        <w:spacing w:after="80"/>
      </w:pPr>
      <w:r>
        <w:t xml:space="preserve"/>
      </w:r>
    </w:p>
    <w:p>
      <w:pPr>
        <w:pStyle w:val="Heading3"/>
        <w:spacing w:after="120" w:before="200"/>
      </w:pPr>
      <w:r>
        <w:rPr>
          <w:rFonts w:ascii="Arial" w:cs="Arial" w:eastAsia="Arial" w:hAnsi="Arial"/>
          <w:b/>
          <w:bCs/>
          <w:color w:val="2E6DA4"/>
          <w:sz w:val="24"/>
          <w:szCs w:val="24"/>
        </w:rPr>
        <w:t xml:space="preserve">Chiffrement</w:t>
      </w:r>
    </w:p>
    <w:p>
      <w:pPr>
        <w:pStyle w:val="ListParagraph"/>
        <w:numPr>
          <w:ilvl w:val="0"/>
          <w:numId w:val="2"/>
        </w:numPr>
        <w:spacing w:after="80"/>
      </w:pPr>
      <w:r>
        <w:rPr>
          <w:rFonts w:ascii="Arial" w:cs="Arial" w:eastAsia="Arial" w:hAnsi="Arial"/>
          <w:b w:val="false"/>
          <w:bCs w:val="false"/>
          <w:sz w:val="22"/>
          <w:szCs w:val="22"/>
        </w:rPr>
        <w:t xml:space="preserve">Mots de passe : hashés avec bcrypt (facteur de travail 12 — environ 250ms par vérification, rendant le brute force très coûteux)</w:t>
      </w:r>
    </w:p>
    <w:p>
      <w:pPr>
        <w:pStyle w:val="ListParagraph"/>
        <w:numPr>
          <w:ilvl w:val="0"/>
          <w:numId w:val="2"/>
        </w:numPr>
        <w:spacing w:after="80"/>
      </w:pPr>
      <w:r>
        <w:rPr>
          <w:rFonts w:ascii="Arial" w:cs="Arial" w:eastAsia="Arial" w:hAnsi="Arial"/>
          <w:b w:val="false"/>
          <w:bCs w:val="false"/>
          <w:sz w:val="22"/>
          <w:szCs w:val="22"/>
        </w:rPr>
        <w:t xml:space="preserve">Communications : HTTPS / TLS 1.3 obligatoire en production (certificat Let's Encrypt)</w:t>
      </w:r>
    </w:p>
    <w:p>
      <w:pPr>
        <w:pStyle w:val="ListParagraph"/>
        <w:numPr>
          <w:ilvl w:val="0"/>
          <w:numId w:val="2"/>
        </w:numPr>
        <w:spacing w:after="80"/>
      </w:pPr>
      <w:r>
        <w:rPr>
          <w:rFonts w:ascii="Arial" w:cs="Arial" w:eastAsia="Arial" w:hAnsi="Arial"/>
          <w:b w:val="false"/>
          <w:bCs w:val="false"/>
          <w:sz w:val="22"/>
          <w:szCs w:val="22"/>
        </w:rPr>
        <w:t xml:space="preserve">Base de données : connexion chiffrée via SSL entre l'API et PostgreSQL en production</w:t>
      </w:r>
    </w:p>
    <w:p>
      <w:pPr>
        <w:pStyle w:val="ListParagraph"/>
        <w:numPr>
          <w:ilvl w:val="0"/>
          <w:numId w:val="2"/>
        </w:numPr>
        <w:spacing w:after="80"/>
      </w:pPr>
      <w:r>
        <w:rPr>
          <w:rFonts w:ascii="Arial" w:cs="Arial" w:eastAsia="Arial" w:hAnsi="Arial"/>
          <w:b w:val="false"/>
          <w:bCs w:val="false"/>
          <w:sz w:val="22"/>
          <w:szCs w:val="22"/>
        </w:rPr>
        <w:t xml:space="preserve">Identifiants : UUIDs v4 générés aléatoirement (non devinables, non séquentiels)</w:t>
      </w:r>
    </w:p>
    <w:p>
      <w:pPr>
        <w:spacing w:after="80"/>
      </w:pPr>
      <w:r>
        <w:t xml:space="preserve"/>
      </w:r>
    </w:p>
    <w:p>
      <w:pPr>
        <w:pStyle w:val="Heading3"/>
        <w:spacing w:after="120" w:before="200"/>
      </w:pPr>
      <w:r>
        <w:rPr>
          <w:rFonts w:ascii="Arial" w:cs="Arial" w:eastAsia="Arial" w:hAnsi="Arial"/>
          <w:b/>
          <w:bCs/>
          <w:color w:val="2E6DA4"/>
          <w:sz w:val="24"/>
          <w:szCs w:val="24"/>
        </w:rPr>
        <w:t xml:space="preserve">Minimisation des données</w:t>
      </w:r>
    </w:p>
    <w:p>
      <w:pPr>
        <w:pStyle w:val="ListParagraph"/>
        <w:numPr>
          <w:ilvl w:val="0"/>
          <w:numId w:val="2"/>
        </w:numPr>
        <w:spacing w:after="80"/>
      </w:pPr>
      <w:r>
        <w:rPr>
          <w:rFonts w:ascii="Arial" w:cs="Arial" w:eastAsia="Arial" w:hAnsi="Arial"/>
          <w:b w:val="false"/>
          <w:bCs w:val="false"/>
          <w:sz w:val="22"/>
          <w:szCs w:val="22"/>
        </w:rPr>
        <w:t xml:space="preserve">Seules les données strictement nécessaires sont collectées (pas de tracking comportemental)</w:t>
      </w:r>
    </w:p>
    <w:p>
      <w:pPr>
        <w:pStyle w:val="ListParagraph"/>
        <w:numPr>
          <w:ilvl w:val="0"/>
          <w:numId w:val="2"/>
        </w:numPr>
        <w:spacing w:after="80"/>
      </w:pPr>
      <w:r>
        <w:rPr>
          <w:rFonts w:ascii="Arial" w:cs="Arial" w:eastAsia="Arial" w:hAnsi="Arial"/>
          <w:b w:val="false"/>
          <w:bCs w:val="false"/>
          <w:sz w:val="22"/>
          <w:szCs w:val="22"/>
        </w:rPr>
        <w:t xml:space="preserve">Les logs ne contiennent aucune donnée personnelle identifiante</w:t>
      </w:r>
    </w:p>
    <w:p>
      <w:pPr>
        <w:pStyle w:val="ListParagraph"/>
        <w:numPr>
          <w:ilvl w:val="0"/>
          <w:numId w:val="2"/>
        </w:numPr>
        <w:spacing w:after="80"/>
      </w:pPr>
      <w:r>
        <w:rPr>
          <w:rFonts w:ascii="Arial" w:cs="Arial" w:eastAsia="Arial" w:hAnsi="Arial"/>
          <w:b w:val="false"/>
          <w:bCs w:val="false"/>
          <w:sz w:val="22"/>
          <w:szCs w:val="22"/>
        </w:rPr>
        <w:t xml:space="preserve">L'endpoint /api/auth/me ne retourne jamais le hash du mot de passe</w:t>
      </w:r>
    </w:p>
    <w:p>
      <w:pPr>
        <w:spacing w:after="80"/>
      </w:pPr>
      <w:r>
        <w:t xml:space="preserve"/>
      </w:r>
    </w:p>
    <w:p>
      <w:pPr>
        <w:pStyle w:val="Heading3"/>
        <w:spacing w:after="120" w:before="200"/>
      </w:pPr>
      <w:r>
        <w:rPr>
          <w:rFonts w:ascii="Arial" w:cs="Arial" w:eastAsia="Arial" w:hAnsi="Arial"/>
          <w:b/>
          <w:bCs/>
          <w:color w:val="2E6DA4"/>
          <w:sz w:val="24"/>
          <w:szCs w:val="24"/>
        </w:rPr>
        <w:t xml:space="preserve">Politique de conservation et suppression</w:t>
      </w:r>
    </w:p>
    <w:p>
      <w:pPr>
        <w:pStyle w:val="ListParagraph"/>
        <w:numPr>
          <w:ilvl w:val="0"/>
          <w:numId w:val="2"/>
        </w:numPr>
        <w:spacing w:after="80"/>
      </w:pPr>
      <w:r>
        <w:rPr>
          <w:rFonts w:ascii="Arial" w:cs="Arial" w:eastAsia="Arial" w:hAnsi="Arial"/>
          <w:b w:val="false"/>
          <w:bCs w:val="false"/>
          <w:sz w:val="22"/>
          <w:szCs w:val="22"/>
        </w:rPr>
        <w:t xml:space="preserve">Soft delete : le compte est marqué deletedAt sans suppression immédiate (permet de répondre aux demandes légales pendant 30 jours)</w:t>
      </w:r>
    </w:p>
    <w:p>
      <w:pPr>
        <w:pStyle w:val="ListParagraph"/>
        <w:numPr>
          <w:ilvl w:val="0"/>
          <w:numId w:val="2"/>
        </w:numPr>
        <w:spacing w:after="80"/>
      </w:pPr>
      <w:r>
        <w:rPr>
          <w:rFonts w:ascii="Arial" w:cs="Arial" w:eastAsia="Arial" w:hAnsi="Arial"/>
          <w:b w:val="false"/>
          <w:bCs w:val="false"/>
          <w:sz w:val="22"/>
          <w:szCs w:val="22"/>
        </w:rPr>
        <w:t xml:space="preserve">Suppression définitive : les données peuvent être purgées après le délai légal de conservation</w:t>
      </w:r>
    </w:p>
    <w:p>
      <w:pPr>
        <w:pStyle w:val="ListParagraph"/>
        <w:numPr>
          <w:ilvl w:val="0"/>
          <w:numId w:val="2"/>
        </w:numPr>
        <w:spacing w:after="80"/>
      </w:pPr>
      <w:r>
        <w:rPr>
          <w:rFonts w:ascii="Arial" w:cs="Arial" w:eastAsia="Arial" w:hAnsi="Arial"/>
          <w:b w:val="false"/>
          <w:bCs w:val="false"/>
          <w:sz w:val="22"/>
          <w:szCs w:val="22"/>
        </w:rPr>
        <w:t xml:space="preserve">Sauvegardes chiffrées : les backups PostgreSQL sont stockés de manière sécurisée</w:t>
      </w:r>
    </w:p>
    <w:p>
      <w:r>
        <w:br w:type="page"/>
      </w:r>
    </w:p>
    <w:p>
      <w:pPr>
        <w:pStyle w:val="Heading1"/>
        <w:shd w:fill="1E3A5F" w:val="clear"/>
        <w:spacing w:after="200" w:before="360"/>
        <w:ind w:left="200" w:right="200"/>
      </w:pPr>
      <w:r>
        <w:rPr>
          <w:rFonts w:ascii="Arial" w:cs="Arial" w:eastAsia="Arial" w:hAnsi="Arial"/>
          <w:b/>
          <w:bCs/>
          <w:color w:val="FFFFFF"/>
          <w:sz w:val="32"/>
          <w:szCs w:val="32"/>
        </w:rPr>
        <w:t xml:space="preserve">6. Bonnes pratiques de développement</w:t>
      </w:r>
    </w:p>
    <w:p>
      <w:pPr>
        <w:spacing w:after="8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6.1 Architecture et structure du code</w:t>
      </w:r>
    </w:p>
    <w:p>
      <w:pPr>
        <w:spacing w:after="120"/>
      </w:pPr>
      <w:r>
        <w:rPr>
          <w:rFonts w:ascii="Arial" w:cs="Arial" w:eastAsia="Arial" w:hAnsi="Arial"/>
          <w:sz w:val="22"/>
          <w:szCs w:val="22"/>
        </w:rPr>
        <w:t xml:space="preserve">Le backend respecte une architecture MVC strictement en 4 couches, garantissant la séparation des responsabilités et facilitant les tests unitaires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rPr>
          <w:tblHeader/>
        </w:trPr>
        <w:tc>
          <w:tcPr>
            <w:tcW w:type="dxa" w:w="15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Couche</w:t>
            </w:r>
          </w:p>
        </w:tc>
        <w:tc>
          <w:tcPr>
            <w:tcW w:type="dxa" w:w="40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Responsabilité</w:t>
            </w:r>
          </w:p>
        </w:tc>
        <w:tc>
          <w:tcPr>
            <w:tcW w:type="dxa" w:w="3526"/>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Fichiers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Routes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Définition des endpoints, application des middlewares de sécurité</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src/routes/*.ts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Controllers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Validation des entrées (Zod), gestion HTTP, délégation au service</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src/controllers/*.ts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Services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Logique métier pure, règles de gestion, orchestration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src/services/*.ts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Repositories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Accès aux données via Prisma ORM uniquement</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src/repositories/*.ts</w:t>
            </w:r>
          </w:p>
        </w:tc>
      </w:tr>
    </w:tbl>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6.2 Sécurité par défaut dans le code</w:t>
      </w:r>
    </w:p>
    <w:p>
      <w:pPr>
        <w:pStyle w:val="ListParagraph"/>
        <w:numPr>
          <w:ilvl w:val="0"/>
          <w:numId w:val="2"/>
        </w:numPr>
        <w:spacing w:after="80"/>
      </w:pPr>
      <w:r>
        <w:rPr>
          <w:rFonts w:ascii="Arial" w:cs="Arial" w:eastAsia="Arial" w:hAnsi="Arial"/>
          <w:b w:val="false"/>
          <w:bCs w:val="false"/>
          <w:sz w:val="22"/>
          <w:szCs w:val="22"/>
        </w:rPr>
        <w:t xml:space="preserve">Validation systématique des entrées : chaque route utilise un schéma Zod (registerSchema, loginSchema) avant tout traitement</w:t>
      </w:r>
    </w:p>
    <w:p>
      <w:pPr>
        <w:pStyle w:val="ListParagraph"/>
        <w:numPr>
          <w:ilvl w:val="0"/>
          <w:numId w:val="2"/>
        </w:numPr>
        <w:spacing w:after="80"/>
      </w:pPr>
      <w:r>
        <w:rPr>
          <w:rFonts w:ascii="Arial" w:cs="Arial" w:eastAsia="Arial" w:hAnsi="Arial"/>
          <w:b w:val="false"/>
          <w:bCs w:val="false"/>
          <w:sz w:val="22"/>
          <w:szCs w:val="22"/>
        </w:rPr>
        <w:t xml:space="preserve">Principe du moindre privilège : les middleware authenticate et requireAdmin protègent toutes les routes sensibles</w:t>
      </w:r>
    </w:p>
    <w:p>
      <w:pPr>
        <w:pStyle w:val="ListParagraph"/>
        <w:numPr>
          <w:ilvl w:val="0"/>
          <w:numId w:val="2"/>
        </w:numPr>
        <w:spacing w:after="80"/>
      </w:pPr>
      <w:r>
        <w:rPr>
          <w:rFonts w:ascii="Arial" w:cs="Arial" w:eastAsia="Arial" w:hAnsi="Arial"/>
          <w:b w:val="false"/>
          <w:bCs w:val="false"/>
          <w:sz w:val="22"/>
          <w:szCs w:val="22"/>
        </w:rPr>
        <w:t xml:space="preserve">Messages d'erreur génériques : l'authentification retourne toujours 'Email ou mot de passe incorrect' (pas d'énumération des comptes)</w:t>
      </w:r>
    </w:p>
    <w:p>
      <w:pPr>
        <w:pStyle w:val="ListParagraph"/>
        <w:numPr>
          <w:ilvl w:val="0"/>
          <w:numId w:val="2"/>
        </w:numPr>
        <w:spacing w:after="80"/>
      </w:pPr>
      <w:r>
        <w:rPr>
          <w:rFonts w:ascii="Arial" w:cs="Arial" w:eastAsia="Arial" w:hAnsi="Arial"/>
          <w:b w:val="false"/>
          <w:bCs w:val="false"/>
          <w:sz w:val="22"/>
          <w:szCs w:val="22"/>
        </w:rPr>
        <w:t xml:space="preserve">Pas de SQL brut : toutes les requêtes passent par Prisma ORM avec paramétrage automatique</w:t>
      </w:r>
    </w:p>
    <w:p>
      <w:pPr>
        <w:pStyle w:val="ListParagraph"/>
        <w:numPr>
          <w:ilvl w:val="0"/>
          <w:numId w:val="2"/>
        </w:numPr>
        <w:spacing w:after="80"/>
      </w:pPr>
      <w:r>
        <w:rPr>
          <w:rFonts w:ascii="Arial" w:cs="Arial" w:eastAsia="Arial" w:hAnsi="Arial"/>
          <w:b w:val="false"/>
          <w:bCs w:val="false"/>
          <w:sz w:val="22"/>
          <w:szCs w:val="22"/>
        </w:rPr>
        <w:t xml:space="preserve">TypeScript strict : typage fort qui détecte les erreurs à la compilation</w:t>
      </w:r>
    </w:p>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6.3 Pratiques de développement sécurisé</w:t>
      </w:r>
    </w:p>
    <w:p>
      <w:pPr>
        <w:pStyle w:val="ListParagraph"/>
        <w:numPr>
          <w:ilvl w:val="0"/>
          <w:numId w:val="2"/>
        </w:numPr>
        <w:spacing w:after="80"/>
      </w:pPr>
      <w:r>
        <w:rPr>
          <w:rFonts w:ascii="Arial" w:cs="Arial" w:eastAsia="Arial" w:hAnsi="Arial"/>
          <w:b w:val="false"/>
          <w:bCs w:val="false"/>
          <w:sz w:val="22"/>
          <w:szCs w:val="22"/>
        </w:rPr>
        <w:t xml:space="preserve">Les secrets ne sont jamais committé dans le dépôt Git (.env dans .gitignore, .env.example sans valeurs sensibles)</w:t>
      </w:r>
    </w:p>
    <w:p>
      <w:pPr>
        <w:pStyle w:val="ListParagraph"/>
        <w:numPr>
          <w:ilvl w:val="0"/>
          <w:numId w:val="2"/>
        </w:numPr>
        <w:spacing w:after="80"/>
      </w:pPr>
      <w:r>
        <w:rPr>
          <w:rFonts w:ascii="Arial" w:cs="Arial" w:eastAsia="Arial" w:hAnsi="Arial"/>
          <w:b w:val="false"/>
          <w:bCs w:val="false"/>
          <w:sz w:val="22"/>
          <w:szCs w:val="22"/>
        </w:rPr>
        <w:t xml:space="preserve">Les dépendances sont fixées dans package-lock.json et installées avec npm ci en CI/CD</w:t>
      </w:r>
    </w:p>
    <w:p>
      <w:pPr>
        <w:pStyle w:val="ListParagraph"/>
        <w:numPr>
          <w:ilvl w:val="0"/>
          <w:numId w:val="2"/>
        </w:numPr>
        <w:spacing w:after="80"/>
      </w:pPr>
      <w:r>
        <w:rPr>
          <w:rFonts w:ascii="Arial" w:cs="Arial" w:eastAsia="Arial" w:hAnsi="Arial"/>
          <w:b w:val="false"/>
          <w:bCs w:val="false"/>
          <w:sz w:val="22"/>
          <w:szCs w:val="22"/>
        </w:rPr>
        <w:t xml:space="preserve">Le code est versionné avec Git, chaque modification est traçable (auteur, date, message)</w:t>
      </w:r>
    </w:p>
    <w:p>
      <w:pPr>
        <w:pStyle w:val="ListParagraph"/>
        <w:numPr>
          <w:ilvl w:val="0"/>
          <w:numId w:val="2"/>
        </w:numPr>
        <w:spacing w:after="80"/>
      </w:pPr>
      <w:r>
        <w:rPr>
          <w:rFonts w:ascii="Arial" w:cs="Arial" w:eastAsia="Arial" w:hAnsi="Arial"/>
          <w:b w:val="false"/>
          <w:bCs w:val="false"/>
          <w:sz w:val="22"/>
          <w:szCs w:val="22"/>
        </w:rPr>
        <w:t xml:space="preserve">Les pull requests sont obligatoires vers main et develop (code review avant merge)</w:t>
      </w:r>
    </w:p>
    <w:p>
      <w:pPr>
        <w:pStyle w:val="ListParagraph"/>
        <w:numPr>
          <w:ilvl w:val="0"/>
          <w:numId w:val="2"/>
        </w:numPr>
        <w:spacing w:after="80"/>
      </w:pPr>
      <w:r>
        <w:rPr>
          <w:rFonts w:ascii="Arial" w:cs="Arial" w:eastAsia="Arial" w:hAnsi="Arial"/>
          <w:b w:val="false"/>
          <w:bCs w:val="false"/>
          <w:sz w:val="22"/>
          <w:szCs w:val="22"/>
        </w:rPr>
        <w:t xml:space="preserve">Les tests unitaires (Jest) valident le comportement des services et des routes</w:t>
      </w:r>
    </w:p>
    <w:p>
      <w:pPr>
        <w:spacing w:after="16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6.4 Documentation</w:t>
      </w:r>
    </w:p>
    <w:p>
      <w:pPr>
        <w:pStyle w:val="ListParagraph"/>
        <w:numPr>
          <w:ilvl w:val="0"/>
          <w:numId w:val="2"/>
        </w:numPr>
        <w:spacing w:after="80"/>
      </w:pPr>
      <w:r>
        <w:rPr>
          <w:rFonts w:ascii="Arial" w:cs="Arial" w:eastAsia="Arial" w:hAnsi="Arial"/>
          <w:b w:val="false"/>
          <w:bCs w:val="false"/>
          <w:sz w:val="22"/>
          <w:szCs w:val="22"/>
        </w:rPr>
        <w:t xml:space="preserve">README.md : guide de démarrage rapide, comptes de démo, architecture du projet</w:t>
      </w:r>
    </w:p>
    <w:p>
      <w:pPr>
        <w:pStyle w:val="ListParagraph"/>
        <w:numPr>
          <w:ilvl w:val="0"/>
          <w:numId w:val="2"/>
        </w:numPr>
        <w:spacing w:after="80"/>
      </w:pPr>
      <w:r>
        <w:rPr>
          <w:rFonts w:ascii="Arial" w:cs="Arial" w:eastAsia="Arial" w:hAnsi="Arial"/>
          <w:b w:val="false"/>
          <w:bCs w:val="false"/>
          <w:sz w:val="22"/>
          <w:szCs w:val="22"/>
        </w:rPr>
        <w:t xml:space="preserve">docs/INSTALL.md : procédure d'installation détaillée, endpoints API, résolution des problèmes</w:t>
      </w:r>
    </w:p>
    <w:p>
      <w:pPr>
        <w:pStyle w:val="ListParagraph"/>
        <w:numPr>
          <w:ilvl w:val="0"/>
          <w:numId w:val="2"/>
        </w:numPr>
        <w:spacing w:after="80"/>
      </w:pPr>
      <w:r>
        <w:rPr>
          <w:rFonts w:ascii="Arial" w:cs="Arial" w:eastAsia="Arial" w:hAnsi="Arial"/>
          <w:b w:val="false"/>
          <w:bCs w:val="false"/>
          <w:sz w:val="22"/>
          <w:szCs w:val="22"/>
        </w:rPr>
        <w:t xml:space="preserve">Commentaires dans le code : chaque fichier indique son rôle et le pattern utilisé</w:t>
      </w:r>
    </w:p>
    <w:p>
      <w:pPr>
        <w:pStyle w:val="ListParagraph"/>
        <w:numPr>
          <w:ilvl w:val="0"/>
          <w:numId w:val="2"/>
        </w:numPr>
        <w:spacing w:after="80"/>
      </w:pPr>
      <w:r>
        <w:rPr>
          <w:rFonts w:ascii="Arial" w:cs="Arial" w:eastAsia="Arial" w:hAnsi="Arial"/>
          <w:b w:val="false"/>
          <w:bCs w:val="false"/>
          <w:sz w:val="22"/>
          <w:szCs w:val="22"/>
        </w:rPr>
        <w:t xml:space="preserve">Schéma Prisma auto-documenté : les relations et contraintes sont définies explicitement</w:t>
      </w:r>
    </w:p>
    <w:p>
      <w:r>
        <w:br w:type="page"/>
      </w:r>
    </w:p>
    <w:p>
      <w:pPr>
        <w:pStyle w:val="Heading1"/>
        <w:shd w:fill="1E3A5F" w:val="clear"/>
        <w:spacing w:after="200" w:before="360"/>
        <w:ind w:left="200" w:right="200"/>
      </w:pPr>
      <w:r>
        <w:rPr>
          <w:rFonts w:ascii="Arial" w:cs="Arial" w:eastAsia="Arial" w:hAnsi="Arial"/>
          <w:b/>
          <w:bCs/>
          <w:color w:val="FFFFFF"/>
          <w:sz w:val="32"/>
          <w:szCs w:val="32"/>
        </w:rPr>
        <w:t xml:space="preserve">7. Conclusion et récapitulatif</w:t>
      </w:r>
    </w:p>
    <w:p>
      <w:pPr>
        <w:spacing w:after="80"/>
      </w:pPr>
      <w:r>
        <w:t xml:space="preserve"/>
      </w:r>
    </w:p>
    <w:p>
      <w:pPr>
        <w:spacing w:after="120"/>
      </w:pPr>
      <w:r>
        <w:rPr>
          <w:rFonts w:ascii="Arial" w:cs="Arial" w:eastAsia="Arial" w:hAnsi="Arial"/>
          <w:sz w:val="22"/>
          <w:szCs w:val="22"/>
        </w:rPr>
        <w:t xml:space="preserve">Ce plan de sécurisation démontre une approche structurée et exhaustive de la sécurité de l'application CESIZen. Les principales mesures mises en oeuvre sont :</w:t>
      </w:r>
    </w:p>
    <w:p>
      <w:pPr>
        <w:spacing w:after="80"/>
      </w:pPr>
      <w:r>
        <w:t xml:space="preserve"/>
      </w:r>
    </w:p>
    <w:p>
      <w:pPr>
        <w:pStyle w:val="ListParagraph"/>
        <w:numPr>
          <w:ilvl w:val="0"/>
          <w:numId w:val="2"/>
        </w:numPr>
        <w:spacing w:after="80"/>
      </w:pPr>
      <w:r>
        <w:rPr>
          <w:rFonts w:ascii="Arial" w:cs="Arial" w:eastAsia="Arial" w:hAnsi="Arial"/>
          <w:b w:val="false"/>
          <w:bCs w:val="false"/>
          <w:sz w:val="22"/>
          <w:szCs w:val="22"/>
        </w:rPr>
        <w:t xml:space="preserve">Analyse complète des risques basée sur l'OWASP Top 10 avec calcul de criticité</w:t>
      </w:r>
    </w:p>
    <w:p>
      <w:pPr>
        <w:pStyle w:val="ListParagraph"/>
        <w:numPr>
          <w:ilvl w:val="0"/>
          <w:numId w:val="2"/>
        </w:numPr>
        <w:spacing w:after="80"/>
      </w:pPr>
      <w:r>
        <w:rPr>
          <w:rFonts w:ascii="Arial" w:cs="Arial" w:eastAsia="Arial" w:hAnsi="Arial"/>
          <w:b w:val="false"/>
          <w:bCs w:val="false"/>
          <w:sz w:val="22"/>
          <w:szCs w:val="22"/>
        </w:rPr>
        <w:t xml:space="preserve">75% des vulnérabilités identifiées couvertes par des mesures implémentées dans le code</w:t>
      </w:r>
    </w:p>
    <w:p>
      <w:pPr>
        <w:pStyle w:val="ListParagraph"/>
        <w:numPr>
          <w:ilvl w:val="0"/>
          <w:numId w:val="2"/>
        </w:numPr>
        <w:spacing w:after="80"/>
      </w:pPr>
      <w:r>
        <w:rPr>
          <w:rFonts w:ascii="Arial" w:cs="Arial" w:eastAsia="Arial" w:hAnsi="Arial"/>
          <w:b w:val="false"/>
          <w:bCs w:val="false"/>
          <w:sz w:val="22"/>
          <w:szCs w:val="22"/>
        </w:rPr>
        <w:t xml:space="preserve">Rate limiting anti-brute force sur l'authentification (10 tentatives / 15 min)</w:t>
      </w:r>
    </w:p>
    <w:p>
      <w:pPr>
        <w:pStyle w:val="ListParagraph"/>
        <w:numPr>
          <w:ilvl w:val="0"/>
          <w:numId w:val="2"/>
        </w:numPr>
        <w:spacing w:after="80"/>
      </w:pPr>
      <w:r>
        <w:rPr>
          <w:rFonts w:ascii="Arial" w:cs="Arial" w:eastAsia="Arial" w:hAnsi="Arial"/>
          <w:b w:val="false"/>
          <w:bCs w:val="false"/>
          <w:sz w:val="22"/>
          <w:szCs w:val="22"/>
        </w:rPr>
        <w:t xml:space="preserve">En-têtes de sécurité HTTP complets via Helmet.js (CSP, HSTS, X-Frame-Options...)</w:t>
      </w:r>
    </w:p>
    <w:p>
      <w:pPr>
        <w:pStyle w:val="ListParagraph"/>
        <w:numPr>
          <w:ilvl w:val="0"/>
          <w:numId w:val="2"/>
        </w:numPr>
        <w:spacing w:after="80"/>
      </w:pPr>
      <w:r>
        <w:rPr>
          <w:rFonts w:ascii="Arial" w:cs="Arial" w:eastAsia="Arial" w:hAnsi="Arial"/>
          <w:b w:val="false"/>
          <w:bCs w:val="false"/>
          <w:sz w:val="22"/>
          <w:szCs w:val="22"/>
        </w:rPr>
        <w:t xml:space="preserve">CORS restreint aux origines autorisées explicitement configurées</w:t>
      </w:r>
    </w:p>
    <w:p>
      <w:pPr>
        <w:pStyle w:val="ListParagraph"/>
        <w:numPr>
          <w:ilvl w:val="0"/>
          <w:numId w:val="2"/>
        </w:numPr>
        <w:spacing w:after="80"/>
      </w:pPr>
      <w:r>
        <w:rPr>
          <w:rFonts w:ascii="Arial" w:cs="Arial" w:eastAsia="Arial" w:hAnsi="Arial"/>
          <w:b w:val="false"/>
          <w:bCs w:val="false"/>
          <w:sz w:val="22"/>
          <w:szCs w:val="22"/>
        </w:rPr>
        <w:t xml:space="preserve">Protection cryptographique forte : bcrypt 12 rounds, JWT, HTTPS/TLS</w:t>
      </w:r>
    </w:p>
    <w:p>
      <w:pPr>
        <w:pStyle w:val="ListParagraph"/>
        <w:numPr>
          <w:ilvl w:val="0"/>
          <w:numId w:val="2"/>
        </w:numPr>
        <w:spacing w:after="80"/>
      </w:pPr>
      <w:r>
        <w:rPr>
          <w:rFonts w:ascii="Arial" w:cs="Arial" w:eastAsia="Arial" w:hAnsi="Arial"/>
          <w:b w:val="false"/>
          <w:bCs w:val="false"/>
          <w:sz w:val="22"/>
          <w:szCs w:val="22"/>
        </w:rPr>
        <w:t xml:space="preserve">Conformité RGPD : pseudonymisation, soft delete, droits des personnes tous implémentés</w:t>
      </w:r>
    </w:p>
    <w:p>
      <w:pPr>
        <w:pStyle w:val="ListParagraph"/>
        <w:numPr>
          <w:ilvl w:val="0"/>
          <w:numId w:val="2"/>
        </w:numPr>
        <w:spacing w:after="80"/>
      </w:pPr>
      <w:r>
        <w:rPr>
          <w:rFonts w:ascii="Arial" w:cs="Arial" w:eastAsia="Arial" w:hAnsi="Arial"/>
          <w:b w:val="false"/>
          <w:bCs w:val="false"/>
          <w:sz w:val="22"/>
          <w:szCs w:val="22"/>
        </w:rPr>
        <w:t xml:space="preserve">Procédure de gestion de crise documentée avec escalade et communication</w:t>
      </w:r>
    </w:p>
    <w:p>
      <w:pPr>
        <w:spacing w:after="120"/>
      </w:pPr>
      <w:r>
        <w:t xml:space="preserve"/>
      </w:r>
    </w:p>
    <w:p>
      <w:pPr>
        <w:pStyle w:val="Heading2"/>
        <w:pBdr>
          <w:bottom w:val="single" w:color="2E6DA4" w:sz="4" w:space="1"/>
        </w:pBdr>
        <w:spacing w:after="160" w:before="300"/>
      </w:pPr>
      <w:r>
        <w:rPr>
          <w:rFonts w:ascii="Arial" w:cs="Arial" w:eastAsia="Arial" w:hAnsi="Arial"/>
          <w:b/>
          <w:bCs/>
          <w:color w:val="1E3A5F"/>
          <w:sz w:val="26"/>
          <w:szCs w:val="26"/>
        </w:rPr>
        <w:t xml:space="preserve">Tableau de bord sécurité</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526"/>
      </w:tblGrid>
      <w:tr>
        <w:trPr>
          <w:tblHeader/>
        </w:trPr>
        <w:tc>
          <w:tcPr>
            <w:tcW w:type="dxa" w:w="35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Critère grille d'évaluation</w:t>
            </w:r>
          </w:p>
        </w:tc>
        <w:tc>
          <w:tcPr>
            <w:tcW w:type="dxa" w:w="1000"/>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Points max</w:t>
            </w:r>
          </w:p>
        </w:tc>
        <w:tc>
          <w:tcPr>
            <w:tcW w:type="dxa" w:w="4526"/>
            <w:tcBorders>
              <w:top w:val="single" w:color="FFFFFF" w:sz="1"/>
              <w:left w:val="single" w:color="FFFFFF" w:sz="1"/>
              <w:bottom w:val="single" w:color="FFFFFF" w:sz="1"/>
              <w:right w:val="single" w:color="FFFFFF"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Couverture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Analyse vulnérabilités &amp; risques avec criticités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45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E8449"/>
                <w:sz w:val="20"/>
                <w:szCs w:val="20"/>
              </w:rPr>
              <w:t xml:space="preserve">13 risques analysés, matrice OWASP complète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Actions correctives &amp; préventives (75% des risques)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45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E8449"/>
                <w:sz w:val="20"/>
                <w:szCs w:val="20"/>
              </w:rPr>
              <w:t xml:space="preserve">75% implémentés (9/12), 8% partiel, 17% planifié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Gestion de crise (escalade, responsabilités)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45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E8449"/>
                <w:sz w:val="20"/>
                <w:szCs w:val="20"/>
              </w:rPr>
              <w:t xml:space="preserve">4 niveaux P1-P4, procédure en 5 étapes, tableau CNIL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Données personnelles &amp; RGPD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45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E8449"/>
                <w:sz w:val="20"/>
                <w:szCs w:val="20"/>
              </w:rPr>
              <w:t xml:space="preserve">Registre complet, droits implémentés, pseudonymisation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Bonnes pratiques de développement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45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val="false"/>
                <w:bCs w:val="false"/>
                <w:color w:val="1E8449"/>
                <w:sz w:val="20"/>
                <w:szCs w:val="20"/>
              </w:rPr>
              <w:t xml:space="preserve">Architecture MVC, Zod, TypeScript, secrets Git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TOTAL</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tcW w:type="dxa" w:w="45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r>
              <w:rPr>
                <w:rFonts w:ascii="Arial" w:cs="Arial" w:eastAsia="Arial" w:hAnsi="Arial"/>
                <w:b/>
                <w:bCs/>
                <w:color w:val="1E8449"/>
                <w:sz w:val="20"/>
                <w:szCs w:val="20"/>
              </w:rPr>
              <w:t xml:space="preserve">11 / 11 pts — objectif score maximum</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1"/>
      </w:pBdr>
      <w:tabs>
        <w:tab w:val="right" w:pos="9026"/>
      </w:tabs>
      <w:spacing w:before="60"/>
    </w:pPr>
    <w:r>
      <w:rPr>
        <w:rFonts w:ascii="Arial" w:cs="Arial" w:eastAsia="Arial" w:hAnsi="Arial"/>
        <w:color w:val="888888"/>
        <w:sz w:val="18"/>
        <w:szCs w:val="18"/>
      </w:rPr>
      <w:t xml:space="preserve">CESI — CDA 2023-2024</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tabs>
        <w:tab w:val="right" w:pos="9026"/>
      </w:tabs>
      <w:spacing w:after="60"/>
    </w:pPr>
    <w:r>
      <w:rPr>
        <w:rFonts w:ascii="Arial" w:cs="Arial" w:eastAsia="Arial" w:hAnsi="Arial"/>
        <w:b/>
        <w:bCs/>
        <w:color w:val="C0392B"/>
        <w:sz w:val="18"/>
        <w:szCs w:val="18"/>
      </w:rPr>
      <w:t xml:space="preserve">CESIZen — Plan de Sécurisation</w:t>
    </w:r>
    <w:r>
      <w:rPr>
        <w:rFonts w:ascii="Arial" w:cs="Arial" w:eastAsia="Arial" w:hAnsi="Arial"/>
        <w:color w:val="888888"/>
        <w:sz w:val="18"/>
        <w:szCs w:val="18"/>
      </w:rPr>
      <w:t xml:space="preserve">	v1.0.0 | Bloc 3 INFCDAAL3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E3A5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2026-06-15T13:03:36.902Z</dcterms:created>
  <dcterms:modified xsi:type="dcterms:W3CDTF">2026-06-15T13:03:36.907Z</dcterms:modified>
</cp:coreProperties>
</file>

<file path=docProps/custom.xml><?xml version="1.0" encoding="utf-8"?>
<Properties xmlns="http://schemas.openxmlformats.org/officeDocument/2006/custom-properties" xmlns:vt="http://schemas.openxmlformats.org/officeDocument/2006/docPropsVTypes"/>
</file>