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562A7" w14:textId="046840B5" w:rsidR="00F42B2F" w:rsidRPr="00674997" w:rsidRDefault="00847A9F" w:rsidP="00674997">
      <w:pPr>
        <w:jc w:val="center"/>
        <w:rPr>
          <w:b/>
          <w:bCs/>
          <w:sz w:val="56"/>
          <w:szCs w:val="56"/>
        </w:rPr>
      </w:pPr>
      <w:r w:rsidRPr="00674997">
        <w:rPr>
          <w:b/>
          <w:bCs/>
          <w:sz w:val="56"/>
          <w:szCs w:val="56"/>
        </w:rPr>
        <w:t>Raport z analizy korelacji między bezrobociem a inflacją w krajach europejskich</w:t>
      </w:r>
    </w:p>
    <w:p w14:paraId="2DC6EEF0" w14:textId="77777777" w:rsidR="00A01E36" w:rsidRDefault="00A01E36">
      <w:pPr>
        <w:rPr>
          <w:b/>
          <w:bCs/>
        </w:rPr>
      </w:pPr>
    </w:p>
    <w:p w14:paraId="103E617F" w14:textId="0AF9D758" w:rsidR="00847A9F" w:rsidRDefault="00A01E36">
      <w:pPr>
        <w:rPr>
          <w:b/>
          <w:bCs/>
        </w:rPr>
      </w:pPr>
      <w:r>
        <w:rPr>
          <w:b/>
          <w:bCs/>
        </w:rPr>
        <w:t xml:space="preserve">Autorzy - </w:t>
      </w:r>
      <w:r w:rsidRPr="00A01E36">
        <w:rPr>
          <w:b/>
          <w:bCs/>
        </w:rPr>
        <w:t>Cyprian W, Michał W, Mateusz N</w:t>
      </w:r>
    </w:p>
    <w:p w14:paraId="170ADF04" w14:textId="77777777" w:rsidR="00A01E36" w:rsidRPr="00A01E36" w:rsidRDefault="00A01E36">
      <w:pPr>
        <w:rPr>
          <w:b/>
          <w:bCs/>
        </w:rPr>
      </w:pPr>
    </w:p>
    <w:p w14:paraId="427A7924" w14:textId="4EF127F3" w:rsidR="00847A9F" w:rsidRDefault="00847A9F" w:rsidP="00674997">
      <w:pPr>
        <w:pStyle w:val="Nagwek1"/>
        <w:numPr>
          <w:ilvl w:val="0"/>
          <w:numId w:val="4"/>
        </w:numPr>
      </w:pPr>
      <w:r>
        <w:t>Wprowadzenie</w:t>
      </w:r>
    </w:p>
    <w:p w14:paraId="75616BF6" w14:textId="41489033" w:rsidR="00847A9F" w:rsidRDefault="00847A9F" w:rsidP="00847A9F">
      <w:r>
        <w:t>Celem analizy było zbadanie związku pomiędzy inflacją a bezrobociem w krajach europejskich w latach 1997–2025, w kontekście:</w:t>
      </w:r>
    </w:p>
    <w:p w14:paraId="4E05994D" w14:textId="5223C4FA" w:rsidR="00847A9F" w:rsidRDefault="00847A9F" w:rsidP="00847A9F">
      <w:pPr>
        <w:pStyle w:val="Akapitzlist"/>
        <w:numPr>
          <w:ilvl w:val="0"/>
          <w:numId w:val="2"/>
        </w:numPr>
      </w:pPr>
      <w:r>
        <w:t>ogólnej korelacji pomiędzy tymi zjawiskami,</w:t>
      </w:r>
    </w:p>
    <w:p w14:paraId="1B8A46F4" w14:textId="24C5C503" w:rsidR="00847A9F" w:rsidRDefault="00847A9F" w:rsidP="00847A9F">
      <w:pPr>
        <w:pStyle w:val="Akapitzlist"/>
        <w:numPr>
          <w:ilvl w:val="0"/>
          <w:numId w:val="2"/>
        </w:numPr>
      </w:pPr>
      <w:r>
        <w:t>różnic pomiędzy krajami,</w:t>
      </w:r>
    </w:p>
    <w:p w14:paraId="3F5BABE2" w14:textId="21F73C01" w:rsidR="00847A9F" w:rsidRDefault="00847A9F" w:rsidP="00847A9F">
      <w:pPr>
        <w:pStyle w:val="Akapitzlist"/>
        <w:numPr>
          <w:ilvl w:val="0"/>
          <w:numId w:val="2"/>
        </w:numPr>
      </w:pPr>
      <w:r>
        <w:t>zmienności czasowej,</w:t>
      </w:r>
    </w:p>
    <w:p w14:paraId="6CBF3F62" w14:textId="584A2A7F" w:rsidR="00847A9F" w:rsidRDefault="00847A9F" w:rsidP="00847A9F">
      <w:pPr>
        <w:pStyle w:val="Akapitzlist"/>
        <w:numPr>
          <w:ilvl w:val="0"/>
          <w:numId w:val="2"/>
        </w:numPr>
      </w:pPr>
      <w:r>
        <w:t>oraz różnic płciowych w poziomach bezrobocia.</w:t>
      </w:r>
    </w:p>
    <w:p w14:paraId="37104369" w14:textId="77777777" w:rsidR="00847A9F" w:rsidRDefault="00847A9F" w:rsidP="00847A9F">
      <w:pPr>
        <w:pStyle w:val="Akapitzlist"/>
      </w:pPr>
    </w:p>
    <w:p w14:paraId="3F282DBA" w14:textId="036F1A22" w:rsidR="00847A9F" w:rsidRDefault="00847A9F" w:rsidP="00847A9F">
      <w:r>
        <w:t>Analiza oparta została na danych Eurostatu dotyczących inflacji (HICP) i bezrobocia (wg płci i ogółem), z uwzględnieniem czyszczenia danych, testów statystycznych oraz wizualizacji.</w:t>
      </w:r>
    </w:p>
    <w:p w14:paraId="6B8141A4" w14:textId="77777777" w:rsidR="00847A9F" w:rsidRDefault="00847A9F" w:rsidP="00847A9F"/>
    <w:p w14:paraId="1C7A52EE" w14:textId="0D230085" w:rsidR="00847A9F" w:rsidRDefault="00847A9F" w:rsidP="00D20998">
      <w:pPr>
        <w:pStyle w:val="Nagwek1"/>
        <w:numPr>
          <w:ilvl w:val="0"/>
          <w:numId w:val="4"/>
        </w:numPr>
      </w:pPr>
      <w:r>
        <w:t>Dane i ich przygotowanie</w:t>
      </w:r>
    </w:p>
    <w:p w14:paraId="35D161BE" w14:textId="4391374D" w:rsidR="00847A9F" w:rsidRDefault="00847A9F" w:rsidP="00847A9F">
      <w:pPr>
        <w:pStyle w:val="Akapitzlist"/>
        <w:numPr>
          <w:ilvl w:val="1"/>
          <w:numId w:val="1"/>
        </w:numPr>
      </w:pPr>
      <w:r>
        <w:t>Dane inflacji</w:t>
      </w:r>
    </w:p>
    <w:p w14:paraId="4E79C15D" w14:textId="628C8ECF" w:rsidR="00300513" w:rsidRDefault="00300513" w:rsidP="00847A9F">
      <w:pPr>
        <w:pStyle w:val="Akapitzlist"/>
        <w:numPr>
          <w:ilvl w:val="2"/>
          <w:numId w:val="1"/>
        </w:numPr>
      </w:pPr>
      <w:r>
        <w:t>Dane mierzone procentowo</w:t>
      </w:r>
    </w:p>
    <w:p w14:paraId="5C1A1197" w14:textId="0952F47B" w:rsidR="00847A9F" w:rsidRDefault="00572F23" w:rsidP="00847A9F">
      <w:pPr>
        <w:pStyle w:val="Akapitzlist"/>
        <w:numPr>
          <w:ilvl w:val="2"/>
          <w:numId w:val="1"/>
        </w:numPr>
      </w:pPr>
      <w:r>
        <w:t>Początkowy rozmiar danych: 12079 obserwacji</w:t>
      </w:r>
    </w:p>
    <w:p w14:paraId="1699A512" w14:textId="4F7C7B01" w:rsidR="00300513" w:rsidRDefault="00300513" w:rsidP="00847A9F">
      <w:pPr>
        <w:pStyle w:val="Akapitzlist"/>
        <w:numPr>
          <w:ilvl w:val="2"/>
          <w:numId w:val="1"/>
        </w:numPr>
      </w:pPr>
      <w:r>
        <w:t>Usuniecie 160 skrajnych wartości</w:t>
      </w:r>
    </w:p>
    <w:p w14:paraId="5BA6862E" w14:textId="04209E60" w:rsidR="00572F23" w:rsidRDefault="00572F23" w:rsidP="00847A9F">
      <w:pPr>
        <w:pStyle w:val="Akapitzlist"/>
        <w:numPr>
          <w:ilvl w:val="2"/>
          <w:numId w:val="1"/>
        </w:numPr>
      </w:pPr>
      <w:r>
        <w:t>Finalna liczba danych po czyszczeniu: 11919</w:t>
      </w:r>
      <w:r w:rsidR="00300513">
        <w:t xml:space="preserve"> obserwacji</w:t>
      </w:r>
    </w:p>
    <w:p w14:paraId="28A8CEA6" w14:textId="3436940B" w:rsidR="00572F23" w:rsidRDefault="00572F23" w:rsidP="00572F23">
      <w:pPr>
        <w:pStyle w:val="Akapitzlist"/>
        <w:numPr>
          <w:ilvl w:val="1"/>
          <w:numId w:val="1"/>
        </w:numPr>
      </w:pPr>
      <w:r>
        <w:t>Dane bezrobocia</w:t>
      </w:r>
    </w:p>
    <w:p w14:paraId="215B4234" w14:textId="0C6973D0" w:rsidR="00300513" w:rsidRDefault="00300513" w:rsidP="00300513">
      <w:pPr>
        <w:pStyle w:val="Akapitzlist"/>
        <w:numPr>
          <w:ilvl w:val="2"/>
          <w:numId w:val="1"/>
        </w:numPr>
      </w:pPr>
      <w:r>
        <w:t>Dane mierzone w tysiącach</w:t>
      </w:r>
    </w:p>
    <w:p w14:paraId="431B6415" w14:textId="29B1B436" w:rsidR="00300513" w:rsidRDefault="00300513" w:rsidP="00300513">
      <w:pPr>
        <w:pStyle w:val="Akapitzlist"/>
        <w:numPr>
          <w:ilvl w:val="2"/>
          <w:numId w:val="1"/>
        </w:numPr>
      </w:pPr>
      <w:r>
        <w:lastRenderedPageBreak/>
        <w:t>Dane ograniczone do grupy wiekowej: 25-74 lata z podziałem na płcie</w:t>
      </w:r>
    </w:p>
    <w:p w14:paraId="4A7DB087" w14:textId="4C931F0F" w:rsidR="00572F23" w:rsidRDefault="00300513" w:rsidP="00572F23">
      <w:pPr>
        <w:pStyle w:val="Akapitzlist"/>
        <w:numPr>
          <w:ilvl w:val="2"/>
          <w:numId w:val="1"/>
        </w:numPr>
      </w:pPr>
      <w:r>
        <w:t>Początkowy rozmiar danych: 25978 obserwacji</w:t>
      </w:r>
    </w:p>
    <w:p w14:paraId="747E0B59" w14:textId="3529E020" w:rsidR="00300513" w:rsidRDefault="00300513" w:rsidP="00572F23">
      <w:pPr>
        <w:pStyle w:val="Akapitzlist"/>
        <w:numPr>
          <w:ilvl w:val="2"/>
          <w:numId w:val="1"/>
        </w:numPr>
      </w:pPr>
      <w:r>
        <w:t>Usunięcie 182 skrajnych wartości</w:t>
      </w:r>
    </w:p>
    <w:p w14:paraId="28A7287C" w14:textId="053FC77A" w:rsidR="00300513" w:rsidRDefault="00300513" w:rsidP="00300513">
      <w:pPr>
        <w:pStyle w:val="Akapitzlist"/>
        <w:numPr>
          <w:ilvl w:val="2"/>
          <w:numId w:val="1"/>
        </w:numPr>
      </w:pPr>
      <w:r>
        <w:t>Finalna liczba danych po oczyszczeniu: 12299 obserwacji</w:t>
      </w:r>
    </w:p>
    <w:p w14:paraId="3A796B21" w14:textId="592804F8" w:rsidR="00300513" w:rsidRDefault="00300513" w:rsidP="00300513">
      <w:pPr>
        <w:pStyle w:val="Akapitzlist"/>
        <w:numPr>
          <w:ilvl w:val="1"/>
          <w:numId w:val="1"/>
        </w:numPr>
      </w:pPr>
      <w:r>
        <w:t>Połączone dane</w:t>
      </w:r>
    </w:p>
    <w:p w14:paraId="73407A0F" w14:textId="3F020FB7" w:rsidR="00300513" w:rsidRDefault="00300513" w:rsidP="00300513">
      <w:pPr>
        <w:pStyle w:val="Akapitzlist"/>
        <w:numPr>
          <w:ilvl w:val="2"/>
          <w:numId w:val="1"/>
        </w:numPr>
      </w:pPr>
      <w:r>
        <w:t>Liczba wspólnych krajów: 32</w:t>
      </w:r>
    </w:p>
    <w:p w14:paraId="225C2A20" w14:textId="13182202" w:rsidR="00300513" w:rsidRDefault="00592A37" w:rsidP="00300513">
      <w:pPr>
        <w:pStyle w:val="Akapitzlist"/>
        <w:numPr>
          <w:ilvl w:val="2"/>
          <w:numId w:val="1"/>
        </w:numPr>
      </w:pPr>
      <w:r>
        <w:t>Finalny połączony zbiór: 9771 rekordów</w:t>
      </w:r>
    </w:p>
    <w:p w14:paraId="41E51078" w14:textId="77777777" w:rsidR="00D20998" w:rsidRDefault="00D20998" w:rsidP="00D20998"/>
    <w:p w14:paraId="4A7B1E98" w14:textId="24012C0E" w:rsidR="00592A37" w:rsidRDefault="00D20998" w:rsidP="00674997">
      <w:pPr>
        <w:pStyle w:val="Nagwek1"/>
      </w:pPr>
      <w:r>
        <w:t xml:space="preserve">3. </w:t>
      </w:r>
      <w:r w:rsidR="00592A37">
        <w:t>Analiza statystyczna</w:t>
      </w:r>
    </w:p>
    <w:p w14:paraId="3DB0880E" w14:textId="77777777" w:rsidR="00592A37" w:rsidRDefault="00592A37" w:rsidP="008E688F">
      <w:pPr>
        <w:pStyle w:val="Akapitzlist"/>
        <w:numPr>
          <w:ilvl w:val="0"/>
          <w:numId w:val="6"/>
        </w:numPr>
      </w:pPr>
      <w:r>
        <w:t>Testy normalności (</w:t>
      </w:r>
      <w:proofErr w:type="spellStart"/>
      <w:r>
        <w:t>Jarque</w:t>
      </w:r>
      <w:proofErr w:type="spellEnd"/>
      <w:r>
        <w:t>-Bera)</w:t>
      </w:r>
    </w:p>
    <w:p w14:paraId="7B335946" w14:textId="386048CB" w:rsidR="00592A37" w:rsidRDefault="00592A37" w:rsidP="00F84D33">
      <w:pPr>
        <w:pStyle w:val="Akapitzlist"/>
        <w:numPr>
          <w:ilvl w:val="0"/>
          <w:numId w:val="8"/>
        </w:numPr>
      </w:pPr>
      <w:r>
        <w:t>Zarówno inflacja, jak i bezrobocie nie mają rozkładu normalnego (p-</w:t>
      </w:r>
      <w:proofErr w:type="spellStart"/>
      <w:r>
        <w:t>value</w:t>
      </w:r>
      <w:proofErr w:type="spellEnd"/>
      <w:r>
        <w:t xml:space="preserve"> &lt; 0.0001)</w:t>
      </w:r>
    </w:p>
    <w:p w14:paraId="65B6049E" w14:textId="77777777" w:rsidR="0058641F" w:rsidRPr="0058641F" w:rsidRDefault="0058641F" w:rsidP="008E688F">
      <w:pPr>
        <w:pStyle w:val="Akapitzlist"/>
        <w:numPr>
          <w:ilvl w:val="0"/>
          <w:numId w:val="6"/>
        </w:numPr>
      </w:pPr>
      <w:r w:rsidRPr="0058641F">
        <w:t xml:space="preserve">Test </w:t>
      </w:r>
      <w:proofErr w:type="spellStart"/>
      <w:r w:rsidRPr="0058641F">
        <w:t>homoskedastyczności</w:t>
      </w:r>
      <w:proofErr w:type="spellEnd"/>
      <w:r w:rsidRPr="0058641F">
        <w:t xml:space="preserve"> (</w:t>
      </w:r>
      <w:proofErr w:type="spellStart"/>
      <w:r w:rsidRPr="0058641F">
        <w:t>Levene’a</w:t>
      </w:r>
      <w:proofErr w:type="spellEnd"/>
      <w:r w:rsidRPr="0058641F">
        <w:t>)</w:t>
      </w:r>
    </w:p>
    <w:p w14:paraId="055BD4C8" w14:textId="12DC2127" w:rsidR="0058641F" w:rsidRDefault="0058641F" w:rsidP="00F84D33">
      <w:pPr>
        <w:pStyle w:val="Akapitzlist"/>
        <w:numPr>
          <w:ilvl w:val="0"/>
          <w:numId w:val="9"/>
        </w:numPr>
      </w:pPr>
      <w:r w:rsidRPr="0058641F">
        <w:t>Wariancje inflacji i bezrobocia są istotnie różne (p = 0.0032)</w:t>
      </w:r>
    </w:p>
    <w:p w14:paraId="0FF42EA3" w14:textId="10FA7A87" w:rsidR="0058641F" w:rsidRDefault="0058641F" w:rsidP="008E688F">
      <w:pPr>
        <w:pStyle w:val="Akapitzlist"/>
        <w:numPr>
          <w:ilvl w:val="0"/>
          <w:numId w:val="6"/>
        </w:numPr>
      </w:pPr>
      <w:r>
        <w:t>Testy korelacji</w:t>
      </w:r>
    </w:p>
    <w:p w14:paraId="23547B64" w14:textId="77777777" w:rsidR="0058641F" w:rsidRDefault="0058641F" w:rsidP="0058641F">
      <w:pPr>
        <w:pStyle w:val="Akapitzlist"/>
        <w:ind w:left="2340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641F" w14:paraId="2BD58D28" w14:textId="77777777" w:rsidTr="0058641F">
        <w:tc>
          <w:tcPr>
            <w:tcW w:w="2337" w:type="dxa"/>
          </w:tcPr>
          <w:p w14:paraId="7CE4A45D" w14:textId="06DD11C7" w:rsidR="0058641F" w:rsidRPr="0058641F" w:rsidRDefault="0058641F" w:rsidP="0058641F">
            <w:pPr>
              <w:rPr>
                <w:b/>
                <w:bCs/>
              </w:rPr>
            </w:pPr>
            <w:r w:rsidRPr="0058641F">
              <w:rPr>
                <w:b/>
                <w:bCs/>
              </w:rPr>
              <w:t>Typ korelacji</w:t>
            </w:r>
          </w:p>
        </w:tc>
        <w:tc>
          <w:tcPr>
            <w:tcW w:w="2337" w:type="dxa"/>
          </w:tcPr>
          <w:p w14:paraId="6A827C7E" w14:textId="00865134" w:rsidR="0058641F" w:rsidRPr="0058641F" w:rsidRDefault="0058641F" w:rsidP="0058641F">
            <w:pPr>
              <w:rPr>
                <w:b/>
                <w:bCs/>
              </w:rPr>
            </w:pPr>
            <w:r w:rsidRPr="0058641F">
              <w:rPr>
                <w:b/>
                <w:bCs/>
              </w:rPr>
              <w:t>Wartość współczynnika</w:t>
            </w:r>
          </w:p>
        </w:tc>
        <w:tc>
          <w:tcPr>
            <w:tcW w:w="2338" w:type="dxa"/>
          </w:tcPr>
          <w:p w14:paraId="2AEEDF97" w14:textId="5BE374A6" w:rsidR="0058641F" w:rsidRPr="0058641F" w:rsidRDefault="0058641F" w:rsidP="0058641F">
            <w:pPr>
              <w:rPr>
                <w:b/>
                <w:bCs/>
              </w:rPr>
            </w:pPr>
            <w:r w:rsidRPr="0058641F">
              <w:rPr>
                <w:b/>
                <w:bCs/>
              </w:rPr>
              <w:t>p-</w:t>
            </w:r>
            <w:proofErr w:type="spellStart"/>
            <w:r w:rsidRPr="0058641F">
              <w:rPr>
                <w:b/>
                <w:bCs/>
              </w:rPr>
              <w:t>value</w:t>
            </w:r>
            <w:proofErr w:type="spellEnd"/>
          </w:p>
        </w:tc>
        <w:tc>
          <w:tcPr>
            <w:tcW w:w="2338" w:type="dxa"/>
          </w:tcPr>
          <w:p w14:paraId="29047A53" w14:textId="4873DEDD" w:rsidR="0058641F" w:rsidRPr="0058641F" w:rsidRDefault="0058641F" w:rsidP="0058641F">
            <w:pPr>
              <w:rPr>
                <w:b/>
                <w:bCs/>
              </w:rPr>
            </w:pPr>
            <w:r w:rsidRPr="0058641F">
              <w:rPr>
                <w:b/>
                <w:bCs/>
              </w:rPr>
              <w:t>Wniosek</w:t>
            </w:r>
          </w:p>
        </w:tc>
      </w:tr>
      <w:tr w:rsidR="0058641F" w14:paraId="56383EAD" w14:textId="77777777" w:rsidTr="0058641F">
        <w:tc>
          <w:tcPr>
            <w:tcW w:w="2337" w:type="dxa"/>
          </w:tcPr>
          <w:p w14:paraId="3A950A8D" w14:textId="75CA5C1F" w:rsidR="0058641F" w:rsidRDefault="0058641F" w:rsidP="0058641F">
            <w:r>
              <w:t>Pearson</w:t>
            </w:r>
          </w:p>
        </w:tc>
        <w:tc>
          <w:tcPr>
            <w:tcW w:w="2337" w:type="dxa"/>
          </w:tcPr>
          <w:p w14:paraId="02C2A6F5" w14:textId="01D9A612" w:rsidR="0058641F" w:rsidRDefault="0058641F" w:rsidP="0058641F">
            <w:r w:rsidRPr="0058641F">
              <w:t>-0.0047</w:t>
            </w:r>
          </w:p>
        </w:tc>
        <w:tc>
          <w:tcPr>
            <w:tcW w:w="2338" w:type="dxa"/>
          </w:tcPr>
          <w:p w14:paraId="008BAF6B" w14:textId="76761CBC" w:rsidR="0058641F" w:rsidRDefault="0058641F" w:rsidP="0058641F">
            <w:r w:rsidRPr="0058641F">
              <w:t>0.6427</w:t>
            </w:r>
          </w:p>
        </w:tc>
        <w:tc>
          <w:tcPr>
            <w:tcW w:w="2338" w:type="dxa"/>
          </w:tcPr>
          <w:p w14:paraId="09D54803" w14:textId="0A36FAC1" w:rsidR="0058641F" w:rsidRDefault="0058641F" w:rsidP="0058641F">
            <w:r w:rsidRPr="0058641F">
              <w:t>brak istotnej liniowej zależności</w:t>
            </w:r>
          </w:p>
        </w:tc>
      </w:tr>
      <w:tr w:rsidR="0058641F" w14:paraId="4F535F44" w14:textId="77777777" w:rsidTr="0058641F">
        <w:tc>
          <w:tcPr>
            <w:tcW w:w="2337" w:type="dxa"/>
          </w:tcPr>
          <w:p w14:paraId="46C94447" w14:textId="3BBBE86B" w:rsidR="0058641F" w:rsidRDefault="0058641F" w:rsidP="0058641F">
            <w:proofErr w:type="spellStart"/>
            <w:r>
              <w:t>Spearman</w:t>
            </w:r>
            <w:proofErr w:type="spellEnd"/>
          </w:p>
        </w:tc>
        <w:tc>
          <w:tcPr>
            <w:tcW w:w="2337" w:type="dxa"/>
          </w:tcPr>
          <w:p w14:paraId="324D2425" w14:textId="2C520F5D" w:rsidR="0058641F" w:rsidRDefault="0058641F" w:rsidP="0058641F">
            <w:r w:rsidRPr="0058641F">
              <w:t>-0.0</w:t>
            </w:r>
            <w:r>
              <w:t>491</w:t>
            </w:r>
          </w:p>
        </w:tc>
        <w:tc>
          <w:tcPr>
            <w:tcW w:w="2338" w:type="dxa"/>
          </w:tcPr>
          <w:p w14:paraId="54707CCD" w14:textId="4ECEFB22" w:rsidR="0058641F" w:rsidRDefault="0058641F" w:rsidP="0058641F">
            <w:r>
              <w:t>&lt; 0.0001</w:t>
            </w:r>
          </w:p>
        </w:tc>
        <w:tc>
          <w:tcPr>
            <w:tcW w:w="2338" w:type="dxa"/>
          </w:tcPr>
          <w:p w14:paraId="7A70AABF" w14:textId="73BCEA97" w:rsidR="0058641F" w:rsidRDefault="0058641F" w:rsidP="0058641F">
            <w:r w:rsidRPr="0058641F">
              <w:t>słaba, ale istotna monotoniczna zależność</w:t>
            </w:r>
          </w:p>
        </w:tc>
      </w:tr>
      <w:tr w:rsidR="0058641F" w14:paraId="707817B2" w14:textId="77777777" w:rsidTr="0058641F">
        <w:tc>
          <w:tcPr>
            <w:tcW w:w="2337" w:type="dxa"/>
          </w:tcPr>
          <w:p w14:paraId="4C7A9389" w14:textId="46E50565" w:rsidR="0058641F" w:rsidRDefault="0058641F" w:rsidP="0058641F">
            <w:r>
              <w:t>Kendall</w:t>
            </w:r>
          </w:p>
        </w:tc>
        <w:tc>
          <w:tcPr>
            <w:tcW w:w="2337" w:type="dxa"/>
          </w:tcPr>
          <w:p w14:paraId="157AD4D3" w14:textId="1D2594B6" w:rsidR="0058641F" w:rsidRDefault="0058641F" w:rsidP="0058641F">
            <w:r w:rsidRPr="0058641F">
              <w:t>-0.0</w:t>
            </w:r>
            <w:r>
              <w:t>327</w:t>
            </w:r>
          </w:p>
        </w:tc>
        <w:tc>
          <w:tcPr>
            <w:tcW w:w="2338" w:type="dxa"/>
          </w:tcPr>
          <w:p w14:paraId="24436544" w14:textId="0CC56929" w:rsidR="0058641F" w:rsidRDefault="0058641F" w:rsidP="0058641F">
            <w:r>
              <w:t>&lt; 0.0001</w:t>
            </w:r>
          </w:p>
        </w:tc>
        <w:tc>
          <w:tcPr>
            <w:tcW w:w="2338" w:type="dxa"/>
          </w:tcPr>
          <w:p w14:paraId="4890A789" w14:textId="7DC20121" w:rsidR="0058641F" w:rsidRDefault="0058641F" w:rsidP="0058641F">
            <w:r w:rsidRPr="0058641F">
              <w:t>bardzo słaba, ale istotna zależność rangowa</w:t>
            </w:r>
          </w:p>
        </w:tc>
      </w:tr>
    </w:tbl>
    <w:p w14:paraId="600BA735" w14:textId="1072237C" w:rsidR="0058641F" w:rsidRDefault="0058641F" w:rsidP="0058641F"/>
    <w:p w14:paraId="4EA3BE6E" w14:textId="2EA92B3A" w:rsidR="0058641F" w:rsidRDefault="0058641F" w:rsidP="008E688F">
      <w:pPr>
        <w:pStyle w:val="Akapitzlist"/>
        <w:numPr>
          <w:ilvl w:val="0"/>
          <w:numId w:val="6"/>
        </w:numPr>
      </w:pPr>
      <w:r>
        <w:t>Regresja liniowa</w:t>
      </w:r>
    </w:p>
    <w:p w14:paraId="3E05A45D" w14:textId="0C2F349D" w:rsidR="0058641F" w:rsidRDefault="0058641F" w:rsidP="00F84D33">
      <w:pPr>
        <w:pStyle w:val="Akapitzlist"/>
        <w:numPr>
          <w:ilvl w:val="0"/>
          <w:numId w:val="10"/>
        </w:numPr>
      </w:pPr>
      <w:r>
        <w:t>R</w:t>
      </w:r>
      <w:r>
        <w:rPr>
          <w:vertAlign w:val="superscript"/>
        </w:rPr>
        <w:t>2</w:t>
      </w:r>
      <w:r>
        <w:t xml:space="preserve"> = 0.0000 – praktycznie brak wyjaśnienia zmienności inflacji przez bezrobocie</w:t>
      </w:r>
    </w:p>
    <w:p w14:paraId="7E1E3908" w14:textId="31088391" w:rsidR="0058641F" w:rsidRDefault="0058641F" w:rsidP="00F84D33">
      <w:pPr>
        <w:pStyle w:val="Akapitzlist"/>
        <w:numPr>
          <w:ilvl w:val="0"/>
          <w:numId w:val="10"/>
        </w:numPr>
      </w:pPr>
      <w:r>
        <w:t xml:space="preserve">Współczynnik regresji </w:t>
      </w:r>
      <w:r w:rsidRPr="0058641F">
        <w:t>≈ 0 – linia regresji niemal pozioma</w:t>
      </w:r>
    </w:p>
    <w:p w14:paraId="19CFA983" w14:textId="74143DC9" w:rsidR="0058641F" w:rsidRDefault="0058641F" w:rsidP="0058641F">
      <w:pPr>
        <w:ind w:left="1440"/>
      </w:pPr>
      <w:r w:rsidRPr="0058641F">
        <w:rPr>
          <w:b/>
          <w:bCs/>
        </w:rPr>
        <w:t>Wniosek:</w:t>
      </w:r>
      <w:r w:rsidRPr="0058641F">
        <w:t xml:space="preserve"> brak liniowej zależności między inflacją a bezrobociem</w:t>
      </w:r>
    </w:p>
    <w:p w14:paraId="46A0E0A6" w14:textId="77777777" w:rsidR="0058641F" w:rsidRDefault="0058641F" w:rsidP="0058641F"/>
    <w:p w14:paraId="6866ADE4" w14:textId="1E4C8A4C" w:rsidR="0058641F" w:rsidRDefault="00CD7B7F" w:rsidP="00CD7B7F">
      <w:pPr>
        <w:pStyle w:val="Nagwek1"/>
      </w:pPr>
      <w:r>
        <w:lastRenderedPageBreak/>
        <w:t xml:space="preserve">4. </w:t>
      </w:r>
      <w:r w:rsidR="0058641F">
        <w:t>Analiza skupień (K-</w:t>
      </w:r>
      <w:proofErr w:type="spellStart"/>
      <w:r w:rsidR="0058641F">
        <w:t>means</w:t>
      </w:r>
      <w:proofErr w:type="spellEnd"/>
      <w:r w:rsidR="0058641F">
        <w:t>)</w:t>
      </w:r>
    </w:p>
    <w:p w14:paraId="76619355" w14:textId="0CAEBE8A" w:rsidR="0058641F" w:rsidRDefault="0058641F" w:rsidP="00CD7B7F">
      <w:pPr>
        <w:pStyle w:val="Akapitzlist"/>
        <w:numPr>
          <w:ilvl w:val="0"/>
          <w:numId w:val="7"/>
        </w:numPr>
      </w:pPr>
      <w:r>
        <w:t>Użyto 3 klastrów</w:t>
      </w:r>
    </w:p>
    <w:p w14:paraId="22633185" w14:textId="52411AD3" w:rsidR="0058641F" w:rsidRDefault="0058641F" w:rsidP="00CD7B7F">
      <w:pPr>
        <w:pStyle w:val="Akapitzlist"/>
        <w:numPr>
          <w:ilvl w:val="0"/>
          <w:numId w:val="7"/>
        </w:numPr>
      </w:pPr>
      <w:r>
        <w:t>Rozkład:</w:t>
      </w:r>
    </w:p>
    <w:p w14:paraId="7FD2952E" w14:textId="5BBEC834" w:rsidR="0058641F" w:rsidRDefault="0058641F" w:rsidP="00F84D33">
      <w:pPr>
        <w:pStyle w:val="Akapitzlist"/>
        <w:numPr>
          <w:ilvl w:val="0"/>
          <w:numId w:val="11"/>
        </w:numPr>
      </w:pPr>
      <w:r>
        <w:t>Klaster 0: 7</w:t>
      </w:r>
      <w:r>
        <w:rPr>
          <w:rFonts w:ascii="Arial" w:hAnsi="Arial" w:cs="Arial"/>
        </w:rPr>
        <w:t> </w:t>
      </w:r>
      <w:r>
        <w:t>283 obserwacji</w:t>
      </w:r>
    </w:p>
    <w:p w14:paraId="63ADFE5C" w14:textId="1E58222E" w:rsidR="0058641F" w:rsidRDefault="0058641F" w:rsidP="00F84D33">
      <w:pPr>
        <w:pStyle w:val="Akapitzlist"/>
        <w:numPr>
          <w:ilvl w:val="0"/>
          <w:numId w:val="11"/>
        </w:numPr>
      </w:pPr>
      <w:r>
        <w:t>Klaster 1: 1</w:t>
      </w:r>
      <w:r>
        <w:rPr>
          <w:rFonts w:ascii="Arial" w:hAnsi="Arial" w:cs="Arial"/>
        </w:rPr>
        <w:t> </w:t>
      </w:r>
      <w:r>
        <w:t>495 obserwacji</w:t>
      </w:r>
    </w:p>
    <w:p w14:paraId="21B11B11" w14:textId="2503E870" w:rsidR="0058641F" w:rsidRDefault="0058641F" w:rsidP="00F84D33">
      <w:pPr>
        <w:pStyle w:val="Akapitzlist"/>
        <w:numPr>
          <w:ilvl w:val="0"/>
          <w:numId w:val="11"/>
        </w:numPr>
      </w:pPr>
      <w:r>
        <w:t>Klaster 2: 993 obserwacje</w:t>
      </w:r>
    </w:p>
    <w:p w14:paraId="1C62495D" w14:textId="787074BB" w:rsidR="0058641F" w:rsidRDefault="0058641F" w:rsidP="00600B61">
      <w:pPr>
        <w:ind w:left="720" w:firstLine="720"/>
      </w:pPr>
      <w:r w:rsidRPr="0058641F">
        <w:t>Klastry nie tworzą wyraźnych, odrębnych grup – sugeruje to brak silnego segmentowania krajów pod kątem inflacji i bezrobocia.</w:t>
      </w:r>
    </w:p>
    <w:p w14:paraId="5B82B305" w14:textId="4CCA964C" w:rsidR="00C54959" w:rsidRDefault="00C54959" w:rsidP="00C54959"/>
    <w:p w14:paraId="7F61EC2E" w14:textId="25DD1466" w:rsidR="00C54959" w:rsidRDefault="00CD7B7F" w:rsidP="00CD7B7F">
      <w:pPr>
        <w:pStyle w:val="Nagwek1"/>
      </w:pPr>
      <w:r>
        <w:t xml:space="preserve">5. </w:t>
      </w:r>
      <w:r w:rsidR="00C54959">
        <w:t>Wizualizacja i interpretacja</w:t>
      </w:r>
    </w:p>
    <w:p w14:paraId="0A8DF0F6" w14:textId="6911386C" w:rsidR="00C54959" w:rsidRDefault="00C54959" w:rsidP="00F84D33">
      <w:pPr>
        <w:pStyle w:val="Akapitzlist"/>
        <w:numPr>
          <w:ilvl w:val="0"/>
          <w:numId w:val="12"/>
        </w:numPr>
      </w:pPr>
      <w:r>
        <w:t>Inflacja vs bezrobocie (z klastrami)</w:t>
      </w:r>
    </w:p>
    <w:p w14:paraId="43A906BA" w14:textId="03AAE840" w:rsidR="00C54959" w:rsidRDefault="00C54959" w:rsidP="009D155A">
      <w:pPr>
        <w:pStyle w:val="Akapitzlist"/>
        <w:numPr>
          <w:ilvl w:val="0"/>
          <w:numId w:val="13"/>
        </w:numPr>
      </w:pPr>
      <w:r>
        <w:t>Wykres rozrzutu z kolorami odpowiadającymi klastrom</w:t>
      </w:r>
    </w:p>
    <w:p w14:paraId="6A0FF025" w14:textId="4D5AD695" w:rsidR="00C54959" w:rsidRDefault="00C54959" w:rsidP="009D155A">
      <w:pPr>
        <w:pStyle w:val="Akapitzlist"/>
        <w:numPr>
          <w:ilvl w:val="0"/>
          <w:numId w:val="13"/>
        </w:numPr>
      </w:pPr>
      <w:r>
        <w:t>Czerwona linia regresji niemal pozioma</w:t>
      </w:r>
    </w:p>
    <w:p w14:paraId="255F019F" w14:textId="14217793" w:rsidR="00C54959" w:rsidRDefault="00C54959" w:rsidP="009D155A">
      <w:pPr>
        <w:pStyle w:val="Akapitzlist"/>
        <w:numPr>
          <w:ilvl w:val="0"/>
          <w:numId w:val="13"/>
        </w:numPr>
      </w:pPr>
      <w:r>
        <w:t>Wnioski:</w:t>
      </w:r>
    </w:p>
    <w:p w14:paraId="57AC9368" w14:textId="77777777" w:rsidR="00C54959" w:rsidRDefault="00C54959" w:rsidP="00C54959">
      <w:pPr>
        <w:pStyle w:val="Akapitzlist"/>
        <w:numPr>
          <w:ilvl w:val="3"/>
          <w:numId w:val="1"/>
        </w:numPr>
      </w:pPr>
      <w:r>
        <w:t>Brak wyraźnej zależności między inflacją a bezrobociem</w:t>
      </w:r>
    </w:p>
    <w:p w14:paraId="129FF019" w14:textId="77777777" w:rsidR="00C54959" w:rsidRDefault="00C54959" w:rsidP="00C54959">
      <w:pPr>
        <w:pStyle w:val="Akapitzlist"/>
        <w:numPr>
          <w:ilvl w:val="3"/>
          <w:numId w:val="1"/>
        </w:numPr>
      </w:pPr>
      <w:r>
        <w:t>Wysoka inflacja występuje zarówno przy niskim, jak i wysokim bezrobociu</w:t>
      </w:r>
    </w:p>
    <w:p w14:paraId="6E2FC060" w14:textId="1CCAB777" w:rsidR="00C54959" w:rsidRDefault="00C54959" w:rsidP="00C54959">
      <w:pPr>
        <w:pStyle w:val="Akapitzlist"/>
        <w:numPr>
          <w:ilvl w:val="3"/>
          <w:numId w:val="1"/>
        </w:numPr>
      </w:pPr>
      <w:r>
        <w:t>Klasteryzacja nie identyfikuje silnych, odrębnych grup</w:t>
      </w:r>
    </w:p>
    <w:p w14:paraId="5CABAEFF" w14:textId="6E4B8084" w:rsidR="00E67280" w:rsidRDefault="00E67280" w:rsidP="00E67280">
      <w:r w:rsidRPr="00E67280">
        <w:rPr>
          <w:noProof/>
        </w:rPr>
        <w:drawing>
          <wp:inline distT="0" distB="0" distL="0" distR="0" wp14:anchorId="618E2DEE" wp14:editId="50EB2C68">
            <wp:extent cx="5943600" cy="28467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1D53" w14:textId="2471D8AF" w:rsidR="00E67280" w:rsidRDefault="00E67280">
      <w:r>
        <w:br w:type="page"/>
      </w:r>
    </w:p>
    <w:p w14:paraId="4D6029A5" w14:textId="6B1E5D0B" w:rsidR="00C54959" w:rsidRDefault="00076813" w:rsidP="00F84D33">
      <w:pPr>
        <w:pStyle w:val="Akapitzlist"/>
        <w:numPr>
          <w:ilvl w:val="0"/>
          <w:numId w:val="12"/>
        </w:numPr>
      </w:pPr>
      <w:r>
        <w:lastRenderedPageBreak/>
        <w:t>Trendy inflacji i bezrobocie w czasie</w:t>
      </w:r>
    </w:p>
    <w:p w14:paraId="12EE0732" w14:textId="77777777" w:rsidR="00076813" w:rsidRPr="00076813" w:rsidRDefault="00076813" w:rsidP="009D155A">
      <w:pPr>
        <w:pStyle w:val="Akapitzlist"/>
        <w:numPr>
          <w:ilvl w:val="0"/>
          <w:numId w:val="14"/>
        </w:numPr>
      </w:pPr>
      <w:r w:rsidRPr="00076813">
        <w:t>Średnia inflacja (oś lewa) i bezrobocie (oś prawa) od 1997 do 2025</w:t>
      </w:r>
    </w:p>
    <w:p w14:paraId="5096BCB7" w14:textId="77777777" w:rsidR="00076813" w:rsidRPr="00076813" w:rsidRDefault="00076813" w:rsidP="009D155A">
      <w:pPr>
        <w:pStyle w:val="Akapitzlist"/>
        <w:numPr>
          <w:ilvl w:val="0"/>
          <w:numId w:val="14"/>
        </w:numPr>
      </w:pPr>
      <w:r w:rsidRPr="00076813">
        <w:t>Wnioski:</w:t>
      </w:r>
    </w:p>
    <w:p w14:paraId="50A5F387" w14:textId="77777777" w:rsidR="00D63FD9" w:rsidRDefault="00D63FD9" w:rsidP="008F7B1B">
      <w:pPr>
        <w:pStyle w:val="Akapitzlist"/>
        <w:numPr>
          <w:ilvl w:val="0"/>
          <w:numId w:val="17"/>
        </w:numPr>
      </w:pPr>
      <w:r w:rsidRPr="00D63FD9">
        <w:t>Inflacja i bezrobocie nie poruszają się w przeciwnych kierunkach</w:t>
      </w:r>
    </w:p>
    <w:p w14:paraId="46162788" w14:textId="68D864F5" w:rsidR="00076813" w:rsidRPr="00076813" w:rsidRDefault="00076813" w:rsidP="008F7B1B">
      <w:pPr>
        <w:pStyle w:val="Akapitzlist"/>
        <w:numPr>
          <w:ilvl w:val="0"/>
          <w:numId w:val="17"/>
        </w:numPr>
      </w:pPr>
      <w:r w:rsidRPr="00076813">
        <w:t>Lata 2021–2022: skok inflacji, bezrobocie spada – silna rozbieżność</w:t>
      </w:r>
    </w:p>
    <w:p w14:paraId="5AF75B01" w14:textId="77777777" w:rsidR="00076813" w:rsidRPr="00076813" w:rsidRDefault="00076813" w:rsidP="008F7B1B">
      <w:pPr>
        <w:pStyle w:val="Akapitzlist"/>
        <w:numPr>
          <w:ilvl w:val="0"/>
          <w:numId w:val="17"/>
        </w:numPr>
      </w:pPr>
      <w:r w:rsidRPr="00076813">
        <w:t>Kryzys 2008–2010 również nie potwierdza silnej zależności</w:t>
      </w:r>
    </w:p>
    <w:p w14:paraId="04400CA4" w14:textId="78D856B5" w:rsidR="00076813" w:rsidRDefault="002C2B4D" w:rsidP="008F7B1B">
      <w:pPr>
        <w:pStyle w:val="Akapitzlist"/>
        <w:numPr>
          <w:ilvl w:val="0"/>
          <w:numId w:val="17"/>
        </w:numPr>
      </w:pPr>
      <w:r>
        <w:t>Inne czynniki (szoki zewnętrzne) mają wpływ na inflację i bezrobocie niż ich wzajemna relacja.</w:t>
      </w:r>
    </w:p>
    <w:p w14:paraId="2C282100" w14:textId="1F43302C" w:rsidR="00E67280" w:rsidRDefault="00E67280" w:rsidP="00E67280">
      <w:r w:rsidRPr="00E67280">
        <w:rPr>
          <w:noProof/>
        </w:rPr>
        <w:drawing>
          <wp:inline distT="0" distB="0" distL="0" distR="0" wp14:anchorId="6F9BDA1A" wp14:editId="25E353D8">
            <wp:extent cx="5943600" cy="287845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2394" w14:textId="13635C91" w:rsidR="00E67280" w:rsidRDefault="00E67280">
      <w:r>
        <w:br w:type="page"/>
      </w:r>
    </w:p>
    <w:p w14:paraId="25A83A93" w14:textId="1513750E" w:rsidR="00076813" w:rsidRDefault="00076813" w:rsidP="00F84D33">
      <w:pPr>
        <w:pStyle w:val="Akapitzlist"/>
        <w:numPr>
          <w:ilvl w:val="0"/>
          <w:numId w:val="12"/>
        </w:numPr>
      </w:pPr>
      <w:r>
        <w:lastRenderedPageBreak/>
        <w:t>Korelacje krajowe</w:t>
      </w:r>
    </w:p>
    <w:p w14:paraId="58C56436" w14:textId="2B1EC364" w:rsidR="00076813" w:rsidRDefault="00076813" w:rsidP="009D155A">
      <w:pPr>
        <w:pStyle w:val="Akapitzlist"/>
        <w:numPr>
          <w:ilvl w:val="0"/>
          <w:numId w:val="15"/>
        </w:numPr>
      </w:pPr>
      <w:r>
        <w:t>Poziome słupki – korelacja inflacja vs bezrobocie w każdym kraju</w:t>
      </w:r>
    </w:p>
    <w:p w14:paraId="231DC74A" w14:textId="2CF457E0" w:rsidR="00076813" w:rsidRDefault="00076813" w:rsidP="009D155A">
      <w:pPr>
        <w:pStyle w:val="Akapitzlist"/>
        <w:numPr>
          <w:ilvl w:val="0"/>
          <w:numId w:val="15"/>
        </w:numPr>
      </w:pPr>
      <w:r>
        <w:t>Wnioski:</w:t>
      </w:r>
    </w:p>
    <w:p w14:paraId="28CEA97D" w14:textId="77777777" w:rsidR="00076813" w:rsidRPr="00076813" w:rsidRDefault="00076813" w:rsidP="008F7B1B">
      <w:pPr>
        <w:pStyle w:val="Akapitzlist"/>
        <w:numPr>
          <w:ilvl w:val="0"/>
          <w:numId w:val="18"/>
        </w:numPr>
      </w:pPr>
      <w:r w:rsidRPr="00076813">
        <w:t>Większość korelacji bliska 0 lub lekko ujemna</w:t>
      </w:r>
    </w:p>
    <w:p w14:paraId="1B48F9A7" w14:textId="6394911D" w:rsidR="00076813" w:rsidRPr="00076813" w:rsidRDefault="0037435B" w:rsidP="008F7B1B">
      <w:pPr>
        <w:pStyle w:val="Akapitzlist"/>
        <w:numPr>
          <w:ilvl w:val="0"/>
          <w:numId w:val="18"/>
        </w:numPr>
      </w:pPr>
      <w:r>
        <w:t>Grecja</w:t>
      </w:r>
      <w:r w:rsidR="00076813" w:rsidRPr="00076813">
        <w:t xml:space="preserve">, </w:t>
      </w:r>
      <w:r>
        <w:t>Irlandia</w:t>
      </w:r>
      <w:r w:rsidR="00076813" w:rsidRPr="00076813">
        <w:t xml:space="preserve">, </w:t>
      </w:r>
      <w:r>
        <w:t>Francja</w:t>
      </w:r>
      <w:r w:rsidR="00076813" w:rsidRPr="00076813">
        <w:t xml:space="preserve"> – umiarkowanie ujemne korelacje</w:t>
      </w:r>
    </w:p>
    <w:p w14:paraId="599E3BF5" w14:textId="62ECC863" w:rsidR="00076813" w:rsidRPr="00076813" w:rsidRDefault="00076813" w:rsidP="008F7B1B">
      <w:pPr>
        <w:pStyle w:val="Akapitzlist"/>
        <w:numPr>
          <w:ilvl w:val="0"/>
          <w:numId w:val="18"/>
        </w:numPr>
      </w:pPr>
      <w:r w:rsidRPr="00076813">
        <w:t xml:space="preserve">UK, Turcja – </w:t>
      </w:r>
      <w:r w:rsidR="003F6AB9">
        <w:t xml:space="preserve">umiarkowanie </w:t>
      </w:r>
      <w:r w:rsidRPr="00076813">
        <w:t>dodatnia korelacja</w:t>
      </w:r>
    </w:p>
    <w:p w14:paraId="71D6DAF0" w14:textId="266EFA00" w:rsidR="00076813" w:rsidRDefault="00076813" w:rsidP="008F7B1B">
      <w:pPr>
        <w:pStyle w:val="Akapitzlist"/>
        <w:numPr>
          <w:ilvl w:val="0"/>
          <w:numId w:val="18"/>
        </w:numPr>
      </w:pPr>
      <w:r w:rsidRPr="00076813">
        <w:t>Brak jednolitego wzorca – relacja zależna od kontekstu krajowego</w:t>
      </w:r>
    </w:p>
    <w:p w14:paraId="3170ED2F" w14:textId="60F1342B" w:rsidR="00E67280" w:rsidRDefault="00E67280" w:rsidP="00E67280">
      <w:r w:rsidRPr="00E67280">
        <w:rPr>
          <w:noProof/>
        </w:rPr>
        <w:drawing>
          <wp:inline distT="0" distB="0" distL="0" distR="0" wp14:anchorId="206B365B" wp14:editId="537BEDFB">
            <wp:extent cx="5943600" cy="292354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9798" w14:textId="4CEE83C9" w:rsidR="00E67280" w:rsidRDefault="00E67280">
      <w:r>
        <w:br w:type="page"/>
      </w:r>
    </w:p>
    <w:p w14:paraId="03FBCC14" w14:textId="234AC616" w:rsidR="00076813" w:rsidRDefault="00076813" w:rsidP="00F84D33">
      <w:pPr>
        <w:pStyle w:val="Akapitzlist"/>
        <w:numPr>
          <w:ilvl w:val="0"/>
          <w:numId w:val="12"/>
        </w:numPr>
      </w:pPr>
      <w:r>
        <w:lastRenderedPageBreak/>
        <w:t>Różnice w bezrobociu między płciami</w:t>
      </w:r>
    </w:p>
    <w:p w14:paraId="540427AD" w14:textId="7176645B" w:rsidR="00076813" w:rsidRPr="00076813" w:rsidRDefault="00076813" w:rsidP="009D155A">
      <w:pPr>
        <w:pStyle w:val="Akapitzlist"/>
        <w:numPr>
          <w:ilvl w:val="0"/>
          <w:numId w:val="16"/>
        </w:numPr>
      </w:pPr>
      <w:r w:rsidRPr="00076813">
        <w:t xml:space="preserve">Poziome słupki: różnica (mężczyźni – kobiety) w </w:t>
      </w:r>
      <w:r w:rsidR="000230C1">
        <w:t>bezrobociu</w:t>
      </w:r>
    </w:p>
    <w:p w14:paraId="3E72F522" w14:textId="77777777" w:rsidR="00076813" w:rsidRPr="00076813" w:rsidRDefault="00076813" w:rsidP="009D155A">
      <w:pPr>
        <w:pStyle w:val="Akapitzlist"/>
        <w:numPr>
          <w:ilvl w:val="0"/>
          <w:numId w:val="16"/>
        </w:numPr>
      </w:pPr>
      <w:r w:rsidRPr="00076813">
        <w:t>Wnioski:</w:t>
      </w:r>
    </w:p>
    <w:p w14:paraId="5B32F8A9" w14:textId="77777777" w:rsidR="00076813" w:rsidRPr="00076813" w:rsidRDefault="00076813" w:rsidP="008F7B1B">
      <w:pPr>
        <w:pStyle w:val="Akapitzlist"/>
        <w:numPr>
          <w:ilvl w:val="0"/>
          <w:numId w:val="19"/>
        </w:numPr>
      </w:pPr>
      <w:r w:rsidRPr="00076813">
        <w:t>Większość krajów – różnice niewielkie</w:t>
      </w:r>
    </w:p>
    <w:p w14:paraId="4D7A4708" w14:textId="77777777" w:rsidR="00076813" w:rsidRPr="00076813" w:rsidRDefault="00076813" w:rsidP="008F7B1B">
      <w:pPr>
        <w:pStyle w:val="Akapitzlist"/>
        <w:numPr>
          <w:ilvl w:val="0"/>
          <w:numId w:val="19"/>
        </w:numPr>
      </w:pPr>
      <w:r w:rsidRPr="00076813">
        <w:t>Turcja, Japonia, UK, Niemcy – wyższe bezrobocie u mężczyzn</w:t>
      </w:r>
    </w:p>
    <w:p w14:paraId="6703DD5D" w14:textId="77777777" w:rsidR="00076813" w:rsidRPr="00076813" w:rsidRDefault="00076813" w:rsidP="008F7B1B">
      <w:pPr>
        <w:pStyle w:val="Akapitzlist"/>
        <w:numPr>
          <w:ilvl w:val="0"/>
          <w:numId w:val="19"/>
        </w:numPr>
      </w:pPr>
      <w:r w:rsidRPr="00076813">
        <w:t>Grecja, Włochy, Holandia – wyższe u kobiet</w:t>
      </w:r>
    </w:p>
    <w:p w14:paraId="791E078A" w14:textId="1A50225D" w:rsidR="00076813" w:rsidRDefault="00076813" w:rsidP="008F7B1B">
      <w:pPr>
        <w:pStyle w:val="Akapitzlist"/>
        <w:numPr>
          <w:ilvl w:val="0"/>
          <w:numId w:val="19"/>
        </w:numPr>
      </w:pPr>
      <w:r w:rsidRPr="00076813">
        <w:t>Różnice mogą wynikać z czynników kulturowych, struktury zatrudnienia, polityki rynku pracy</w:t>
      </w:r>
    </w:p>
    <w:p w14:paraId="589D98FA" w14:textId="1128D73B" w:rsidR="00E67280" w:rsidRDefault="00E67280" w:rsidP="00E67280">
      <w:r w:rsidRPr="00E67280">
        <w:rPr>
          <w:noProof/>
        </w:rPr>
        <w:drawing>
          <wp:inline distT="0" distB="0" distL="0" distR="0" wp14:anchorId="66D599EB" wp14:editId="6F9AE5E1">
            <wp:extent cx="5943600" cy="2963545"/>
            <wp:effectExtent l="0" t="0" r="0" b="825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41F4" w14:textId="7799AC06" w:rsidR="00076813" w:rsidRDefault="00076813"/>
    <w:p w14:paraId="633E4CDF" w14:textId="40EC561B" w:rsidR="00076813" w:rsidRDefault="00D95E54" w:rsidP="00D95E54">
      <w:pPr>
        <w:pStyle w:val="Nagwek1"/>
      </w:pPr>
      <w:r>
        <w:t xml:space="preserve">6. </w:t>
      </w:r>
      <w:r w:rsidR="00076813">
        <w:t>Wnioski</w:t>
      </w:r>
    </w:p>
    <w:p w14:paraId="05FB26F9" w14:textId="77777777" w:rsidR="00076813" w:rsidRPr="00076813" w:rsidRDefault="00076813" w:rsidP="00D95E54">
      <w:pPr>
        <w:pStyle w:val="Akapitzlist"/>
        <w:numPr>
          <w:ilvl w:val="0"/>
          <w:numId w:val="20"/>
        </w:numPr>
      </w:pPr>
      <w:r w:rsidRPr="00076813">
        <w:t>Brak silnej korelacji:</w:t>
      </w:r>
    </w:p>
    <w:p w14:paraId="0F12CBCB" w14:textId="77777777" w:rsidR="00076813" w:rsidRPr="00076813" w:rsidRDefault="00076813" w:rsidP="00D95E54">
      <w:pPr>
        <w:pStyle w:val="Akapitzlist"/>
        <w:numPr>
          <w:ilvl w:val="0"/>
          <w:numId w:val="21"/>
        </w:numPr>
      </w:pPr>
      <w:r w:rsidRPr="00076813">
        <w:t>Dane nie potwierdzają klasycznej zależności między inflacją a bezrobociem w ujęciu europejskim.</w:t>
      </w:r>
    </w:p>
    <w:p w14:paraId="0A5BE97F" w14:textId="7E8A6F91" w:rsidR="00076813" w:rsidRPr="00076813" w:rsidRDefault="00076813" w:rsidP="00D95E54">
      <w:pPr>
        <w:pStyle w:val="Akapitzlist"/>
        <w:numPr>
          <w:ilvl w:val="0"/>
          <w:numId w:val="21"/>
        </w:numPr>
      </w:pPr>
      <w:r w:rsidRPr="00076813">
        <w:t>Współczynniki korelacji są bardzo niskie, a R² ≈ 0.</w:t>
      </w:r>
    </w:p>
    <w:p w14:paraId="03195CA5" w14:textId="77777777" w:rsidR="00076813" w:rsidRPr="00076813" w:rsidRDefault="00076813" w:rsidP="00D95E54">
      <w:pPr>
        <w:pStyle w:val="Akapitzlist"/>
        <w:numPr>
          <w:ilvl w:val="0"/>
          <w:numId w:val="20"/>
        </w:numPr>
      </w:pPr>
      <w:r w:rsidRPr="00076813">
        <w:t>Zmienność czasowa:</w:t>
      </w:r>
    </w:p>
    <w:p w14:paraId="7F03DF8F" w14:textId="77777777" w:rsidR="00076813" w:rsidRPr="00076813" w:rsidRDefault="00076813" w:rsidP="00D95E54">
      <w:pPr>
        <w:pStyle w:val="Akapitzlist"/>
        <w:numPr>
          <w:ilvl w:val="0"/>
          <w:numId w:val="22"/>
        </w:numPr>
      </w:pPr>
      <w:r w:rsidRPr="00076813">
        <w:t>Trendy inflacji i bezrobocia nie są skorelowane.</w:t>
      </w:r>
    </w:p>
    <w:p w14:paraId="07C14300" w14:textId="62943CD0" w:rsidR="00076813" w:rsidRPr="00076813" w:rsidRDefault="00076813" w:rsidP="00D95E54">
      <w:pPr>
        <w:pStyle w:val="Akapitzlist"/>
        <w:numPr>
          <w:ilvl w:val="0"/>
          <w:numId w:val="22"/>
        </w:numPr>
      </w:pPr>
      <w:r w:rsidRPr="00076813">
        <w:t>Inflacja może rosnąć mimo spadku bezrobocia, co było szczególnie widoczne w okresie 2021–2022.</w:t>
      </w:r>
    </w:p>
    <w:p w14:paraId="1C341B7D" w14:textId="77777777" w:rsidR="00076813" w:rsidRPr="00076813" w:rsidRDefault="00076813" w:rsidP="00D95E54">
      <w:pPr>
        <w:pStyle w:val="Akapitzlist"/>
        <w:numPr>
          <w:ilvl w:val="0"/>
          <w:numId w:val="20"/>
        </w:numPr>
      </w:pPr>
      <w:r w:rsidRPr="00076813">
        <w:t>Różnice krajowe:</w:t>
      </w:r>
    </w:p>
    <w:p w14:paraId="160F3EA3" w14:textId="77777777" w:rsidR="00076813" w:rsidRPr="00076813" w:rsidRDefault="00076813" w:rsidP="00D95E54">
      <w:pPr>
        <w:pStyle w:val="Akapitzlist"/>
        <w:numPr>
          <w:ilvl w:val="0"/>
          <w:numId w:val="23"/>
        </w:numPr>
      </w:pPr>
      <w:r w:rsidRPr="00076813">
        <w:t>Każdy kraj ma własny wzorzec – niektóre wykazują słabą korelację ujemną, inne dodatnią.</w:t>
      </w:r>
    </w:p>
    <w:p w14:paraId="5299DE03" w14:textId="26DF192E" w:rsidR="00076813" w:rsidRPr="00076813" w:rsidRDefault="00076813" w:rsidP="00D95E54">
      <w:pPr>
        <w:pStyle w:val="Akapitzlist"/>
        <w:numPr>
          <w:ilvl w:val="0"/>
          <w:numId w:val="23"/>
        </w:numPr>
      </w:pPr>
      <w:r w:rsidRPr="00076813">
        <w:lastRenderedPageBreak/>
        <w:t>Konieczne byłoby uwzględnienie czynników krajowych: struktury gospodarki, polityki fiskalnej i monetarnej.</w:t>
      </w:r>
    </w:p>
    <w:p w14:paraId="73E6EB0F" w14:textId="77777777" w:rsidR="00076813" w:rsidRPr="00076813" w:rsidRDefault="00076813" w:rsidP="00D95E54">
      <w:pPr>
        <w:pStyle w:val="Akapitzlist"/>
        <w:numPr>
          <w:ilvl w:val="0"/>
          <w:numId w:val="20"/>
        </w:numPr>
      </w:pPr>
      <w:r w:rsidRPr="00076813">
        <w:t>Różnice płci:</w:t>
      </w:r>
    </w:p>
    <w:p w14:paraId="7CD493B5" w14:textId="77777777" w:rsidR="00076813" w:rsidRPr="00076813" w:rsidRDefault="00076813" w:rsidP="00D95E54">
      <w:pPr>
        <w:pStyle w:val="Akapitzlist"/>
        <w:numPr>
          <w:ilvl w:val="0"/>
          <w:numId w:val="24"/>
        </w:numPr>
      </w:pPr>
      <w:r w:rsidRPr="00076813">
        <w:t>Choć ogólnie niewielkie, w niektórych krajach różnice w bezrobociu kobiet i mężczyzn są znaczne.</w:t>
      </w:r>
    </w:p>
    <w:p w14:paraId="28F6B519" w14:textId="0233914D" w:rsidR="00076813" w:rsidRDefault="00076813" w:rsidP="00D95E54">
      <w:pPr>
        <w:pStyle w:val="Akapitzlist"/>
        <w:numPr>
          <w:ilvl w:val="0"/>
          <w:numId w:val="24"/>
        </w:numPr>
      </w:pPr>
      <w:r w:rsidRPr="00076813">
        <w:t>To pole do dalszych, pogłębionych badań.</w:t>
      </w:r>
    </w:p>
    <w:p w14:paraId="140D0C6F" w14:textId="77777777" w:rsidR="002E6908" w:rsidRDefault="002E6908" w:rsidP="002E6908"/>
    <w:p w14:paraId="0DD321E1" w14:textId="77777777" w:rsidR="002E6908" w:rsidRDefault="002E6908" w:rsidP="002E6908"/>
    <w:p w14:paraId="3868D27B" w14:textId="77777777" w:rsidR="002E6908" w:rsidRDefault="002E6908" w:rsidP="002E6908"/>
    <w:p w14:paraId="73C48486" w14:textId="23FD2ACF" w:rsidR="002E6908" w:rsidRDefault="002E6908" w:rsidP="002E6908">
      <w:pPr>
        <w:pStyle w:val="Nagwek3"/>
      </w:pPr>
      <w:r>
        <w:t>Zewnętrzne odnośniki:</w:t>
      </w:r>
    </w:p>
    <w:p w14:paraId="659E59BA" w14:textId="77777777" w:rsidR="002E6908" w:rsidRDefault="002E6908" w:rsidP="002E6908"/>
    <w:p w14:paraId="1E608D0F" w14:textId="0008332E" w:rsidR="002E6908" w:rsidRDefault="002E6908" w:rsidP="002E6908">
      <w:r>
        <w:t>Materiały pokrewne:</w:t>
      </w:r>
    </w:p>
    <w:p w14:paraId="67721A63" w14:textId="77777777" w:rsidR="002E6908" w:rsidRPr="002E6908" w:rsidRDefault="002E6908" w:rsidP="002E6908">
      <w:pPr>
        <w:numPr>
          <w:ilvl w:val="0"/>
          <w:numId w:val="25"/>
        </w:numPr>
      </w:pPr>
      <w:hyperlink r:id="rId9" w:tgtFrame="_blank" w:tooltip="https://bazhum.muzhp.pl/media/texts/studia-i-prace-wydziau-nauk-ekonomicznych-i-zarzadzania/2017-tom-47-numer-3/studia_i_prace_wydzialu_nauk_ekonomicznych_i_zarzadzania-r2017-t47-n3-s171-182.pdf" w:history="1">
        <w:r w:rsidRPr="002E6908">
          <w:rPr>
            <w:rStyle w:val="Hipercze"/>
          </w:rPr>
          <w:t>https://bazhum.muzhp.pl/media/texts/studia-i-prace-wydziau-nauk-ekonomicznych-i-zarzadzania/2017-tom-47-numer-3/studia_i_prace_wydzialu_nauk_ekonomicznych_i_zarzadzania-r2017-t47-n3-s171-182.pdf</w:t>
        </w:r>
      </w:hyperlink>
    </w:p>
    <w:p w14:paraId="4FBDBF6D" w14:textId="3950C847" w:rsidR="00046DC1" w:rsidRDefault="002E6908" w:rsidP="00046DC1">
      <w:pPr>
        <w:pStyle w:val="Akapitzlist"/>
        <w:numPr>
          <w:ilvl w:val="0"/>
          <w:numId w:val="25"/>
        </w:numPr>
      </w:pPr>
      <w:hyperlink r:id="rId10" w:tgtFrame="_blank" w:tooltip="https://openstax.org/books/makroekonomia-podstawy/pages/7-3-krzywa-phillipsa" w:history="1">
        <w:r w:rsidRPr="002E6908">
          <w:rPr>
            <w:rStyle w:val="Hipercze"/>
          </w:rPr>
          <w:t>https://openstax.org/books/makroekonomia-podstawy/pages/7-3-krzywa-phillipsa</w:t>
        </w:r>
      </w:hyperlink>
    </w:p>
    <w:p w14:paraId="56AEBB0E" w14:textId="77777777" w:rsidR="002E6908" w:rsidRDefault="002E6908" w:rsidP="002E6908"/>
    <w:p w14:paraId="04E7C6E2" w14:textId="24B25FB6" w:rsidR="002E6908" w:rsidRPr="00847A9F" w:rsidRDefault="002E6908" w:rsidP="002E6908"/>
    <w:sectPr w:rsidR="002E6908" w:rsidRPr="00847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13A14"/>
    <w:multiLevelType w:val="hybridMultilevel"/>
    <w:tmpl w:val="99FE1BEA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27D35E8"/>
    <w:multiLevelType w:val="hybridMultilevel"/>
    <w:tmpl w:val="A22294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872189"/>
    <w:multiLevelType w:val="hybridMultilevel"/>
    <w:tmpl w:val="729C6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32D89"/>
    <w:multiLevelType w:val="hybridMultilevel"/>
    <w:tmpl w:val="F91EBB14"/>
    <w:lvl w:ilvl="0" w:tplc="FFFFFFFF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6F15037"/>
    <w:multiLevelType w:val="hybridMultilevel"/>
    <w:tmpl w:val="31F4C2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103128"/>
    <w:multiLevelType w:val="hybridMultilevel"/>
    <w:tmpl w:val="23028CF0"/>
    <w:lvl w:ilvl="0" w:tplc="FFFFFFFF">
      <w:start w:val="1"/>
      <w:numFmt w:val="lowerRoman"/>
      <w:lvlText w:val="%1."/>
      <w:lvlJc w:val="righ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275A689B"/>
    <w:multiLevelType w:val="hybridMultilevel"/>
    <w:tmpl w:val="7F462AD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89C30A4"/>
    <w:multiLevelType w:val="hybridMultilevel"/>
    <w:tmpl w:val="99FE1BEA"/>
    <w:lvl w:ilvl="0" w:tplc="FFFFFFFF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D025397"/>
    <w:multiLevelType w:val="hybridMultilevel"/>
    <w:tmpl w:val="6B948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07DF8"/>
    <w:multiLevelType w:val="hybridMultilevel"/>
    <w:tmpl w:val="7F462AD8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32580C4B"/>
    <w:multiLevelType w:val="hybridMultilevel"/>
    <w:tmpl w:val="99FE1BEA"/>
    <w:lvl w:ilvl="0" w:tplc="FFFFFFFF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380731BD"/>
    <w:multiLevelType w:val="hybridMultilevel"/>
    <w:tmpl w:val="7F462AD8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42351E5E"/>
    <w:multiLevelType w:val="hybridMultilevel"/>
    <w:tmpl w:val="F91EBB14"/>
    <w:lvl w:ilvl="0" w:tplc="FFFFFFFF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4B180E3E"/>
    <w:multiLevelType w:val="hybridMultilevel"/>
    <w:tmpl w:val="F91EBB14"/>
    <w:lvl w:ilvl="0" w:tplc="FFFFFFFF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4F6A60CB"/>
    <w:multiLevelType w:val="hybridMultilevel"/>
    <w:tmpl w:val="22C8B7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1A55B16"/>
    <w:multiLevelType w:val="hybridMultilevel"/>
    <w:tmpl w:val="23028CF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" w15:restartNumberingAfterBreak="0">
    <w:nsid w:val="5264064B"/>
    <w:multiLevelType w:val="hybridMultilevel"/>
    <w:tmpl w:val="4AE48A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A04FB2"/>
    <w:multiLevelType w:val="hybridMultilevel"/>
    <w:tmpl w:val="D9B2F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9744F"/>
    <w:multiLevelType w:val="multilevel"/>
    <w:tmpl w:val="79DEA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C6133E"/>
    <w:multiLevelType w:val="hybridMultilevel"/>
    <w:tmpl w:val="CD689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616E1D"/>
    <w:multiLevelType w:val="hybridMultilevel"/>
    <w:tmpl w:val="532ACE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114E67"/>
    <w:multiLevelType w:val="hybridMultilevel"/>
    <w:tmpl w:val="F91EBB14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6AC4291D"/>
    <w:multiLevelType w:val="hybridMultilevel"/>
    <w:tmpl w:val="23028CF0"/>
    <w:lvl w:ilvl="0" w:tplc="FFFFFFFF">
      <w:start w:val="1"/>
      <w:numFmt w:val="lowerRoman"/>
      <w:lvlText w:val="%1."/>
      <w:lvlJc w:val="righ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3" w15:restartNumberingAfterBreak="0">
    <w:nsid w:val="715E6C17"/>
    <w:multiLevelType w:val="hybridMultilevel"/>
    <w:tmpl w:val="99FE1BEA"/>
    <w:lvl w:ilvl="0" w:tplc="FFFFFFFF">
      <w:start w:val="1"/>
      <w:numFmt w:val="lowerRoman"/>
      <w:lvlText w:val="%1."/>
      <w:lvlJc w:val="righ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7AC764F9"/>
    <w:multiLevelType w:val="hybridMultilevel"/>
    <w:tmpl w:val="23028CF0"/>
    <w:lvl w:ilvl="0" w:tplc="FFFFFFFF">
      <w:start w:val="1"/>
      <w:numFmt w:val="lowerRoman"/>
      <w:lvlText w:val="%1."/>
      <w:lvlJc w:val="right"/>
      <w:pPr>
        <w:ind w:left="2340" w:hanging="360"/>
      </w:pPr>
    </w:lvl>
    <w:lvl w:ilvl="1" w:tplc="FFFFFFFF" w:tentative="1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num w:numId="1" w16cid:durableId="1925066435">
    <w:abstractNumId w:val="8"/>
  </w:num>
  <w:num w:numId="2" w16cid:durableId="583035447">
    <w:abstractNumId w:val="2"/>
  </w:num>
  <w:num w:numId="3" w16cid:durableId="7755079">
    <w:abstractNumId w:val="19"/>
  </w:num>
  <w:num w:numId="4" w16cid:durableId="1479221832">
    <w:abstractNumId w:val="17"/>
  </w:num>
  <w:num w:numId="5" w16cid:durableId="404302779">
    <w:abstractNumId w:val="16"/>
  </w:num>
  <w:num w:numId="6" w16cid:durableId="100497788">
    <w:abstractNumId w:val="14"/>
  </w:num>
  <w:num w:numId="7" w16cid:durableId="1957443417">
    <w:abstractNumId w:val="1"/>
  </w:num>
  <w:num w:numId="8" w16cid:durableId="1797945567">
    <w:abstractNumId w:val="15"/>
  </w:num>
  <w:num w:numId="9" w16cid:durableId="2023629386">
    <w:abstractNumId w:val="22"/>
  </w:num>
  <w:num w:numId="10" w16cid:durableId="2121335094">
    <w:abstractNumId w:val="5"/>
  </w:num>
  <w:num w:numId="11" w16cid:durableId="2069763628">
    <w:abstractNumId w:val="24"/>
  </w:num>
  <w:num w:numId="12" w16cid:durableId="720252502">
    <w:abstractNumId w:val="20"/>
  </w:num>
  <w:num w:numId="13" w16cid:durableId="681012727">
    <w:abstractNumId w:val="21"/>
  </w:num>
  <w:num w:numId="14" w16cid:durableId="201405290">
    <w:abstractNumId w:val="13"/>
  </w:num>
  <w:num w:numId="15" w16cid:durableId="1009411298">
    <w:abstractNumId w:val="12"/>
  </w:num>
  <w:num w:numId="16" w16cid:durableId="502206024">
    <w:abstractNumId w:val="3"/>
  </w:num>
  <w:num w:numId="17" w16cid:durableId="792212083">
    <w:abstractNumId w:val="6"/>
  </w:num>
  <w:num w:numId="18" w16cid:durableId="1376584045">
    <w:abstractNumId w:val="11"/>
  </w:num>
  <w:num w:numId="19" w16cid:durableId="1622884733">
    <w:abstractNumId w:val="9"/>
  </w:num>
  <w:num w:numId="20" w16cid:durableId="42291238">
    <w:abstractNumId w:val="4"/>
  </w:num>
  <w:num w:numId="21" w16cid:durableId="1532650802">
    <w:abstractNumId w:val="0"/>
  </w:num>
  <w:num w:numId="22" w16cid:durableId="817378328">
    <w:abstractNumId w:val="7"/>
  </w:num>
  <w:num w:numId="23" w16cid:durableId="1580361083">
    <w:abstractNumId w:val="10"/>
  </w:num>
  <w:num w:numId="24" w16cid:durableId="140081054">
    <w:abstractNumId w:val="23"/>
  </w:num>
  <w:num w:numId="25" w16cid:durableId="5350010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9F"/>
    <w:rsid w:val="000230C1"/>
    <w:rsid w:val="00046DC1"/>
    <w:rsid w:val="00076813"/>
    <w:rsid w:val="000E021C"/>
    <w:rsid w:val="00105FFD"/>
    <w:rsid w:val="001C7A43"/>
    <w:rsid w:val="002C2B4D"/>
    <w:rsid w:val="002E6908"/>
    <w:rsid w:val="002F3323"/>
    <w:rsid w:val="00300513"/>
    <w:rsid w:val="00321A22"/>
    <w:rsid w:val="00331367"/>
    <w:rsid w:val="003528BA"/>
    <w:rsid w:val="0037435B"/>
    <w:rsid w:val="003F3F5E"/>
    <w:rsid w:val="003F6AB9"/>
    <w:rsid w:val="00572F23"/>
    <w:rsid w:val="0058641F"/>
    <w:rsid w:val="00592A37"/>
    <w:rsid w:val="005F3AC8"/>
    <w:rsid w:val="00600B61"/>
    <w:rsid w:val="00674997"/>
    <w:rsid w:val="00847A9F"/>
    <w:rsid w:val="008E688F"/>
    <w:rsid w:val="008F7B1B"/>
    <w:rsid w:val="009D155A"/>
    <w:rsid w:val="00A01E36"/>
    <w:rsid w:val="00BE115B"/>
    <w:rsid w:val="00BF758B"/>
    <w:rsid w:val="00C54959"/>
    <w:rsid w:val="00CD7B7F"/>
    <w:rsid w:val="00D0016A"/>
    <w:rsid w:val="00D20998"/>
    <w:rsid w:val="00D63FD9"/>
    <w:rsid w:val="00D90377"/>
    <w:rsid w:val="00D95E54"/>
    <w:rsid w:val="00DC169D"/>
    <w:rsid w:val="00E67280"/>
    <w:rsid w:val="00ED725C"/>
    <w:rsid w:val="00F42B2F"/>
    <w:rsid w:val="00F8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5D7F2"/>
  <w15:chartTrackingRefBased/>
  <w15:docId w15:val="{61A5C929-FC8C-43BA-8141-CD181BF3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47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7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7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47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47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47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47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47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47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47A9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847A9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847A9F"/>
    <w:rPr>
      <w:rFonts w:eastAsiaTheme="majorEastAsia" w:cstheme="majorBidi"/>
      <w:color w:val="0F4761" w:themeColor="accent1" w:themeShade="BF"/>
      <w:sz w:val="28"/>
      <w:szCs w:val="28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47A9F"/>
    <w:rPr>
      <w:rFonts w:eastAsiaTheme="majorEastAsia" w:cstheme="majorBidi"/>
      <w:i/>
      <w:iCs/>
      <w:color w:val="0F4761" w:themeColor="accent1" w:themeShade="BF"/>
      <w:lang w:val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47A9F"/>
    <w:rPr>
      <w:rFonts w:eastAsiaTheme="majorEastAsia" w:cstheme="majorBidi"/>
      <w:color w:val="0F4761" w:themeColor="accent1" w:themeShade="BF"/>
      <w:lang w:val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47A9F"/>
    <w:rPr>
      <w:rFonts w:eastAsiaTheme="majorEastAsia" w:cstheme="majorBidi"/>
      <w:i/>
      <w:iCs/>
      <w:color w:val="595959" w:themeColor="text1" w:themeTint="A6"/>
      <w:lang w:val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47A9F"/>
    <w:rPr>
      <w:rFonts w:eastAsiaTheme="majorEastAsia" w:cstheme="majorBidi"/>
      <w:color w:val="595959" w:themeColor="text1" w:themeTint="A6"/>
      <w:lang w:val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47A9F"/>
    <w:rPr>
      <w:rFonts w:eastAsiaTheme="majorEastAsia" w:cstheme="majorBidi"/>
      <w:i/>
      <w:iCs/>
      <w:color w:val="272727" w:themeColor="text1" w:themeTint="D8"/>
      <w:lang w:val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47A9F"/>
    <w:rPr>
      <w:rFonts w:eastAsiaTheme="majorEastAsia" w:cstheme="majorBidi"/>
      <w:color w:val="272727" w:themeColor="text1" w:themeTint="D8"/>
      <w:lang w:val="pl-PL"/>
    </w:rPr>
  </w:style>
  <w:style w:type="paragraph" w:styleId="Tytu">
    <w:name w:val="Title"/>
    <w:basedOn w:val="Normalny"/>
    <w:next w:val="Normalny"/>
    <w:link w:val="TytuZnak"/>
    <w:uiPriority w:val="10"/>
    <w:qFormat/>
    <w:rsid w:val="00847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47A9F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47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47A9F"/>
    <w:rPr>
      <w:rFonts w:eastAsiaTheme="majorEastAsia" w:cstheme="majorBidi"/>
      <w:color w:val="595959" w:themeColor="text1" w:themeTint="A6"/>
      <w:spacing w:val="15"/>
      <w:sz w:val="28"/>
      <w:szCs w:val="28"/>
      <w:lang w:val="pl-PL"/>
    </w:rPr>
  </w:style>
  <w:style w:type="paragraph" w:styleId="Cytat">
    <w:name w:val="Quote"/>
    <w:basedOn w:val="Normalny"/>
    <w:next w:val="Normalny"/>
    <w:link w:val="CytatZnak"/>
    <w:uiPriority w:val="29"/>
    <w:qFormat/>
    <w:rsid w:val="00847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47A9F"/>
    <w:rPr>
      <w:i/>
      <w:iCs/>
      <w:color w:val="404040" w:themeColor="text1" w:themeTint="BF"/>
      <w:lang w:val="pl-PL"/>
    </w:rPr>
  </w:style>
  <w:style w:type="paragraph" w:styleId="Akapitzlist">
    <w:name w:val="List Paragraph"/>
    <w:basedOn w:val="Normalny"/>
    <w:uiPriority w:val="34"/>
    <w:qFormat/>
    <w:rsid w:val="00847A9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47A9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47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47A9F"/>
    <w:rPr>
      <w:i/>
      <w:iCs/>
      <w:color w:val="0F4761" w:themeColor="accent1" w:themeShade="BF"/>
      <w:lang w:val="pl-PL"/>
    </w:rPr>
  </w:style>
  <w:style w:type="character" w:styleId="Odwoanieintensywne">
    <w:name w:val="Intense Reference"/>
    <w:basedOn w:val="Domylnaczcionkaakapitu"/>
    <w:uiPriority w:val="32"/>
    <w:qFormat/>
    <w:rsid w:val="00847A9F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586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2E6908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E6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2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7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7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openstax.org/books/makroekonomia-podstawy/pages/7-3-krzywa-phillips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zhum.muzhp.pl/media/texts/studia-i-prace-wydziau-nauk-ekonomicznych-i-zarzadzania/2017-tom-47-numer-3/studia_i_prace_wydzialu_nauk_ekonomicznych_i_zarzadzania-r2017-t47-n3-s171-18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733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</dc:creator>
  <cp:keywords/>
  <dc:description/>
  <cp:lastModifiedBy>Cyprian 122079</cp:lastModifiedBy>
  <cp:revision>31</cp:revision>
  <dcterms:created xsi:type="dcterms:W3CDTF">2025-06-16T09:52:00Z</dcterms:created>
  <dcterms:modified xsi:type="dcterms:W3CDTF">2025-06-16T17:01:00Z</dcterms:modified>
</cp:coreProperties>
</file>