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军事装备管理信息系统需求调查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系统的哪些特征是重要的？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使用系统主要用户是哪些人？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不同的用户有不同的信息需求，他们的查询方式有哪些？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完成一个查询，希望系统反应时间是多少？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查询的信息希望以何种形式展现？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参与信息管理的部门有哪些？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装备存储库的更新周期是多久？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系统是否提供维护帮助和装备管理常识？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装备保障方面，除了基本的登记，查询，统计还期望有哪些功能？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列出需要优先考虑的系统功能是什么？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F14B99"/>
    <w:multiLevelType w:val="singleLevel"/>
    <w:tmpl w:val="A0F14B9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75ECC"/>
    <w:rsid w:val="1A975EC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2018-10-30T14:04:00Z</dcterms:created>
  <dc:creator>@格桑花</dc:creator>
  <cp:lastModifiedBy>@格桑花</cp:lastModifiedBy>
  <dcterms:modified xsi:type="dcterms:W3CDTF">2018-10-30T14:11:23Z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