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rPr>
              <w:lang w:val="ru-RU"/>
            </w:rP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5" w:name="реферат"/>
    <w:p>
      <w:pPr>
        <w:pStyle w:val="Heading1"/>
      </w:pPr>
      <w:r>
        <w:rPr>
          <w:lang w:val="ru-RU"/>
        </w:rPr>
        <w:t xml:space="preserve">РЕФЕРАТ</w:t>
      </w:r>
    </w:p>
    <w:p>
      <w:pPr>
        <w:pStyle w:val="FirstParagraph"/>
      </w:pPr>
      <w:r>
        <w:rPr>
          <w:lang w:val="ru-RU"/>
        </w:rPr>
        <w:t xml:space="preserve">Отчёт 10 с., 3 табл., 6 источн., 1 прил.</w:t>
      </w:r>
      <w:r>
        <w:br/>
      </w:r>
      <w:r>
        <w:rPr>
          <w:lang w:val="ru-RU"/>
        </w:rPr>
        <w:t xml:space="preserve">ТЕНЗОР, ТЕНЗОРНОЕ РАЗЛОЖЕНИЕ, СЖАТИЕ ДАННЫХ, CP-РАЗЛОЖЕНИЕ, TUCKER-РАЗЛОЖЕНИЕ, МНОГОМЕРНЫЕ ДАННЫЕ</w:t>
      </w:r>
      <w:r>
        <w:br/>
      </w:r>
      <w:r>
        <w:rPr>
          <w:lang w:val="ru-RU"/>
        </w:rPr>
        <w:t xml:space="preserve">Объектом исследования являются многомерные массивы данных, представленные в виде тензоров. Цель работы — исследование алгоритмов низкорангового тензорного разложения для эффективного сжатия многомерных данных. В работе выполнен обзор основных методов тензорного анализа, проведено сравнение CP- и Tucker-разложений, а также выполнен вычислительный эксперимент по сжатию синтетических многомерных данных. По результатам эксперимента оценены коэффициент сжатия и ошибка аппроксимации для различных рангов разложения. Результаты могут быть применены в задачах обработки сигналов и машинного обучения для уменьшения вычислительной сложности алгоритмов.</w:t>
      </w:r>
      <w:r>
        <w:br/>
      </w:r>
      <w:r>
        <w:rPr>
          <w:lang w:val="ru-RU"/>
        </w:rPr>
        <w:t xml:space="preserve"># ПЕРЕЧЕНЬ СОКРАЩЕНИЙ И ОБОЗНАЧЕНИЙ {-}</w:t>
      </w:r>
      <w:r>
        <w:br/>
      </w:r>
      <w:r>
        <w:rPr>
          <w:lang w:val="ru-RU"/>
        </w:rPr>
        <w:t xml:space="preserve">В настоящем отчёте о НИР применяют следующие сокращения и обозначения.</w:t>
      </w:r>
      <w:r>
        <w:br/>
      </w:r>
      <w:r>
        <w:rPr>
          <w:lang w:val="ru-RU"/>
        </w:rPr>
        <w:t xml:space="preserve">CP — Canonic Polyadic</w:t>
      </w:r>
      <w:r>
        <w:br/>
      </w:r>
      <w:r>
        <w:rPr>
          <w:lang w:val="ru-RU"/>
        </w:rPr>
        <w:t xml:space="preserve">SVD — Singular Value Decomposition</w:t>
      </w:r>
      <w:r>
        <w:br/>
      </w:r>
      <w:r>
        <w:rPr>
          <w:lang w:val="ru-RU"/>
        </w:rPr>
        <w:t xml:space="preserve">TT — Tensor Train</w:t>
      </w:r>
      <w:r>
        <w:br/>
      </w:r>
      <w:r>
        <w:rPr>
          <w:lang w:val="ru-RU"/>
        </w:rPr>
        <w:t xml:space="preserve"># ВВЕДЕНИЕ {-}</w:t>
      </w:r>
      <w:r>
        <w:br/>
      </w:r>
      <w:r>
        <w:rPr>
          <w:lang w:val="ru-RU"/>
        </w:rPr>
        <w:t xml:space="preserve">Современные задачи анализа данных всё чаще оперируют многомерными массивами, которые естественным образом представляются в виде тензоров</w:t>
      </w:r>
      <w:r>
        <w:rPr>
          <w:lang w:val="ru-RU"/>
        </w:rPr>
        <w:t xml:space="preserve"> </w:t>
      </w:r>
      <w:r>
        <w:rPr>
          <w:lang w:val="ru-RU"/>
        </w:rPr>
        <w:t xml:space="preserve">[1]</w:t>
      </w:r>
      <w:r>
        <w:rPr>
          <w:lang w:val="ru-RU"/>
        </w:rPr>
        <w:t xml:space="preserve">. Примерами таких данных являются видеопоследовательности, гиперспектральные изображения и тензоры взаимодействий в recommender systems. Прямая обработка этих данных требует значительных вычислительных ресурсов и объёмов памяти, что делает актуальной задачу их сжатия.</w:t>
      </w:r>
      <w:r>
        <w:br/>
      </w:r>
      <w:r>
        <w:rPr>
          <w:lang w:val="ru-RU"/>
        </w:rPr>
        <w:t xml:space="preserve">Классические методы сжатия, основанные на сингулярном разложении (SVD) матриц, не учитывают многомерную структуру данных и приводят к потере интерпретируемости</w:t>
      </w:r>
      <w:r>
        <w:rPr>
          <w:lang w:val="ru-RU"/>
        </w:rPr>
        <w:t xml:space="preserve"> </w:t>
      </w:r>
      <w:r>
        <w:rPr>
          <w:lang w:val="ru-RU"/>
        </w:rPr>
        <w:t xml:space="preserve">[2]</w:t>
      </w:r>
      <w:r>
        <w:rPr>
          <w:lang w:val="ru-RU"/>
        </w:rPr>
        <w:t xml:space="preserve">. Тензорные методы разложения позволяют сохранять естественную структуру данных и обеспечивают более компактное представление</w:t>
      </w:r>
      <w:r>
        <w:rPr>
          <w:lang w:val="ru-RU"/>
        </w:rPr>
        <w:t xml:space="preserve"> </w:t>
      </w:r>
      <w:r>
        <w:rPr>
          <w:lang w:val="ru-RU"/>
        </w:rPr>
        <w:t xml:space="preserve">[3]</w:t>
      </w:r>
      <w:r>
        <w:rPr>
          <w:lang w:val="ru-RU"/>
        </w:rPr>
        <w:t xml:space="preserve">.</w:t>
      </w:r>
      <w:r>
        <w:br/>
      </w:r>
      <w:r>
        <w:rPr>
          <w:lang w:val="ru-RU"/>
        </w:rPr>
        <w:t xml:space="preserve">Целью работы является исследование алгоритмов низкорангового тензорного разложения для сжатия многомерных данных.</w:t>
      </w:r>
      <w:r>
        <w:br/>
      </w:r>
      <w:r>
        <w:rPr>
          <w:lang w:val="ru-RU"/>
        </w:rPr>
        <w:t xml:space="preserve">Для достижения цели необходимо решить следующие задачи:</w:t>
      </w:r>
      <w:r>
        <w:br/>
      </w:r>
      <w:r>
        <w:rPr>
          <w:lang w:val="ru-RU"/>
        </w:rPr>
        <w:t xml:space="preserve">- рассмотреть теоретические основы тензорного анализа и основные методы разложения;</w:t>
      </w:r>
      <w:r>
        <w:br/>
      </w:r>
      <w:r>
        <w:rPr>
          <w:lang w:val="ru-RU"/>
        </w:rPr>
        <w:t xml:space="preserve">- провести сравнительный анализ алгоритмов сжатия на основе CP- и Tucker-разложений;</w:t>
      </w:r>
      <w:r>
        <w:br/>
      </w:r>
      <w:r>
        <w:rPr>
          <w:lang w:val="ru-RU"/>
        </w:rPr>
        <w:t xml:space="preserve">- выполнить вычислительный эксперимент и оценить эффективность предложенных подходов.</w:t>
      </w:r>
      <w:r>
        <w:br/>
      </w:r>
      <w:r>
        <w:rPr>
          <w:lang w:val="ru-RU"/>
        </w:rPr>
        <w:t xml:space="preserve">Объект исследования — многомерные массивы данных, представленные в виде тензоров. Предмет исследования — алгоритмы низкорангового тензорного разложения.</w:t>
      </w:r>
      <w:r>
        <w:br/>
      </w:r>
      <w:r>
        <w:rPr>
          <w:lang w:val="ru-RU"/>
        </w:rPr>
        <w:t xml:space="preserve">В первом разделе рассмотрены теоретические основы тензорного анализа и методы разложения. Во втором разделе описана постановка вычислительного эксперимента и проанализированы его результаты. Исходный код реализованных алгоритмов приведён в приложении А.</w:t>
      </w:r>
      <w:r>
        <w:br/>
      </w:r>
      <w:r>
        <w:rPr>
          <w:lang w:val="ru-RU"/>
        </w:rPr>
        <w:t xml:space="preserve"># 1 Теоретические основы тензорного анализа {#sec:theory}</w:t>
      </w:r>
      <w:r>
        <w:br/>
      </w:r>
      <w:r>
        <w:rPr>
          <w:lang w:val="ru-RU"/>
        </w:rPr>
        <w:t xml:space="preserve">Тензорный анализ предоставляет строгий математический аппарат для работы с многомерными данными. В данном разделе приведены основные определения и методы, необходимые для решения поставленных задач.</w:t>
      </w:r>
      <w:r>
        <w:br/>
      </w:r>
      <w:r>
        <w:rPr>
          <w:lang w:val="ru-RU"/>
        </w:rPr>
        <w:t xml:space="preserve">## 1.1 Понятие тензора и основные операции {#sec:concepts}</w:t>
      </w:r>
      <w:r>
        <w:br/>
      </w:r>
      <w:r>
        <w:rPr>
          <w:lang w:val="ru-RU"/>
        </w:rPr>
        <w:t xml:space="preserve">Тензором порядка</w:t>
      </w:r>
      <w:r>
        <w:rPr>
          <w:lang w:val="ru-RU"/>
        </w:rPr>
        <w:t xml:space="preserve"> </w:t>
      </w:r>
      <m:oMath>
        <m:r>
          <m:t>N</m:t>
        </m:r>
      </m:oMath>
      <w:r>
        <w:rPr>
          <w:lang w:val="ru-RU"/>
        </w:rPr>
        <w:t xml:space="preserve"> </w:t>
      </w:r>
      <w:r>
        <w:rPr>
          <w:lang w:val="ru-RU"/>
        </w:rPr>
        <w:t xml:space="preserve">называется многомерный массив элементов, индексация которого требует</w:t>
      </w:r>
      <w:r>
        <w:rPr>
          <w:lang w:val="ru-RU"/>
        </w:rPr>
        <w:t xml:space="preserve"> </w:t>
      </w:r>
      <m:oMath>
        <m:r>
          <m:t>N</m:t>
        </m:r>
      </m:oMath>
      <w:r>
        <w:rPr>
          <w:lang w:val="ru-RU"/>
        </w:rPr>
        <w:t xml:space="preserve"> </w:t>
      </w:r>
      <w:r>
        <w:rPr>
          <w:lang w:val="ru-RU"/>
        </w:rPr>
        <w:t xml:space="preserve">индексов</w:t>
      </w:r>
      <w:r>
        <w:rPr>
          <w:lang w:val="ru-RU"/>
        </w:rPr>
        <w:t xml:space="preserve"> </w:t>
      </w:r>
      <w:r>
        <w:rPr>
          <w:lang w:val="ru-RU"/>
        </w:rPr>
        <w:t xml:space="preserve">[2]</w:t>
      </w:r>
      <w:r>
        <w:rPr>
          <w:lang w:val="ru-RU"/>
        </w:rPr>
        <w:t xml:space="preserve">. Скаляр является тензором порядка 0, вектор — порядка 1, матрица — порядка 2. Тензоры более высоких порядков называются гиперматрицами.</w:t>
      </w:r>
      <w:r>
        <w:br/>
      </w:r>
      <w:r>
        <w:rPr>
          <w:lang w:val="ru-RU"/>
        </w:rPr>
        <w:t xml:space="preserve">Основной числовой характеристикой тензора является его норма Фробениуса, которая вычисляется по формуле (1).</w:t>
      </w:r>
      <w:r>
        <w:br/>
      </w:r>
    </w:p>
    <w:bookmarkStart w:id="16" w:name="eq:tensor-norm"/>
    <w:p>
      <w:pPr>
        <w:pStyle w:val="Equation"/>
      </w:pPr>
      <w:r>
        <w:tab/>
      </w:r>
      <m:oMath>
        <m:r>
          <m:rPr>
            <m:sty m:val="p"/>
          </m:rPr>
          <m:t>∥</m:t>
        </m:r>
        <m:r>
          <m:rPr>
            <m:scr m:val="script"/>
            <m:sty m:val="p"/>
          </m:rPr>
          <m:t>X</m:t>
        </m:r>
        <m:sSub>
          <m:e>
            <m:r>
              <m:rPr>
                <m:sty m:val="p"/>
              </m:rPr>
              <m:t>∥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sSub>
                  <m:e>
                    <m:r>
                      <m:t>i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sSub>
                  <m:e>
                    <m:r>
                      <m:t>I</m:t>
                    </m:r>
                  </m:e>
                  <m:sub>
                    <m:r>
                      <m:t>1</m:t>
                    </m:r>
                  </m:sub>
                </m:sSub>
              </m:sup>
              <m:e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sSub>
                      <m:e>
                        <m:r>
                          <m:t>i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sSub>
                      <m:e>
                        <m:r>
                          <m:t>I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sup>
                  <m:e>
                    <m:r>
                      <m:rPr>
                        <m:sty m:val="p"/>
                      </m:rPr>
                      <m:t>…</m:t>
                    </m:r>
                  </m:e>
                </m:nary>
              </m:e>
            </m:nary>
            <m:nary>
              <m:naryPr>
                <m:chr m:val="∑"/>
                <m:limLoc m:val="undOvr"/>
                <m:subHide m:val="off"/>
                <m:supHide m:val="off"/>
              </m:naryPr>
              <m:sub>
                <m:sSub>
                  <m:e>
                    <m:r>
                      <m:t>i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sSub>
                  <m:e>
                    <m:r>
                      <m:t>I</m:t>
                    </m:r>
                  </m:e>
                  <m:sub>
                    <m:r>
                      <m:t>N</m:t>
                    </m:r>
                  </m:sub>
                </m:sSub>
              </m:sup>
              <m:e>
                <m:r>
                  <m:rPr>
                    <m:sty m:val="p"/>
                  </m:rPr>
                  <m:t>|</m:t>
                </m:r>
              </m:e>
            </m:nary>
            <m:sSub>
              <m:e>
                <m:r>
                  <m:t>x</m:t>
                </m:r>
              </m:e>
              <m:sub>
                <m:sSub>
                  <m:e>
                    <m:r>
                      <m:t>i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i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…</m:t>
                </m:r>
                <m:sSub>
                  <m:e>
                    <m:r>
                      <m:t>i</m:t>
                    </m:r>
                  </m:e>
                  <m:sub>
                    <m:r>
                      <m:t>N</m:t>
                    </m:r>
                  </m:sub>
                </m:sSub>
              </m:sub>
            </m:sSub>
            <m:sSup>
              <m:e>
                <m:r>
                  <m:rPr>
                    <m:sty m:val="p"/>
                  </m:rPr>
                  <m:t>|</m:t>
                </m:r>
              </m:e>
              <m:sup>
                <m:r>
                  <m:t>2</m:t>
                </m:r>
              </m:sup>
            </m:sSup>
          </m:e>
        </m:rad>
      </m:oMath>
      <w:r>
        <w:tab/>
      </w:r>
      <w:r>
        <w:rPr>
          <w:lang w:val="ru-RU"/>
        </w:rPr>
        <w:t xml:space="preserve">(1)</w:t>
      </w:r>
    </w:p>
    <w:bookmarkEnd w:id="16"/>
    <w:p>
      <w:pPr>
        <w:pStyle w:val="BodyText"/>
      </w:pPr>
      <w:r>
        <w:br/>
      </w:r>
      <w:r>
        <w:rPr>
          <w:lang w:val="ru-RU"/>
        </w:rPr>
        <w:t xml:space="preserve">где</w:t>
      </w:r>
      <w:r>
        <w:rPr>
          <w:lang w:val="ru-RU"/>
        </w:rPr>
        <w:t xml:space="preserve"> </w:t>
      </w:r>
      <m:oMath>
        <m:r>
          <m:rPr>
            <m:sty m:val="p"/>
          </m:rPr>
          <m:t>∥</m:t>
        </m:r>
        <m:r>
          <m:rPr>
            <m:scr m:val="script"/>
            <m:sty m:val="p"/>
          </m:rPr>
          <m:t>X</m:t>
        </m:r>
        <m:sSub>
          <m:e>
            <m:r>
              <m:rPr>
                <m:sty m:val="p"/>
              </m:rPr>
              <m:t>∥</m:t>
            </m:r>
          </m:e>
          <m:sub>
            <m:r>
              <m:t>F</m:t>
            </m:r>
          </m:sub>
        </m:sSub>
      </m:oMath>
      <w:r>
        <w:rPr>
          <w:lang w:val="ru-RU"/>
        </w:rPr>
        <w:t xml:space="preserve"> </w:t>
      </w:r>
      <w:r>
        <w:rPr>
          <w:lang w:val="ru-RU"/>
        </w:rPr>
        <w:t xml:space="preserve">— норма Фробениуса тензора</w:t>
      </w:r>
      <w:r>
        <w:rPr>
          <w:lang w:val="ru-RU"/>
        </w:rPr>
        <w:t xml:space="preserve"> </w:t>
      </w:r>
      <m:oMath>
        <m:r>
          <m:rPr>
            <m:scr m:val="script"/>
            <m:sty m:val="p"/>
          </m:rPr>
          <m:t>X</m:t>
        </m:r>
      </m:oMath>
      <w:r>
        <w:rPr>
          <w:lang w:val="ru-RU"/>
        </w:rPr>
        <w:t xml:space="preserve">;</w:t>
      </w:r>
      <w:r>
        <w:br/>
      </w:r>
      <m:oMath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i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…</m:t>
            </m:r>
            <m:sSub>
              <m:e>
                <m:r>
                  <m:t>i</m:t>
                </m:r>
              </m:e>
              <m:sub>
                <m:r>
                  <m:t>N</m:t>
                </m:r>
              </m:sub>
            </m:sSub>
          </m:sub>
        </m:sSub>
      </m:oMath>
      <w:r>
        <w:rPr>
          <w:lang w:val="ru-RU"/>
        </w:rPr>
        <w:t xml:space="preserve"> </w:t>
      </w:r>
      <w:r>
        <w:rPr>
          <w:lang w:val="ru-RU"/>
        </w:rPr>
        <w:t xml:space="preserve">— элемент тензора</w:t>
      </w:r>
      <w:r>
        <w:rPr>
          <w:lang w:val="ru-RU"/>
        </w:rPr>
        <w:t xml:space="preserve"> </w:t>
      </w:r>
      <m:oMath>
        <m:r>
          <m:rPr>
            <m:scr m:val="script"/>
            <m:sty m:val="p"/>
          </m:rPr>
          <m:t>X</m:t>
        </m:r>
      </m:oMath>
      <w:r>
        <w:rPr>
          <w:lang w:val="ru-RU"/>
        </w:rPr>
        <w:t xml:space="preserve">;</w:t>
      </w:r>
      <w:r>
        <w:br/>
      </w:r>
      <m:oMath>
        <m:sSub>
          <m:e>
            <m:r>
              <m:t>I</m:t>
            </m:r>
          </m:e>
          <m:sub>
            <m:r>
              <m:t>k</m:t>
            </m:r>
          </m:sub>
        </m:sSub>
      </m:oMath>
      <w:r>
        <w:rPr>
          <w:lang w:val="ru-RU"/>
        </w:rPr>
        <w:t xml:space="preserve"> </w:t>
      </w:r>
      <w:r>
        <w:rPr>
          <w:lang w:val="ru-RU"/>
        </w:rPr>
        <w:t xml:space="preserve">— размерность тензора по</w:t>
      </w:r>
      <w:r>
        <w:rPr>
          <w:lang w:val="ru-RU"/>
        </w:rPr>
        <w:t xml:space="preserve"> </w:t>
      </w:r>
      <m:oMath>
        <m:r>
          <m:t>k</m:t>
        </m:r>
      </m:oMath>
      <w:r>
        <w:rPr>
          <w:lang w:val="ru-RU"/>
        </w:rPr>
        <w:t xml:space="preserve">-й моде.</w:t>
      </w:r>
      <w:r>
        <w:br/>
      </w:r>
      <w:r>
        <w:rPr>
          <w:lang w:val="ru-RU"/>
        </w:rPr>
        <w:t xml:space="preserve">Операции сложения и умножения тензоров определяются поэлементно и через тензорное произведение соответственно. Для сжатия данных ключевое значение имеет операция свёртки и понятие ранга тензора, которое обобщает понятие ранга матрицы на многомерный случай</w:t>
      </w:r>
      <w:r>
        <w:rPr>
          <w:lang w:val="ru-RU"/>
        </w:rPr>
        <w:t xml:space="preserve"> </w:t>
      </w:r>
      <w:r>
        <w:rPr>
          <w:lang w:val="ru-RU"/>
        </w:rPr>
        <w:t xml:space="preserve">[1]</w:t>
      </w:r>
      <w:r>
        <w:rPr>
          <w:lang w:val="ru-RU"/>
        </w:rPr>
        <w:t xml:space="preserve">.</w:t>
      </w:r>
      <w:r>
        <w:br/>
      </w:r>
      <w:r>
        <w:rPr>
          <w:lang w:val="ru-RU"/>
        </w:rPr>
        <w:t xml:space="preserve">## 1.2 Методы низкорангового разложения {#sec:decomposition}</w:t>
      </w:r>
      <w:r>
        <w:br/>
      </w:r>
      <w:r>
        <w:rPr>
          <w:lang w:val="ru-RU"/>
        </w:rPr>
        <w:t xml:space="preserve">Низкоранговое разложение позволяет аппроксимировать исходный тензор</w:t>
      </w:r>
      <w:r>
        <w:rPr>
          <w:lang w:val="ru-RU"/>
        </w:rPr>
        <w:t xml:space="preserve"> </w:t>
      </w:r>
      <m:oMath>
        <m:r>
          <m:rPr>
            <m:scr m:val="script"/>
            <m:sty m:val="p"/>
          </m:rPr>
          <m:t>X</m:t>
        </m:r>
      </m:oMath>
      <w:r>
        <w:rPr>
          <w:lang w:val="ru-RU"/>
        </w:rPr>
        <w:t xml:space="preserve"> </w:t>
      </w:r>
      <w:r>
        <w:rPr>
          <w:lang w:val="ru-RU"/>
        </w:rPr>
        <w:t xml:space="preserve">суммой или произведением тензоров меньшей размерности. Основные методы разложения приведены в таблице</w:t>
      </w:r>
      <w:r>
        <w:rPr>
          <w:lang w:val="ru-RU"/>
        </w:rPr>
        <w:t xml:space="preserve"> </w:t>
      </w:r>
      <w:r>
        <w:rPr>
          <w:b/>
          <w:bCs/>
          <w:lang w:val="ru-RU"/>
        </w:rPr>
        <w:t xml:space="preserve">¿tbl:decomposition-methods?</w:t>
      </w:r>
      <w:r>
        <w:rPr>
          <w:lang w:val="ru-RU"/>
        </w:rPr>
        <w:t xml:space="preserve">.</w:t>
      </w:r>
      <w:r>
        <w:br/>
      </w:r>
      <w:r>
        <w:rPr>
          <w:lang w:val="ru-RU"/>
        </w:rPr>
        <w:t xml:space="preserve">: Сравнение методов тензорного разложения {#tbl:decomposition-methods}</w:t>
      </w:r>
      <w:r>
        <w:br/>
      </w:r>
      <w:r>
        <w:rPr>
          <w:lang w:val="ru-RU"/>
        </w:rPr>
        <w:t xml:space="preserve">| Метод | Структура | Число параметров | Интерпретируемость |</w:t>
      </w:r>
      <w:r>
        <w:br/>
      </w:r>
      <w:r>
        <w:rPr>
          <w:lang w:val="ru-RU"/>
        </w:rPr>
        <w:t xml:space="preserve">|—|—|—|—|</w:t>
      </w:r>
      <w:r>
        <w:br/>
      </w:r>
      <w:r>
        <w:rPr>
          <w:lang w:val="ru-RU"/>
        </w:rPr>
        <w:t xml:space="preserve">| CP-разложение | Сумма ранг-1 тензоров |</w:t>
      </w:r>
      <w:r>
        <w:rPr>
          <w:lang w:val="ru-RU"/>
        </w:rPr>
        <w:t xml:space="preserve"> </w:t>
      </w:r>
      <m:oMath>
        <m:r>
          <m:t>R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I</m:t>
                </m:r>
              </m:e>
              <m:sub>
                <m:r>
                  <m:t>k</m:t>
                </m:r>
              </m:sub>
            </m:sSub>
          </m:e>
        </m:nary>
      </m:oMath>
      <w:r>
        <w:rPr>
          <w:lang w:val="ru-RU"/>
        </w:rPr>
        <w:t xml:space="preserve"> </w:t>
      </w:r>
      <w:r>
        <w:rPr>
          <w:lang w:val="ru-RU"/>
        </w:rPr>
        <w:t xml:space="preserve">| высокая |</w:t>
      </w:r>
      <w:r>
        <w:br/>
      </w:r>
      <w:r>
        <w:rPr>
          <w:lang w:val="ru-RU"/>
        </w:rPr>
        <w:t xml:space="preserve">| Tucker-разложение | Ядро и факторные матрицы |</w:t>
      </w:r>
      <w:r>
        <w:rPr>
          <w:lang w:val="ru-RU"/>
        </w:rPr>
        <w:t xml:space="preserve"> </w:t>
      </w:r>
      <m:oMath>
        <m:sSup>
          <m:e>
            <m: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I</m:t>
                </m:r>
              </m:e>
              <m:sub>
                <m:r>
                  <m:t>k</m:t>
                </m:r>
              </m:sub>
            </m:sSub>
          </m:e>
        </m:nary>
        <m:sSub>
          <m:e>
            <m:r>
              <m:t>R</m:t>
            </m:r>
          </m:e>
          <m:sub>
            <m:r>
              <m:t>k</m:t>
            </m:r>
          </m:sub>
        </m:sSub>
      </m:oMath>
      <w:r>
        <w:rPr>
          <w:lang w:val="ru-RU"/>
        </w:rPr>
        <w:t xml:space="preserve"> </w:t>
      </w:r>
      <w:r>
        <w:rPr>
          <w:lang w:val="ru-RU"/>
        </w:rPr>
        <w:t xml:space="preserve">| средняя |</w:t>
      </w:r>
      <w:r>
        <w:br/>
      </w:r>
      <w:r>
        <w:rPr>
          <w:lang w:val="ru-RU"/>
        </w:rPr>
        <w:t xml:space="preserve">| TT-разложение | Последовательность ядер |</w:t>
      </w:r>
      <w:r>
        <w:rPr>
          <w:lang w:val="ru-RU"/>
        </w:rP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I</m:t>
                </m:r>
              </m:e>
              <m:sub>
                <m:r>
                  <m:t>k</m:t>
                </m:r>
              </m:sub>
            </m:sSub>
          </m:e>
        </m:nary>
        <m:sSub>
          <m:e>
            <m:r>
              <m:t>R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b>
          <m:e>
            <m:r>
              <m:t>R</m:t>
            </m:r>
          </m:e>
          <m:sub>
            <m:r>
              <m:t>k</m:t>
            </m:r>
          </m:sub>
        </m:sSub>
      </m:oMath>
      <w:r>
        <w:rPr>
          <w:lang w:val="ru-RU"/>
        </w:rPr>
        <w:t xml:space="preserve"> </w:t>
      </w:r>
      <w:r>
        <w:rPr>
          <w:lang w:val="ru-RU"/>
        </w:rPr>
        <w:t xml:space="preserve">| низкая |</w:t>
      </w:r>
      <w:r>
        <w:br/>
      </w:r>
      <w:r>
        <w:rPr>
          <w:lang w:val="ru-RU"/>
        </w:rPr>
        <w:t xml:space="preserve">CP-разложение (Canonic Polyadic) представляет тензор в виде суммы минимального числа ранг-1 тензоров. Формула CP-разложения для тензора третьего порядка приведена в выражении (2).</w:t>
      </w:r>
      <w:r>
        <w:br/>
      </w:r>
    </w:p>
    <w:bookmarkStart w:id="17" w:name="eq:cp-decomposition"/>
    <w:p>
      <w:pPr>
        <w:pStyle w:val="Equation"/>
      </w:pPr>
      <w:r>
        <w:tab/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≈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R</m:t>
            </m:r>
          </m: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r</m:t>
                </m:r>
              </m:sub>
            </m:sSub>
          </m:e>
        </m:nary>
        <m:r>
          <m:rPr>
            <m:sty m:val="p"/>
          </m:rPr>
          <m:t>∘</m:t>
        </m:r>
        <m:sSub>
          <m:e>
            <m:r>
              <m:rPr>
                <m:sty m:val="bi"/>
              </m:rPr>
              <m:t>b</m:t>
            </m:r>
          </m:e>
          <m:sub>
            <m:r>
              <m:t>r</m:t>
            </m:r>
          </m:sub>
        </m:sSub>
        <m:r>
          <m:rPr>
            <m:sty m:val="p"/>
          </m:rPr>
          <m:t>∘</m:t>
        </m:r>
        <m:sSub>
          <m:e>
            <m:r>
              <m:rPr>
                <m:sty m:val="bi"/>
              </m:rPr>
              <m:t>c</m:t>
            </m:r>
          </m:e>
          <m:sub>
            <m:r>
              <m:t>r</m:t>
            </m:r>
          </m:sub>
        </m:sSub>
      </m:oMath>
      <w:r>
        <w:tab/>
      </w:r>
      <w:r>
        <w:rPr>
          <w:lang w:val="ru-RU"/>
        </w:rPr>
        <w:t xml:space="preserve">(2)</w:t>
      </w:r>
    </w:p>
    <w:bookmarkEnd w:id="17"/>
    <w:p>
      <w:pPr>
        <w:pStyle w:val="BodyText"/>
      </w:pPr>
      <w:r>
        <w:br/>
      </w:r>
      <w:r>
        <w:rPr>
          <w:lang w:val="ru-RU"/>
        </w:rPr>
        <w:t xml:space="preserve">где</w:t>
      </w:r>
      <w:r>
        <w:rPr>
          <w:lang w:val="ru-RU"/>
        </w:rPr>
        <w:t xml:space="preserve"> </w:t>
      </w:r>
      <m:oMath>
        <m:r>
          <m:rPr>
            <m:scr m:val="script"/>
            <m:sty m:val="p"/>
          </m:rPr>
          <m:t>X</m:t>
        </m:r>
      </m:oMath>
      <w:r>
        <w:rPr>
          <w:lang w:val="ru-RU"/>
        </w:rPr>
        <w:t xml:space="preserve"> </w:t>
      </w:r>
      <w:r>
        <w:rPr>
          <w:lang w:val="ru-RU"/>
        </w:rPr>
        <w:t xml:space="preserve">— исходный тензор третьего порядка;</w:t>
      </w:r>
      <w:r>
        <w:br/>
      </w:r>
      <m:oMath>
        <m:r>
          <m:t>R</m:t>
        </m:r>
      </m:oMath>
      <w:r>
        <w:rPr>
          <w:lang w:val="ru-RU"/>
        </w:rPr>
        <w:t xml:space="preserve"> </w:t>
      </w:r>
      <w:r>
        <w:rPr>
          <w:lang w:val="ru-RU"/>
        </w:rPr>
        <w:t xml:space="preserve">— ранг CP-разложения;</w:t>
      </w:r>
      <w:r>
        <w:br/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r</m:t>
            </m:r>
          </m:sub>
        </m:sSub>
        <m:r>
          <m:rPr>
            <m:sty m:val="p"/>
          </m:rPr>
          <m:t>,</m:t>
        </m:r>
        <m:sSub>
          <m:e>
            <m:r>
              <m:rPr>
                <m:sty m:val="bi"/>
              </m:rPr>
              <m:t>b</m:t>
            </m:r>
          </m:e>
          <m:sub>
            <m:r>
              <m:t>r</m:t>
            </m:r>
          </m:sub>
        </m:sSub>
        <m:r>
          <m:rPr>
            <m:sty m:val="p"/>
          </m:rPr>
          <m:t>,</m:t>
        </m:r>
        <m:sSub>
          <m:e>
            <m:r>
              <m:rPr>
                <m:sty m:val="bi"/>
              </m:rPr>
              <m:t>c</m:t>
            </m:r>
          </m:e>
          <m:sub>
            <m:r>
              <m:t>r</m:t>
            </m:r>
          </m:sub>
        </m:sSub>
      </m:oMath>
      <w:r>
        <w:rPr>
          <w:lang w:val="ru-RU"/>
        </w:rPr>
        <w:t xml:space="preserve"> </w:t>
      </w:r>
      <w:r>
        <w:rPr>
          <w:lang w:val="ru-RU"/>
        </w:rPr>
        <w:t xml:space="preserve">— факторные векторы по соответствующим модам;</w:t>
      </w:r>
      <w:r>
        <w:br/>
      </w:r>
      <m:oMath>
        <m:r>
          <m:rPr>
            <m:sty m:val="p"/>
          </m:rPr>
          <m:t>∘</m:t>
        </m:r>
      </m:oMath>
      <w:r>
        <w:rPr>
          <w:lang w:val="ru-RU"/>
        </w:rPr>
        <w:t xml:space="preserve"> </w:t>
      </w:r>
      <w:r>
        <w:rPr>
          <w:lang w:val="ru-RU"/>
        </w:rPr>
        <w:t xml:space="preserve">— внешнее произведение векторов.</w:t>
      </w:r>
      <w:r>
        <w:br/>
      </w:r>
      <w:r>
        <w:rPr>
          <w:lang w:val="ru-RU"/>
        </w:rPr>
        <w:t xml:space="preserve">Tucker-разложение является обобщением метода главных компонент на тензоры и включает ядро, которое связывает факторные матрицы по каждой моде. Выбор метода зависит от структуры данных и требований к интерпретируемости результатов</w:t>
      </w:r>
      <w:r>
        <w:rPr>
          <w:lang w:val="ru-RU"/>
        </w:rPr>
        <w:t xml:space="preserve"> </w:t>
      </w:r>
      <w:r>
        <w:rPr>
          <w:lang w:val="ru-RU"/>
        </w:rPr>
        <w:t xml:space="preserve">[3]</w:t>
      </w:r>
      <w:r>
        <w:rPr>
          <w:lang w:val="ru-RU"/>
        </w:rPr>
        <w:t xml:space="preserve">.</w:t>
      </w:r>
      <w:r>
        <w:br/>
      </w:r>
      <w:r>
        <w:rPr>
          <w:lang w:val="ru-RU"/>
        </w:rPr>
        <w:t xml:space="preserve"># 2 Практическое исследование алгоритмов сжатия {#sec:practice}</w:t>
      </w:r>
      <w:r>
        <w:br/>
      </w:r>
      <w:r>
        <w:rPr>
          <w:lang w:val="ru-RU"/>
        </w:rPr>
        <w:t xml:space="preserve">В данном разделе описана постановка вычислительного эксперимента и приведены результаты сравнения алгоритмов сжатия многомерных данных.</w:t>
      </w:r>
      <w:r>
        <w:br/>
      </w:r>
      <w:r>
        <w:rPr>
          <w:lang w:val="ru-RU"/>
        </w:rPr>
        <w:t xml:space="preserve">## 2.1 Постановка вычислительного эксперимента {#sec:experiment}</w:t>
      </w:r>
      <w:r>
        <w:br/>
      </w:r>
      <w:r>
        <w:rPr>
          <w:lang w:val="ru-RU"/>
        </w:rPr>
        <w:t xml:space="preserve">Для оценки эффективности алгоритмов сжатия был сгенерирован синтетический тензор третьего порядка размером</w:t>
      </w:r>
      <w:r>
        <w:rPr>
          <w:lang w:val="ru-RU"/>
        </w:rPr>
        <w:t xml:space="preserve"> </w:t>
      </w:r>
      <m:oMath>
        <m:r>
          <m:t>50</m:t>
        </m:r>
        <m:r>
          <m:rPr>
            <m:sty m:val="p"/>
          </m:rPr>
          <m:t>×</m:t>
        </m:r>
        <m:r>
          <m:t>50</m:t>
        </m:r>
        <m:r>
          <m:rPr>
            <m:sty m:val="p"/>
          </m:rPr>
          <m:t>×</m:t>
        </m:r>
        <m:r>
          <m:t>50</m:t>
        </m:r>
      </m:oMath>
      <w:r>
        <w:rPr>
          <w:lang w:val="ru-RU"/>
        </w:rPr>
        <w:t xml:space="preserve">. Исходный тензор содержал нормированные случайные данные с добавленным низкоранговым сигналом.</w:t>
      </w:r>
      <w:r>
        <w:br/>
      </w:r>
      <w:r>
        <w:rPr>
          <w:lang w:val="ru-RU"/>
        </w:rPr>
        <w:t xml:space="preserve">Реализация алгоритмов выполнена на языке Python с использованием библиотеки NumPy</w:t>
      </w:r>
      <w:r>
        <w:rPr>
          <w:lang w:val="ru-RU"/>
        </w:rPr>
        <w:t xml:space="preserve"> </w:t>
      </w:r>
      <w:r>
        <w:rPr>
          <w:lang w:val="ru-RU"/>
        </w:rPr>
        <w:t xml:space="preserve">[4]</w:t>
      </w:r>
      <w:r>
        <w:rPr>
          <w:lang w:val="ru-RU"/>
        </w:rPr>
        <w:t xml:space="preserve"> </w:t>
      </w:r>
      <w:r>
        <w:rPr>
          <w:lang w:val="ru-RU"/>
        </w:rPr>
        <w:t xml:space="preserve">для базовых операций и тензорных вычислений. Все вычисления проводились в среде с процессором Intel Core i7 и 16 ГБ оперативной памяти.</w:t>
      </w:r>
      <w:r>
        <w:br/>
      </w:r>
      <w:r>
        <w:rPr>
          <w:lang w:val="ru-RU"/>
        </w:rPr>
        <w:t xml:space="preserve">Качество сжатия оценивалось по двум критериям: коэффициенту сжатия и относительной ошибке аппроксимации. Коэффициент сжатия вычисляется по формуле (3).</w:t>
      </w:r>
      <w:r>
        <w:br/>
      </w:r>
    </w:p>
    <w:bookmarkStart w:id="18" w:name="eq:compression-ratio"/>
    <w:p>
      <w:pPr>
        <w:pStyle w:val="Equation"/>
      </w:pPr>
      <w:r>
        <w:tab/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I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×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×</m:t>
            </m:r>
            <m:sSub>
              <m:e>
                <m:r>
                  <m:t>I</m:t>
                </m:r>
              </m:e>
              <m:sub>
                <m:r>
                  <m:t>N</m:t>
                </m:r>
              </m:sub>
            </m:sSub>
          </m:num>
          <m:den>
            <m:r>
              <m:rPr>
                <m:nor/>
                <m:sty m:val="p"/>
              </m:rPr>
              <m:t>Число параметров разложения</m:t>
            </m:r>
          </m:den>
        </m:f>
      </m:oMath>
      <w:r>
        <w:tab/>
      </w:r>
      <w:r>
        <w:rPr>
          <w:lang w:val="ru-RU"/>
        </w:rPr>
        <w:t xml:space="preserve">(3)</w:t>
      </w:r>
    </w:p>
    <w:bookmarkEnd w:id="18"/>
    <w:p>
      <w:pPr>
        <w:pStyle w:val="BodyText"/>
      </w:pPr>
      <w:r>
        <w:br/>
      </w:r>
      <w:r>
        <w:rPr>
          <w:lang w:val="ru-RU"/>
        </w:rPr>
        <w:t xml:space="preserve">где</w:t>
      </w:r>
      <w:r>
        <w:rPr>
          <w:lang w:val="ru-RU"/>
        </w:rPr>
        <w:t xml:space="preserve"> </w:t>
      </w:r>
      <m:oMath>
        <m:r>
          <m:t>C</m:t>
        </m:r>
      </m:oMath>
      <w:r>
        <w:rPr>
          <w:lang w:val="ru-RU"/>
        </w:rPr>
        <w:t xml:space="preserve"> </w:t>
      </w:r>
      <w:r>
        <w:rPr>
          <w:lang w:val="ru-RU"/>
        </w:rPr>
        <w:t xml:space="preserve">— коэффициент сжатия;</w:t>
      </w:r>
      <w:r>
        <w:br/>
      </w:r>
      <m:oMath>
        <m:sSub>
          <m:e>
            <m:r>
              <m:t>I</m:t>
            </m:r>
          </m:e>
          <m:sub>
            <m:r>
              <m:t>k</m:t>
            </m:r>
          </m:sub>
        </m:sSub>
      </m:oMath>
      <w:r>
        <w:rPr>
          <w:lang w:val="ru-RU"/>
        </w:rPr>
        <w:t xml:space="preserve"> </w:t>
      </w:r>
      <w:r>
        <w:rPr>
          <w:lang w:val="ru-RU"/>
        </w:rPr>
        <w:t xml:space="preserve">— размерность исходного тензора по</w:t>
      </w:r>
      <w:r>
        <w:rPr>
          <w:lang w:val="ru-RU"/>
        </w:rPr>
        <w:t xml:space="preserve"> </w:t>
      </w:r>
      <m:oMath>
        <m:r>
          <m:t>k</m:t>
        </m:r>
      </m:oMath>
      <w:r>
        <w:rPr>
          <w:lang w:val="ru-RU"/>
        </w:rPr>
        <w:t xml:space="preserve">-й моде.</w:t>
      </w:r>
      <w:r>
        <w:br/>
      </w:r>
      <w:r>
        <w:rPr>
          <w:lang w:val="ru-RU"/>
        </w:rPr>
        <w:t xml:space="preserve">Относительная ошибка аппроксимации рассчитывается как отношение нормы Фробениуса разности исходного и восстановленного тензоров к норме исходного тензора.</w:t>
      </w:r>
      <w:r>
        <w:br/>
      </w:r>
      <w:r>
        <w:rPr>
          <w:lang w:val="ru-RU"/>
        </w:rPr>
        <w:t xml:space="preserve">## 2.2 Анализ результатов сжатия данных {#sec:results}</w:t>
      </w:r>
      <w:r>
        <w:br/>
      </w:r>
      <w:r>
        <w:rPr>
          <w:lang w:val="ru-RU"/>
        </w:rPr>
        <w:t xml:space="preserve">В ходе эксперимента были протестированы CP- и Tucker-разложения для различных значений ранга. Результаты сравнения приведены в таблице</w:t>
      </w:r>
      <w:r>
        <w:rPr>
          <w:lang w:val="ru-RU"/>
        </w:rPr>
        <w:t xml:space="preserve"> </w:t>
      </w:r>
      <w:r>
        <w:rPr>
          <w:b/>
          <w:bCs/>
          <w:lang w:val="ru-RU"/>
        </w:rPr>
        <w:t xml:space="preserve">¿tbl:experiment-results?</w:t>
      </w:r>
      <w:r>
        <w:rPr>
          <w:lang w:val="ru-RU"/>
        </w:rPr>
        <w:t xml:space="preserve">.</w:t>
      </w:r>
      <w:r>
        <w:br/>
      </w:r>
      <w:r>
        <w:rPr>
          <w:lang w:val="ru-RU"/>
        </w:rPr>
        <w:t xml:space="preserve">: Результаты сжатия тензора</w:t>
      </w:r>
      <w:r>
        <w:rPr>
          <w:lang w:val="ru-RU"/>
        </w:rPr>
        <w:t xml:space="preserve"> </w:t>
      </w:r>
      <m:oMath>
        <m:r>
          <m:t>50</m:t>
        </m:r>
        <m:r>
          <m:rPr>
            <m:sty m:val="p"/>
          </m:rPr>
          <m:t>×</m:t>
        </m:r>
        <m:r>
          <m:t>50</m:t>
        </m:r>
        <m:r>
          <m:rPr>
            <m:sty m:val="p"/>
          </m:rPr>
          <m:t>×</m:t>
        </m:r>
        <m:r>
          <m:t>50</m:t>
        </m:r>
      </m:oMath>
      <w:r>
        <w:rPr>
          <w:lang w:val="ru-RU"/>
        </w:rPr>
        <w:t xml:space="preserve"> </w:t>
      </w:r>
      <w:r>
        <w:rPr>
          <w:lang w:val="ru-RU"/>
        </w:rPr>
        <w:t xml:space="preserve">{#tbl:experiment-results}</w:t>
      </w:r>
      <w:r>
        <w:br/>
      </w:r>
      <w:r>
        <w:rPr>
          <w:lang w:val="ru-RU"/>
        </w:rPr>
        <w:t xml:space="preserve">| Метод | Ранг | Коэффициент сжатия | Ошибка аппроксимации, % |</w:t>
      </w:r>
      <w:r>
        <w:br/>
      </w:r>
      <w:r>
        <w:rPr>
          <w:lang w:val="ru-RU"/>
        </w:rPr>
        <w:t xml:space="preserve">|—|—:|—:|—:|</w:t>
      </w:r>
      <w:r>
        <w:br/>
      </w:r>
      <w:r>
        <w:rPr>
          <w:lang w:val="ru-RU"/>
        </w:rPr>
        <w:t xml:space="preserve">| CP | 5 | 125,0 | 12,4 |</w:t>
      </w:r>
      <w:r>
        <w:br/>
      </w:r>
      <w:r>
        <w:rPr>
          <w:lang w:val="ru-RU"/>
        </w:rPr>
        <w:t xml:space="preserve">| CP | 10 | 62,5 | 4,2 |</w:t>
      </w:r>
      <w:r>
        <w:br/>
      </w:r>
      <w:r>
        <w:rPr>
          <w:lang w:val="ru-RU"/>
        </w:rPr>
        <w:t xml:space="preserve">| Tucker |</w:t>
      </w:r>
      <w:r>
        <w:rPr>
          <w:lang w:val="ru-RU"/>
        </w:rPr>
        <w:t xml:space="preserve"> </w:t>
      </w:r>
      <m:oMath>
        <m:r>
          <m:t>5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×</m:t>
        </m:r>
        <m:r>
          <m:t>5</m:t>
        </m:r>
      </m:oMath>
      <w:r>
        <w:rPr>
          <w:lang w:val="ru-RU"/>
        </w:rPr>
        <w:t xml:space="preserve"> </w:t>
      </w:r>
      <w:r>
        <w:rPr>
          <w:lang w:val="ru-RU"/>
        </w:rPr>
        <w:t xml:space="preserve">| 40,0 | 2,1 |</w:t>
      </w:r>
      <w:r>
        <w:br/>
      </w:r>
      <w:r>
        <w:rPr>
          <w:lang w:val="ru-RU"/>
        </w:rPr>
        <w:t xml:space="preserve">| Tucker |</w:t>
      </w:r>
      <w:r>
        <w:rPr>
          <w:lang w:val="ru-RU"/>
        </w:rPr>
        <w:t xml:space="preserve"> </w:t>
      </w:r>
      <m:oMath>
        <m:r>
          <m:t>10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×</m:t>
        </m:r>
        <m:r>
          <m:t>10</m:t>
        </m:r>
      </m:oMath>
      <w:r>
        <w:rPr>
          <w:lang w:val="ru-RU"/>
        </w:rPr>
        <w:t xml:space="preserve"> </w:t>
      </w:r>
      <w:r>
        <w:rPr>
          <w:lang w:val="ru-RU"/>
        </w:rPr>
        <w:t xml:space="preserve">| 10,0 | 0,5 |</w:t>
      </w:r>
      <w:r>
        <w:br/>
      </w:r>
      <w:r>
        <w:rPr>
          <w:lang w:val="ru-RU"/>
        </w:rPr>
        <w:t xml:space="preserve">Анализ результатов показывает, что Tucker-разложение обеспечивает меньшую ошибку аппроксимации при сопоставимом коэффициенте сжатия за счёт наличия ядра, которое учитывает взаимодействия между компонентами факторных матриц. CP-разложение демонстрирует линейную зависимость числа параметров от ранга, что делает его предпочтительным для тензоров очень высокой размерности.</w:t>
      </w:r>
      <w:r>
        <w:br/>
      </w:r>
      <w:r>
        <w:rPr>
          <w:lang w:val="ru-RU"/>
        </w:rPr>
        <w:t xml:space="preserve">Таким образом, выбор метода сжатия должен определяться конкретными требованиями к точности восстановления данных и допустимым объёмом памяти. Параметры вычислительного эксперимента приведены в приложении А.</w:t>
      </w:r>
      <w:r>
        <w:br/>
      </w:r>
      <w:r>
        <w:rPr>
          <w:lang w:val="ru-RU"/>
        </w:rPr>
        <w:t xml:space="preserve"># ЗАКЛЮЧЕНИЕ {-}</w:t>
      </w:r>
      <w:r>
        <w:br/>
      </w:r>
      <w:r>
        <w:rPr>
          <w:lang w:val="ru-RU"/>
        </w:rPr>
        <w:t xml:space="preserve">В ходе работы решены все поставленные задачи. Рассмотрены теоретические основы тензорного анализа и основные методы низкорангового разложения. Проведён сравнительный анализ CP- и Tucker-разложений, выявлены их преимущества и недостатки для задач сжатия данных. Выполнен вычислительный эксперимент, который показал, что Tucker-разложение обеспечивает более высокую точность аппроксимации при умеренных рангах, а CP-разложение лучше масштабируется на тензоры очень высокой размерности.</w:t>
      </w:r>
      <w:r>
        <w:br/>
      </w:r>
      <w:r>
        <w:rPr>
          <w:lang w:val="ru-RU"/>
        </w:rPr>
        <w:t xml:space="preserve">Результаты работы могут быть использованы при разработке алгоритмов обработки многомерных сигналов и сжатия гиперспектральных изображений. Направлением дальнейшей работы является исследование гибридных схем разложения и применение разработанных методов к реальным наборам данных.</w:t>
      </w:r>
      <w:r>
        <w:br/>
      </w:r>
      <w:r>
        <w:rPr>
          <w:lang w:val="ru-RU"/>
        </w:rPr>
        <w:t xml:space="preserve"># СПИСОК ИСПОЛЬЗОВАННЫХ ИСТОЧНИКОВ {-}</w:t>
      </w:r>
      <w:r>
        <w:br/>
      </w:r>
      <w:r>
        <w:rPr>
          <w:lang w:val="ru-RU"/>
        </w:rPr>
        <w:t xml:space="preserve">::: {#refs}</w:t>
      </w:r>
      <w:r>
        <w:br/>
      </w:r>
      <w:r>
        <w:rPr>
          <w:lang w:val="ru-RU"/>
        </w:rPr>
        <w:t xml:space="preserve">:::</w:t>
      </w:r>
      <w:r>
        <w:br/>
      </w:r>
      <w:r>
        <w:rPr>
          <w:lang w:val="ru-RU"/>
        </w:rPr>
        <w:t xml:space="preserve"># ПРИЛОЖЕНИЕ А {-}</w:t>
      </w:r>
      <w:r>
        <w:br/>
      </w:r>
      <w:r>
        <w:rPr>
          <w:lang w:val="ru-RU"/>
        </w:rPr>
        <w:t xml:space="preserve">::: {custom-style=</w:t>
      </w:r>
      <w:r>
        <w:rPr>
          <w:lang w:val="ru-RU"/>
        </w:rPr>
        <w:t xml:space="preserve">“Subtitle”</w:t>
      </w:r>
      <w:r>
        <w:rPr>
          <w:lang w:val="ru-RU"/>
        </w:rPr>
        <w:t xml:space="preserve">}</w:t>
      </w:r>
      <w:r>
        <w:br/>
      </w:r>
      <w:r>
        <w:rPr>
          <w:lang w:val="ru-RU"/>
        </w:rPr>
        <w:t xml:space="preserve">(обязательное)</w:t>
      </w:r>
      <w:r>
        <w:br/>
      </w:r>
      <w:r>
        <w:rPr>
          <w:lang w:val="ru-RU"/>
        </w:rPr>
        <w:t xml:space="preserve">Исходный код алгоритмов тензорного разложения</w:t>
      </w:r>
      <w:r>
        <w:br/>
      </w:r>
      <w:r>
        <w:rPr>
          <w:lang w:val="ru-RU"/>
        </w:rPr>
        <w:t xml:space="preserve">:::</w:t>
      </w:r>
      <w:r>
        <w:br/>
      </w:r>
      <w:r>
        <w:rPr>
          <w:lang w:val="ru-RU"/>
        </w:rPr>
        <w:t xml:space="preserve">Исходный код реализованных алгоритмов написан на языке Python с использованием библиотеки NumPy. Фрагмент функции расчёта ошибки аппроксимации приведён ниже.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calculate_reconstruction_error(original_tensor, reconstructed_tensor):</w:t>
      </w:r>
      <w:r>
        <w:br/>
      </w:r>
      <w:r>
        <w:rPr>
          <w:rStyle w:val="NormalTok"/>
        </w:rPr>
        <w:t xml:space="preserve">    norm_diff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np.linalg.norm(original_tensor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reconstructed_tensor)</w:t>
      </w:r>
      <w:r>
        <w:br/>
      </w:r>
      <w:r>
        <w:rPr>
          <w:rStyle w:val="NormalTok"/>
        </w:rPr>
        <w:t xml:space="preserve">    norm_orig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np.linalg.norm(original_tensor)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(norm_diff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norm_orig)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100.0</w:t>
      </w:r>
    </w:p>
    <w:p>
      <w:pPr>
        <w:pStyle w:val="DefinitionTerm"/>
      </w:pPr>
      <w:r>
        <w:rPr>
          <w:lang w:val="ru-RU"/>
        </w:rPr>
        <w:t xml:space="preserve">Параметры вычислительного эксперимента, описанного в подразделе</w:t>
      </w:r>
      <w:r>
        <w:rPr>
          <w:lang w:val="ru-RU"/>
        </w:rPr>
        <w:t xml:space="preserve"> </w:t>
      </w:r>
      <w:r>
        <w:rPr>
          <w:b/>
          <w:bCs/>
          <w:lang w:val="ru-RU"/>
        </w:rPr>
        <w:t xml:space="preserve">¿sec:experiment?</w:t>
      </w:r>
      <w:r>
        <w:rPr>
          <w:lang w:val="ru-RU"/>
        </w:rPr>
        <w:t xml:space="preserve">, приведены в таблице А.1.</w:t>
      </w:r>
    </w:p>
    <w:p>
      <w:pPr>
        <w:pStyle w:val="Definition"/>
      </w:pPr>
      <w:r>
        <w:rPr>
          <w:lang w:val="ru-RU"/>
        </w:rPr>
        <w:t xml:space="preserve">Таблица А.1 — Параметры вычислительного эксперимента</w:t>
      </w:r>
      <w:r>
        <w:rPr>
          <w:lang w:val="ru-RU"/>
        </w:rPr>
        <w:t xml:space="preserve"> </w:t>
      </w:r>
      <w:r>
        <w:rPr>
          <w:lang w:val="ru-RU"/>
        </w:rPr>
        <w:t xml:space="preserve">| Параметр | Значение |</w:t>
      </w:r>
      <w:r>
        <w:rPr>
          <w:lang w:val="ru-RU"/>
        </w:rPr>
        <w:t xml:space="preserve"> </w:t>
      </w:r>
      <w:r>
        <w:rPr>
          <w:lang w:val="ru-RU"/>
        </w:rPr>
        <w:t xml:space="preserve">|—|—|</w:t>
      </w:r>
      <w:r>
        <w:rPr>
          <w:lang w:val="ru-RU"/>
        </w:rPr>
        <w:t xml:space="preserve"> </w:t>
      </w:r>
      <w:r>
        <w:rPr>
          <w:lang w:val="ru-RU"/>
        </w:rPr>
        <w:t xml:space="preserve">| Размерность тензора |</w:t>
      </w:r>
      <w:r>
        <w:rPr>
          <w:lang w:val="ru-RU"/>
        </w:rPr>
        <w:t xml:space="preserve"> </w:t>
      </w:r>
      <m:oMath>
        <m:r>
          <m:t>50</m:t>
        </m:r>
        <m:r>
          <m:rPr>
            <m:sty m:val="p"/>
          </m:rPr>
          <m:t>×</m:t>
        </m:r>
        <m:r>
          <m:t>50</m:t>
        </m:r>
        <m:r>
          <m:rPr>
            <m:sty m:val="p"/>
          </m:rPr>
          <m:t>×</m:t>
        </m:r>
        <m:r>
          <m:t>50</m:t>
        </m:r>
      </m:oMath>
      <w:r>
        <w:rPr>
          <w:lang w:val="ru-RU"/>
        </w:rPr>
        <w:t xml:space="preserve"> </w:t>
      </w:r>
      <w:r>
        <w:rPr>
          <w:lang w:val="ru-RU"/>
        </w:rPr>
        <w:t xml:space="preserve">|</w:t>
      </w:r>
      <w:r>
        <w:rPr>
          <w:lang w:val="ru-RU"/>
        </w:rPr>
        <w:t xml:space="preserve"> </w:t>
      </w:r>
      <w:r>
        <w:rPr>
          <w:lang w:val="ru-RU"/>
        </w:rPr>
        <w:t xml:space="preserve">| Тип процессора | Intel Core i7 |</w:t>
      </w:r>
      <w:r>
        <w:rPr>
          <w:lang w:val="ru-RU"/>
        </w:rPr>
        <w:t xml:space="preserve"> </w:t>
      </w:r>
      <w:r>
        <w:rPr>
          <w:lang w:val="ru-RU"/>
        </w:rPr>
        <w:t xml:space="preserve">| Объём оперативной памяти | 16 ГБ |</w:t>
      </w:r>
      <w:r>
        <w:rPr>
          <w:lang w:val="ru-RU"/>
        </w:rPr>
        <w:t xml:space="preserve"> </w:t>
      </w:r>
      <w:r>
        <w:rPr>
          <w:lang w:val="ru-RU"/>
        </w:rPr>
        <w:t xml:space="preserve">| Версия языка Python | 3.10 |</w:t>
      </w:r>
    </w:p>
    <w:bookmarkStart w:id="24" w:name="refs"/>
    <w:bookmarkStart w:id="19" w:name="ref-kolda2009"/>
    <w:p>
      <w:pPr>
        <w:pStyle w:val="Bibliography"/>
      </w:pPr>
      <w:r>
        <w:rPr>
          <w:lang w:val="ru-RU"/>
        </w:rPr>
        <w:t xml:space="preserve">1.</w:t>
      </w:r>
      <w:r>
        <w:rPr>
          <w:lang w:val="ru-RU"/>
        </w:rPr>
        <w:t xml:space="preserve"> </w:t>
      </w:r>
      <w:r>
        <w:t xml:space="preserve">	</w:t>
      </w:r>
      <w:r>
        <w:rPr>
          <w:lang w:val="ru-RU"/>
        </w:rPr>
        <w:t xml:space="preserve">Kolda T. G., Bader B. W. Tensor Decompositions and Applications // SIAM Review. 2009. Т. 51, № 3. С. 455–500.</w:t>
      </w:r>
    </w:p>
    <w:bookmarkEnd w:id="19"/>
    <w:bookmarkStart w:id="20" w:name="ref-shikin2004"/>
    <w:p>
      <w:pPr>
        <w:pStyle w:val="Bibliography"/>
      </w:pPr>
      <w:r>
        <w:rPr>
          <w:lang w:val="ru-RU"/>
        </w:rPr>
        <w:t xml:space="preserve">2.</w:t>
      </w:r>
      <w:r>
        <w:rPr>
          <w:lang w:val="ru-RU"/>
        </w:rPr>
        <w:t xml:space="preserve"> </w:t>
      </w:r>
      <w:r>
        <w:t xml:space="preserve">	</w:t>
      </w:r>
      <w:r>
        <w:rPr>
          <w:lang w:val="ru-RU"/>
        </w:rPr>
        <w:t xml:space="preserve">Шикин Е. В., Барсук А. А. Тензорный анализ. Москва: Товарищество научных изданий КМК, 2004. 216 с.</w:t>
      </w:r>
    </w:p>
    <w:bookmarkEnd w:id="20"/>
    <w:bookmarkStart w:id="21" w:name="ref-anandkumar2014"/>
    <w:p>
      <w:pPr>
        <w:pStyle w:val="Bibliography"/>
      </w:pPr>
      <w:r>
        <w:rPr>
          <w:lang w:val="ru-RU"/>
        </w:rPr>
        <w:t xml:space="preserve">3.</w:t>
      </w:r>
      <w:r>
        <w:rPr>
          <w:lang w:val="ru-RU"/>
        </w:rPr>
        <w:t xml:space="preserve"> </w:t>
      </w:r>
      <w:r>
        <w:t xml:space="preserve">	</w:t>
      </w:r>
      <w:r>
        <w:rPr>
          <w:lang w:val="ru-RU"/>
        </w:rPr>
        <w:t xml:space="preserve">Anandkumar A. и др. Tensor Decompositions for Learning Latent Variable Models // Journal of Machine Learning Research. 2014. Т. 15. С. 2773–2832.</w:t>
      </w:r>
    </w:p>
    <w:bookmarkEnd w:id="21"/>
    <w:bookmarkStart w:id="23" w:name="ref-numpydocs"/>
    <w:p>
      <w:pPr>
        <w:pStyle w:val="Bibliography"/>
      </w:pPr>
      <w:r>
        <w:rPr>
          <w:lang w:val="ru-RU"/>
        </w:rPr>
        <w:t xml:space="preserve">4.</w:t>
      </w:r>
      <w:r>
        <w:rPr>
          <w:lang w:val="ru-RU"/>
        </w:rPr>
        <w:t xml:space="preserve"> </w:t>
      </w:r>
      <w:r>
        <w:t xml:space="preserve">	</w:t>
      </w:r>
      <w:r>
        <w:rPr>
          <w:lang w:val="ru-RU"/>
        </w:rPr>
        <w:t xml:space="preserve">NumPy Developers. NumPy documentation [Электронный ресурс]. URL:</w:t>
      </w:r>
      <w:r>
        <w:rPr>
          <w:lang w:val="ru-RU"/>
        </w:rPr>
        <w:t xml:space="preserve"> </w:t>
      </w:r>
      <w:hyperlink r:id="rId22">
        <w:r>
          <w:rPr>
            <w:rStyle w:val="Hyperlink"/>
            <w:lang w:val="ru-RU"/>
          </w:rPr>
          <w:t xml:space="preserve">https://numpy.org/doc/</w:t>
        </w:r>
      </w:hyperlink>
      <w:r>
        <w:rPr>
          <w:lang w:val="ru-RU"/>
        </w:rPr>
        <w:t xml:space="preserve"> </w:t>
      </w:r>
      <w:r>
        <w:rPr>
          <w:lang w:val="ru-RU"/>
        </w:rPr>
        <w:t xml:space="preserve">(дата обращения: 24.10.2026).</w:t>
      </w:r>
    </w:p>
    <w:bookmarkEnd w:id="23"/>
    <w:bookmarkEnd w:id="24"/>
    <w:bookmarkEnd w:id="25"/>
    <w:sectPr>
      <w:footerReference r:id="rId7" w:type="default"/>
      <w:pgSz w:h="16838" w:w="11906"/>
      <w:pgMar w:bottom="1134" w:footer="567" w:gutter="0" w:header="567" w:left="1701" w:right="850" w:top="1134"/>
      <w:cols w:num="1"/>
      <w:docGrid w:linePitch="4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w="http://schemas.openxmlformats.org/wordprocessingml/2006/main">
  <w:font w:name="Times New Roman">
    <w:panose1 w:val="02020603050405020304"/>
    <w:charset w:val="CC"/>
    <w:family w:val="roman"/>
    <w:pitch w:val="variable"/>
  </w:font>
  <w:font w:name="Courier New">
    <w:panose1 w:val="02070309020205020404"/>
    <w:charset w:val="CC"/>
    <w:family w:val="modern"/>
    <w:pitch w:val="fixed"/>
  </w:font>
</w:fonts>
</file>

<file path=word/footer1.xml><?xml version="1.0" encoding="utf-8"?>
<w:ftr xmlns:w="http://schemas.openxmlformats.org/wordprocessingml/2006/main">
  <w:p>
    <w:pPr>
      <w:pStyle w:val="Footer"/>
      <w:spacing w:before="0" w:after="0" w:line="240" w:lineRule="auto"/>
      <w:ind w:left="0" w:right="0" w:firstLine="0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—"/>
      <w:lvlJc w:val="left"/>
      <w:pPr>
        <w:ind w:hanging="354" w:left="1063"/>
      </w:pPr>
      <w:rPr>
        <w:rFonts w:ascii="Times New Roman" w:cs="Times New Roman" w:hAnsi="Times New Roman"/>
        <w:sz w:val="28"/>
        <w:szCs w:val="28"/>
      </w:rPr>
    </w:lvl>
    <w:lvl w:ilvl="1">
      <w:start w:val="1"/>
      <w:numFmt w:val="russianLower"/>
      <w:lvlText w:val="%2)"/>
      <w:lvlJc w:val="left"/>
      <w:pPr>
        <w:ind w:hanging="354" w:left="1772"/>
      </w:pPr>
      <w:rPr>
        <w:rFonts w:ascii="Times New Roman" w:cs="Times New Roman" w:hAnsi="Times New Roman"/>
        <w:sz w:val="28"/>
        <w:szCs w:val="28"/>
      </w:rPr>
    </w:lvl>
    <w:lvl w:ilvl="2">
      <w:start w:val="1"/>
      <w:numFmt w:val="decimal"/>
      <w:lvlText w:val="%3)"/>
      <w:lvlJc w:val="left"/>
      <w:pPr>
        <w:ind w:hanging="354" w:left="2481"/>
      </w:pPr>
      <w:rPr>
        <w:rFonts w:ascii="Times New Roman" w:cs="Times New Roman" w:hAnsi="Times New Roman"/>
        <w:sz w:val="28"/>
        <w:szCs w:val="28"/>
      </w:rPr>
    </w:lvl>
  </w:abstractNum>
  <w:abstractNum w:abstractNumId="2">
    <w:multiLevelType w:val="hybridMultilevel"/>
    <w:lvl w:ilvl="0">
      <w:start w:val="1"/>
      <w:numFmt w:val="decimal"/>
      <w:lvlText w:val="%1)"/>
      <w:lvlJc w:val="left"/>
      <w:pPr>
        <w:ind w:hanging="354" w:left="1063"/>
      </w:pPr>
      <w:rPr>
        <w:rFonts w:ascii="Times New Roman" w:cs="Times New Roman" w:hAnsi="Times New Roman"/>
        <w:sz w:val="28"/>
        <w:szCs w:val="28"/>
      </w:rPr>
    </w:lvl>
    <w:lvl w:ilvl="1">
      <w:start w:val="1"/>
      <w:numFmt w:val="russianLower"/>
      <w:lvlText w:val="%2)"/>
      <w:lvlJc w:val="left"/>
      <w:pPr>
        <w:ind w:hanging="354" w:left="1772"/>
      </w:pPr>
      <w:rPr>
        <w:rFonts w:ascii="Times New Roman" w:cs="Times New Roman" w:hAnsi="Times New Roman"/>
        <w:sz w:val="28"/>
        <w:szCs w:val="28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1"/>
  </w:num>
  <w:num w:numId="2">
    <w:abstractNumId w:val="2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09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doNotExpandShiftReturn/>
    <w:compatSetting w:name="compatibilityMode" w:uri="http://schemas.microsoft.com/office/word" w:val="15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mc:Ignorable="">
  <w:docDefaults>
    <w:rPrDefault>
      <w:rPr>
        <w:rFonts w:ascii="Times New Roman" w:cs="Times New Roman" w:eastAsia="Times New Roman" w:hAnsi="Times New Roman"/>
        <w:sz w:val="28"/>
        <w:szCs w:val="28"/>
        <w:lang w:bidi="ar-SA" w:eastAsia="ru-RU" w:val="ru-RU"/>
      </w:rPr>
    </w:rPrDefault>
    <w:pPrDefault>
      <w:pPr>
        <w:widowControl/>
        <w:spacing w:line="360" w:lineRule="auto"/>
        <w:jc w:val="both"/>
      </w:pPr>
    </w:pPrDefault>
  </w:docDefaults>
  <w:style w:default="1" w:styleId="Normal" w:type="paragraph">
    <w:name w:val="Normal"/>
    <w:pPr>
      <w:widowControl/>
      <w:spacing w:line="360" w:lineRule="auto"/>
      <w:ind w:firstLine="709"/>
      <w:jc w:val="both"/>
    </w:pPr>
    <w:rPr>
      <w:rFonts w:ascii="Times New Roman" w:cs="Times New Roman" w:eastAsia="Times New Roman" w:hAnsi="Times New Roman"/>
      <w:sz w:val="28"/>
      <w:szCs w:val="28"/>
    </w:rPr>
  </w:style>
  <w:style w:default="1" w:styleId="DefaultParagraphFont" w:type="character">
    <w:name w:val="Default Paragraph Font"/>
    <w:uiPriority w:val="1"/>
    <w:semiHidden/>
    <w:unhideWhenUsed/>
  </w:style>
  <w:style w:styleId="Heading1" w:type="paragraph">
    <w:name w:val="heading 1"/>
    <w:basedOn w:val="Normal"/>
    <w:next w:val="Normal"/>
    <w:uiPriority w:val="9"/>
    <w:unhideWhenUsed/>
    <w:qFormat/>
    <w:pPr>
      <w:keepNext/>
      <w:keepLines/>
      <w:pageBreakBefore/>
      <w:spacing w:after="420" w:before="840" w:line="360" w:lineRule="auto"/>
      <w:ind w:firstLine="709"/>
      <w:jc w:val="both"/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2" w:type="paragraph">
    <w:name w:val="heading 2"/>
    <w:basedOn w:val="Normal"/>
    <w:next w:val="Normal"/>
    <w:uiPriority w:val="9"/>
    <w:unhideWhenUsed/>
    <w:qFormat/>
    <w:pPr>
      <w:keepNext/>
      <w:keepLines/>
      <w:spacing w:after="420" w:before="840" w:line="360" w:lineRule="auto"/>
      <w:ind w:firstLine="709"/>
      <w:jc w:val="both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3" w:type="paragraph">
    <w:name w:val="heading 3"/>
    <w:basedOn w:val="Normal"/>
    <w:next w:val="Normal"/>
    <w:uiPriority w:val="9"/>
    <w:unhideWhenUsed/>
    <w:qFormat/>
    <w:pPr>
      <w:keepNext/>
      <w:keepLines/>
      <w:spacing w:after="420" w:before="840" w:line="360" w:lineRule="auto"/>
      <w:ind w:firstLine="709"/>
      <w:jc w:val="both"/>
      <w:outlineLvl w:val="2"/>
    </w:pPr>
    <w:rPr>
      <w:rFonts w:ascii="Times New Roman" w:cs="Times New Roman" w:eastAsia="Times New Roman" w:hAnsi="Times New Roman"/>
      <w:b/>
      <w:bCs/>
      <w:i/>
      <w:iCs/>
      <w:sz w:val="28"/>
      <w:szCs w:val="28"/>
    </w:rPr>
  </w:style>
  <w:style w:styleId="Heading4" w:type="paragraph">
    <w:name w:val="heading 4"/>
    <w:basedOn w:val="Normal"/>
    <w:next w:val="Normal"/>
    <w:uiPriority w:val="9"/>
    <w:unhideWhenUsed/>
    <w:qFormat/>
    <w:pPr>
      <w:keepNext/>
      <w:keepLines/>
      <w:spacing w:after="420" w:before="840" w:line="360" w:lineRule="auto"/>
      <w:ind w:firstLine="709"/>
      <w:jc w:val="both"/>
      <w:outlineLvl w:val="3"/>
    </w:pPr>
    <w:rPr>
      <w:rFonts w:ascii="Times New Roman" w:cs="Times New Roman" w:eastAsia="Times New Roman" w:hAnsi="Times New Roman"/>
      <w:i/>
      <w:iCs/>
      <w:sz w:val="28"/>
      <w:szCs w:val="28"/>
    </w:rPr>
  </w:style>
  <w:style w:styleId="Heading5" w:type="paragraph">
    <w:name w:val="heading 5"/>
    <w:basedOn w:val="Normal"/>
    <w:next w:val="Normal"/>
    <w:uiPriority w:val="9"/>
    <w:unhideWhenUsed/>
    <w:qFormat/>
    <w:pPr>
      <w:keepNext/>
      <w:keepLines/>
      <w:spacing w:after="420" w:before="840" w:line="360" w:lineRule="auto"/>
      <w:ind w:firstLine="709"/>
      <w:jc w:val="both"/>
      <w:outlineLvl w:val="4"/>
    </w:pPr>
    <w:rPr>
      <w:rFonts w:ascii="Times New Roman" w:cs="Times New Roman" w:eastAsia="Times New Roman" w:hAnsi="Times New Roman"/>
      <w:sz w:val="28"/>
      <w:szCs w:val="28"/>
    </w:rPr>
  </w:style>
  <w:style w:styleId="Heading6" w:type="paragraph">
    <w:name w:val="heading 6"/>
    <w:basedOn w:val="Normal"/>
    <w:next w:val="Normal"/>
    <w:uiPriority w:val="9"/>
    <w:unhideWhenUsed/>
    <w:qFormat/>
    <w:pPr>
      <w:keepNext/>
      <w:keepLines/>
      <w:spacing w:after="420" w:before="840" w:line="360" w:lineRule="auto"/>
      <w:ind w:firstLine="709"/>
      <w:jc w:val="both"/>
      <w:outlineLvl w:val="5"/>
    </w:pPr>
    <w:rPr>
      <w:rFonts w:ascii="Times New Roman" w:cs="Times New Roman" w:eastAsia="Times New Roman" w:hAnsi="Times New Roman"/>
      <w:sz w:val="28"/>
      <w:szCs w:val="28"/>
    </w:rPr>
  </w:style>
  <w:style w:styleId="Title" w:type="paragraph">
    <w:name w:val="Title"/>
    <w:basedOn w:val="Normal"/>
    <w:next w:val="Normal"/>
    <w:qFormat/>
    <w:pPr>
      <w:spacing w:after="280" w:line="360" w:lineRule="auto"/>
      <w:ind w:firstLine="0"/>
      <w:jc w:val="center"/>
    </w:pPr>
    <w:rPr>
      <w:rFonts w:ascii="Times New Roman" w:cs="Times New Roman" w:eastAsia="Times New Roman" w:hAnsi="Times New Roman"/>
      <w:b/>
      <w:bCs/>
      <w:caps/>
      <w:sz w:val="28"/>
      <w:szCs w:val="28"/>
    </w:rPr>
  </w:style>
  <w:style w:styleId="Subtitle" w:type="paragraph">
    <w:name w:val="Subtitle"/>
    <w:basedOn w:val="Normal"/>
    <w:next w:val="Normal"/>
    <w:qFormat/>
    <w:pPr>
      <w:spacing w:after="280" w:line="360" w:lineRule="auto"/>
      <w:ind w:firstLine="0"/>
      <w:jc w:val="center"/>
    </w:pPr>
    <w:rPr>
      <w:rFonts w:ascii="Times New Roman" w:cs="Times New Roman" w:eastAsia="Times New Roman" w:hAnsi="Times New Roman"/>
      <w:i/>
      <w:iCs/>
      <w:sz w:val="28"/>
      <w:szCs w:val="28"/>
    </w:rPr>
  </w:style>
  <w:style w:styleId="Author" w:type="paragraph">
    <w:name w:val="Author"/>
    <w:basedOn w:val="Normal"/>
    <w:next w:val="Normal"/>
    <w:qFormat/>
    <w:pPr>
      <w:spacing w:after="140" w:line="360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styleId="Date" w:type="paragraph">
    <w:name w:val="Date"/>
    <w:basedOn w:val="Normal"/>
    <w:next w:val="Normal"/>
    <w:pPr>
      <w:spacing w:after="140" w:line="360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styleId="Abstract" w:type="paragraph">
    <w:name w:val="Abstract"/>
    <w:basedOn w:val="Normal"/>
    <w:next w:val="Normal"/>
    <w:pPr>
      <w:spacing w:line="360" w:lineRule="auto"/>
      <w:ind w:firstLine="709"/>
      <w:jc w:val="both"/>
    </w:pPr>
    <w:rPr>
      <w:rFonts w:ascii="Times New Roman" w:cs="Times New Roman" w:eastAsia="Times New Roman" w:hAnsi="Times New Roman"/>
      <w:sz w:val="28"/>
      <w:szCs w:val="28"/>
    </w:rPr>
  </w:style>
  <w:style w:styleId="AbstractTitle" w:type="paragraph">
    <w:name w:val="AbstractTitle"/>
    <w:basedOn w:val="Normal"/>
    <w:next w:val="Abstract"/>
    <w:pPr>
      <w:spacing w:after="420" w:line="360" w:lineRule="auto"/>
      <w:ind w:firstLine="0"/>
      <w:jc w:val="center"/>
    </w:pPr>
    <w:rPr>
      <w:rFonts w:ascii="Times New Roman" w:cs="Times New Roman" w:eastAsia="Times New Roman" w:hAnsi="Times New Roman"/>
      <w:b/>
      <w:bCs/>
      <w:caps/>
      <w:sz w:val="28"/>
      <w:szCs w:val="28"/>
    </w:rPr>
  </w:style>
  <w:style w:styleId="FirstParagraph" w:type="paragraph">
    <w:name w:val="First Paragraph"/>
    <w:basedOn w:val="Normal"/>
    <w:next w:val="Normal"/>
    <w:pPr>
      <w:spacing w:line="360" w:lineRule="auto"/>
      <w:ind w:firstLine="709"/>
      <w:jc w:val="both"/>
    </w:pPr>
    <w:rPr>
      <w:rFonts w:ascii="Times New Roman" w:cs="Times New Roman" w:eastAsia="Times New Roman" w:hAnsi="Times New Roman"/>
      <w:sz w:val="28"/>
      <w:szCs w:val="28"/>
    </w:rPr>
  </w:style>
  <w:style w:styleId="BodyText" w:type="paragraph">
    <w:name w:val="Body Text"/>
    <w:basedOn w:val="Normal"/>
    <w:next w:val="Normal"/>
    <w:pPr>
      <w:spacing w:line="360" w:lineRule="auto"/>
      <w:ind w:firstLine="709"/>
      <w:jc w:val="both"/>
    </w:pPr>
    <w:rPr>
      <w:rFonts w:ascii="Times New Roman" w:cs="Times New Roman" w:eastAsia="Times New Roman" w:hAnsi="Times New Roman"/>
      <w:sz w:val="28"/>
      <w:szCs w:val="28"/>
    </w:rPr>
  </w:style>
  <w:style w:styleId="Compact" w:type="paragraph">
    <w:name w:val="Compact"/>
    <w:basedOn w:val="Normal"/>
    <w:next w:val="Compact"/>
    <w:pPr>
      <w:spacing w:line="360" w:lineRule="auto"/>
      <w:ind w:firstLine="0"/>
      <w:jc w:val="both"/>
    </w:pPr>
    <w:rPr>
      <w:rFonts w:ascii="Times New Roman" w:cs="Times New Roman" w:eastAsia="Times New Roman" w:hAnsi="Times New Roman"/>
      <w:sz w:val="28"/>
      <w:szCs w:val="28"/>
    </w:rPr>
  </w:style>
  <w:style w:styleId="ListParagraph" w:type="paragraph">
    <w:name w:val="List Paragraph"/>
    <w:basedOn w:val="Normal"/>
    <w:next w:val="ListParagraph"/>
    <w:uiPriority w:val="34"/>
    <w:qFormat/>
    <w:pPr>
      <w:spacing w:line="360" w:lineRule="auto"/>
      <w:ind w:firstLine="0" w:left="709"/>
      <w:jc w:val="both"/>
    </w:pPr>
    <w:rPr>
      <w:rFonts w:ascii="Times New Roman" w:cs="Times New Roman" w:eastAsia="Times New Roman" w:hAnsi="Times New Roman"/>
      <w:sz w:val="28"/>
      <w:szCs w:val="28"/>
    </w:rPr>
  </w:style>
  <w:style w:styleId="BlockText" w:type="paragraph">
    <w:name w:val="Block Text"/>
    <w:basedOn w:val="Normal"/>
    <w:next w:val="Normal"/>
    <w:pPr>
      <w:spacing w:line="360" w:lineRule="auto"/>
      <w:ind w:firstLine="0" w:left="709" w:right="709"/>
      <w:jc w:val="both"/>
    </w:pPr>
    <w:rPr>
      <w:rFonts w:ascii="Times New Roman" w:cs="Times New Roman" w:eastAsia="Times New Roman" w:hAnsi="Times New Roman"/>
      <w:sz w:val="28"/>
      <w:szCs w:val="28"/>
    </w:rPr>
  </w:style>
  <w:style w:styleId="SourceCode" w:type="paragraph">
    <w:name w:val="Source Code"/>
    <w:basedOn w:val="Normal"/>
    <w:next w:val="SourceCode"/>
    <w:pPr>
      <w:spacing w:line="240" w:lineRule="auto"/>
      <w:ind w:firstLine="0"/>
      <w:jc w:val="left"/>
    </w:pPr>
    <w:rPr>
      <w:rFonts w:ascii="Courier New" w:cs="Courier New" w:eastAsia="Courier New" w:hAnsi="Courier New"/>
      <w:sz w:val="24"/>
      <w:szCs w:val="24"/>
    </w:rPr>
  </w:style>
  <w:style w:styleId="VerbatimChar" w:type="character">
    <w:name w:val="Verbatim Char"/>
    <w:basedOn w:val="DefaultParagraphFont"/>
    <w:rPr>
      <w:rFonts w:ascii="Courier New" w:cs="Courier New" w:eastAsia="Courier New" w:hAnsi="Courier New"/>
      <w:sz w:val="24"/>
      <w:szCs w:val="24"/>
    </w:rPr>
  </w:style>
  <w:style w:styleId="CaptionedFigure" w:type="paragraph">
    <w:name w:val="CaptionedFigure"/>
    <w:basedOn w:val="Normal"/>
    <w:next w:val="Normal"/>
    <w:pPr>
      <w:keepNext/>
      <w:keepLines/>
      <w:spacing w:before="120" w:line="360" w:lineRule="auto"/>
      <w:ind w:firstLine="0" w:left="0"/>
      <w:jc w:val="center"/>
    </w:pPr>
    <w:rPr>
      <w:rFonts w:ascii="Times New Roman" w:cs="Times New Roman" w:eastAsia="Times New Roman" w:hAnsi="Times New Roman"/>
      <w:sz w:val="28"/>
      <w:szCs w:val="28"/>
    </w:rPr>
  </w:style>
  <w:style w:styleId="FigureParagraph" w:type="paragraph">
    <w:name w:val="FigureParagraph"/>
    <w:basedOn w:val="Normal"/>
    <w:next w:val="Normal"/>
    <w:pPr>
      <w:keepNext/>
      <w:keepLines/>
      <w:spacing w:after="120" w:before="120" w:line="360" w:lineRule="auto"/>
      <w:ind w:firstLine="0" w:left="0"/>
      <w:jc w:val="center"/>
    </w:pPr>
    <w:rPr>
      <w:rFonts w:ascii="Times New Roman" w:cs="Times New Roman" w:eastAsia="Times New Roman" w:hAnsi="Times New Roman"/>
      <w:sz w:val="28"/>
      <w:szCs w:val="28"/>
    </w:rPr>
  </w:style>
  <w:style w:styleId="Caption" w:type="paragraph">
    <w:name w:val="Caption"/>
    <w:basedOn w:val="Normal"/>
    <w:next w:val="Normal"/>
    <w:qFormat/>
    <w:pPr>
      <w:spacing w:after="120" w:before="120" w:line="360" w:lineRule="auto"/>
      <w:ind w:firstLine="0" w:left="0"/>
      <w:jc w:val="center"/>
    </w:pPr>
    <w:rPr>
      <w:rFonts w:ascii="Times New Roman" w:cs="Times New Roman" w:eastAsia="Times New Roman" w:hAnsi="Times New Roman"/>
      <w:sz w:val="28"/>
      <w:szCs w:val="28"/>
    </w:rPr>
  </w:style>
  <w:style w:styleId="ImageCaption" w:type="paragraph">
    <w:name w:val="Image Caption"/>
    <w:basedOn w:val="Caption"/>
    <w:next w:val="Normal"/>
    <w:pPr>
      <w:spacing w:after="120" w:before="120" w:line="360" w:lineRule="auto"/>
      <w:ind w:firstLine="0" w:left="0"/>
      <w:jc w:val="center"/>
    </w:pPr>
    <w:rPr>
      <w:rFonts w:ascii="Times New Roman" w:cs="Times New Roman" w:eastAsia="Times New Roman" w:hAnsi="Times New Roman"/>
      <w:sz w:val="28"/>
      <w:szCs w:val="28"/>
    </w:rPr>
  </w:style>
  <w:style w:styleId="TableCaption" w:type="paragraph">
    <w:name w:val="Table Caption"/>
    <w:basedOn w:val="Normal"/>
    <w:next w:val="Normal"/>
    <w:qFormat/>
    <w:pPr>
      <w:keepNext/>
      <w:keepLines/>
      <w:spacing w:after="120" w:before="120" w:line="360" w:lineRule="auto"/>
      <w:ind w:firstLine="0"/>
      <w:jc w:val="left"/>
    </w:pPr>
    <w:rPr>
      <w:rFonts w:ascii="Times New Roman" w:cs="Times New Roman" w:eastAsia="Times New Roman" w:hAnsi="Times New Roman"/>
      <w:sz w:val="28"/>
      <w:szCs w:val="28"/>
    </w:rPr>
  </w:style>
  <w:style w:styleId="Table" w:type="table">
    <w:name w:val="Table"/>
    <w:uiPriority w:val="99"/>
    <w:unhideWhenUsed/>
    <w:tblPr>
      <w:tblInd w:type="dxa" w:w="0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type="dxa" w:w="20"/>
        <w:left w:type="dxa" w:w="108"/>
        <w:bottom w:type="dxa" w:w="20"/>
        <w:right w:type="dxa" w:w="108"/>
      </w:tblCellMar>
    </w:tblPr>
  </w:style>
  <w:style w:styleId="TableParagraph" w:type="paragraph">
    <w:name w:val="Table Paragraph"/>
    <w:basedOn w:val="Normal"/>
    <w:next w:val="TableParagraph"/>
    <w:pPr>
      <w:spacing w:line="240" w:lineRule="auto"/>
      <w:ind w:firstLine="0"/>
      <w:jc w:val="both"/>
    </w:pPr>
    <w:rPr>
      <w:rFonts w:ascii="Times New Roman" w:cs="Times New Roman" w:eastAsia="Times New Roman" w:hAnsi="Times New Roman"/>
      <w:sz w:val="28"/>
      <w:szCs w:val="28"/>
    </w:rPr>
  </w:style>
  <w:style w:styleId="Equation" w:type="paragraph">
    <w:name w:val="Equation"/>
    <w:basedOn w:val="Normal"/>
    <w:next w:val="Normal"/>
    <w:pPr>
      <w:keepLines/>
      <w:tabs>
        <w:tab w:pos="4677" w:val="center"/>
        <w:tab w:pos="9355" w:val="right"/>
      </w:tabs>
      <w:spacing w:after="420" w:before="420" w:line="360" w:lineRule="auto"/>
      <w:ind w:firstLine="0" w:left="0" w:right="0"/>
      <w:jc w:val="left"/>
    </w:pPr>
    <w:rPr>
      <w:rFonts w:ascii="Times New Roman" w:cs="Times New Roman" w:eastAsia="Times New Roman" w:hAnsi="Times New Roman"/>
      <w:sz w:val="28"/>
      <w:szCs w:val="28"/>
    </w:rPr>
  </w:style>
  <w:style w:styleId="FootnoteText" w:type="paragraph">
    <w:name w:val="footnote text"/>
    <w:basedOn w:val="Normal"/>
    <w:semiHidden/>
    <w:unhideWhenUsed/>
    <w:pPr>
      <w:spacing w:line="240" w:lineRule="auto"/>
      <w:ind w:firstLine="709"/>
      <w:jc w:val="both"/>
    </w:pPr>
    <w:rPr>
      <w:rFonts w:ascii="Times New Roman" w:cs="Times New Roman" w:eastAsia="Times New Roman" w:hAnsi="Times New Roman"/>
      <w:sz w:val="24"/>
      <w:szCs w:val="24"/>
    </w:rPr>
  </w:style>
  <w:style w:styleId="FootnoteTextChar" w:type="character">
    <w:name w:val="Footnote Text Char"/>
    <w:basedOn w:val="DefaultParagraphFont"/>
    <w:semiHidden/>
    <w:rPr>
      <w:rFonts w:ascii="Times New Roman" w:cs="Times New Roman" w:eastAsia="Times New Roman" w:hAnsi="Times New Roman"/>
      <w:sz w:val="24"/>
      <w:szCs w:val="24"/>
    </w:rPr>
  </w:style>
  <w:style w:styleId="FootnoteReference" w:type="character">
    <w:name w:val="footnote reference"/>
    <w:basedOn w:val="DefaultParagraphFont"/>
    <w:semiHidden/>
    <w:unhideWhenUsed/>
    <w:rPr>
      <w:vertAlign w:val="superscript"/>
    </w:rPr>
  </w:style>
  <w:style w:styleId="Bibliography" w:type="paragraph">
    <w:name w:val="Bibliography"/>
    <w:basedOn w:val="Normal"/>
    <w:next w:val="Bibliography"/>
    <w:qFormat/>
    <w:pPr>
      <w:spacing w:line="360" w:lineRule="auto"/>
      <w:ind w:firstLine="-709" w:left="709"/>
      <w:jc w:val="both"/>
    </w:pPr>
    <w:rPr>
      <w:rFonts w:ascii="Times New Roman" w:cs="Times New Roman" w:eastAsia="Times New Roman" w:hAnsi="Times New Roman"/>
      <w:sz w:val="28"/>
      <w:szCs w:val="28"/>
    </w:rPr>
  </w:style>
  <w:style w:styleId="DefinitionTerm" w:type="paragraph">
    <w:name w:val="Definition Term"/>
    <w:basedOn w:val="Normal"/>
    <w:next w:val="Definition"/>
    <w:pPr>
      <w:spacing w:line="360" w:lineRule="auto"/>
      <w:ind w:firstLine="709"/>
      <w:jc w:val="both"/>
    </w:pPr>
    <w:rPr>
      <w:rFonts w:ascii="Times New Roman" w:cs="Times New Roman" w:eastAsia="Times New Roman" w:hAnsi="Times New Roman"/>
      <w:b/>
      <w:bCs/>
      <w:sz w:val="28"/>
      <w:szCs w:val="28"/>
    </w:rPr>
  </w:style>
  <w:style w:styleId="Definition" w:type="paragraph">
    <w:name w:val="Definition"/>
    <w:basedOn w:val="Normal"/>
    <w:next w:val="Normal"/>
    <w:pPr>
      <w:spacing w:line="360" w:lineRule="auto"/>
      <w:ind w:firstLine="0" w:left="709"/>
      <w:jc w:val="both"/>
    </w:pPr>
    <w:rPr>
      <w:rFonts w:ascii="Times New Roman" w:cs="Times New Roman" w:eastAsia="Times New Roman" w:hAnsi="Times New Roman"/>
      <w:sz w:val="28"/>
      <w:szCs w:val="28"/>
    </w:rPr>
  </w:style>
  <w:style w:styleId="TOCHeading" w:type="paragraph">
    <w:name w:val="TOC Heading"/>
    <w:basedOn w:val="Normal"/>
    <w:next w:val="Normal"/>
    <w:uiPriority w:val="39"/>
    <w:unhideWhenUsed/>
    <w:qFormat/>
    <w:pPr>
      <w:keepNext/>
      <w:keepLines/>
      <w:spacing w:after="420" w:line="360" w:lineRule="auto"/>
      <w:ind w:firstLine="0" w:left="0"/>
      <w:jc w:val="center"/>
      <w:outlineLvl w:val="9"/>
    </w:pPr>
    <w:rPr>
      <w:rFonts w:ascii="Times New Roman" w:cs="Times New Roman" w:eastAsia="Times New Roman" w:hAnsi="Times New Roman"/>
      <w:b/>
      <w:bCs/>
      <w:caps/>
      <w:sz w:val="28"/>
      <w:szCs w:val="28"/>
    </w:rPr>
  </w:style>
  <w:style w:styleId="TOC1" w:type="paragraph">
    <w:name w:val="toc 1"/>
    <w:basedOn w:val="Normal"/>
    <w:next w:val="Normal"/>
    <w:uiPriority w:val="39"/>
    <w:unhideWhenUsed/>
    <w:pPr>
      <w:spacing w:after="0" w:before="0" w:line="360" w:lineRule="auto"/>
      <w:ind w:firstLine="0" w:left="0"/>
      <w:jc w:val="both"/>
      <w:tabs>
        <w:tab w:leader="dot" w:pos="9355" w:val="right"/>
      </w:tabs>
    </w:pPr>
    <w:rPr>
      <w:rFonts w:ascii="Times New Roman" w:cs="Times New Roman" w:hAnsi="Times New Roman"/>
      <w:sz w:val="28"/>
      <w:szCs w:val="28"/>
      <w:color w:val="000000"/>
    </w:rPr>
  </w:style>
  <w:style w:styleId="TOC2" w:type="paragraph">
    <w:name w:val="toc 2"/>
    <w:basedOn w:val="Normal"/>
    <w:next w:val="Normal"/>
    <w:uiPriority w:val="39"/>
    <w:unhideWhenUsed/>
    <w:pPr>
      <w:spacing w:after="0" w:before="0" w:line="360" w:lineRule="auto"/>
      <w:ind w:firstLine="0" w:left="709"/>
      <w:jc w:val="both"/>
      <w:tabs>
        <w:tab w:leader="dot" w:pos="9355" w:val="right"/>
      </w:tabs>
    </w:pPr>
    <w:rPr>
      <w:rFonts w:ascii="Times New Roman" w:cs="Times New Roman" w:hAnsi="Times New Roman"/>
      <w:sz w:val="28"/>
      <w:szCs w:val="28"/>
      <w:color w:val="000000"/>
    </w:rPr>
  </w:style>
  <w:style w:styleId="TOC3" w:type="paragraph">
    <w:name w:val="toc 3"/>
    <w:basedOn w:val="Normal"/>
    <w:next w:val="Normal"/>
    <w:uiPriority w:val="39"/>
    <w:unhideWhenUsed/>
    <w:pPr>
      <w:spacing w:after="0" w:before="0" w:line="360" w:lineRule="auto"/>
      <w:ind w:firstLine="0" w:left="1418"/>
      <w:jc w:val="both"/>
      <w:tabs>
        <w:tab w:leader="dot" w:pos="9355" w:val="right"/>
      </w:tabs>
    </w:pPr>
    <w:rPr>
      <w:rFonts w:ascii="Times New Roman" w:cs="Times New Roman" w:hAnsi="Times New Roman"/>
      <w:sz w:val="28"/>
      <w:szCs w:val="28"/>
      <w:color w:val="000000"/>
    </w:rPr>
  </w:style>
  <w:style w:styleId="Hyperlink" w:type="character">
    <w:name w:val="Hyperlink"/>
    <w:basedOn w:val="DefaultParagraphFont"/>
    <w:uiPriority w:val="99"/>
    <w:unhideWhenUsed/>
    <w:rPr>
      <w:color w:val="000000"/>
      <w:u w:val="single"/>
    </w:rPr>
  </w:style>
  <w:style w:styleId="Header" w:type="paragraph">
    <w:name w:val="header"/>
    <w:basedOn w:val="Normal"/>
    <w:semiHidden/>
    <w:unhideWhenUsed/>
    <w:pPr>
      <w:spacing w:line="240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styleId="Footer" w:type="paragraph">
    <w:name w:val="footer"/>
    <w:basedOn w:val="Normal"/>
    <w:semiHidden/>
    <w:unhideWhenUsed/>
    <w:pPr>
      <w:spacing w:line="240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5" Target="numbering.xml" /><Relationship Type="http://schemas.openxmlformats.org/officeDocument/2006/relationships/styles" Id="rId14" Target="styles.xml" /><Relationship Type="http://schemas.openxmlformats.org/officeDocument/2006/relationships/settings" Id="rId13" Target="settings.xml" /><Relationship Type="http://schemas.openxmlformats.org/officeDocument/2006/relationships/webSettings" Id="rId12" Target="webSettings.xml" /><Relationship Type="http://schemas.openxmlformats.org/officeDocument/2006/relationships/fontTable" Id="rId11" Target="fontTable.xml" /><Relationship Type="http://schemas.openxmlformats.org/officeDocument/2006/relationships/theme" Id="rId10" Target="theme/theme1.xml" /><Relationship Type="http://schemas.openxmlformats.org/officeDocument/2006/relationships/footnotes" Id="rId9" Target="footnotes.xml" /><Relationship Type="http://schemas.openxmlformats.org/officeDocument/2006/relationships/comments" Id="rId8" Target="comments.xml" /><Relationship Id="rId7" Target="footer1.xml" Type="http://schemas.openxmlformats.org/officeDocument/2006/relationships/footer" /><Relationship Type="http://schemas.openxmlformats.org/officeDocument/2006/relationships/hyperlink" Id="rId22" Target="https://numpy.org/doc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s://numpy.org/doc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>
  <Application>mdToDocx GOST Template 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ru-RU</dc:language>
  <cp:keywords/>
  <dcterms:created xsi:type="dcterms:W3CDTF">2026-10-09T13:11:39Z</dcterms:created>
  <dcterms:modified xsi:type="dcterms:W3CDTF">2026-10-09T13:11:39Z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ibliography">
    <vt:lpwstr/>
  </property>
  <property fmtid="{D5CDD505-2E9C-101B-9397-08002B2CF9AE}" pid="5" name="ccsDelim">
    <vt:lpwstr>, </vt:lpwstr>
  </property>
  <property fmtid="{D5CDD505-2E9C-101B-9397-08002B2CF9AE}" pid="6" name="ccsLabelSep">
    <vt:lpwstr> — </vt:lpwstr>
  </property>
  <property fmtid="{D5CDD505-2E9C-101B-9397-08002B2CF9AE}" pid="7" name="ccsTemplate">
    <vt:lpwstr>iccsLabelSept</vt:lpwstr>
  </property>
  <property fmtid="{D5CDD505-2E9C-101B-9397-08002B2CF9AE}" pid="8" name="chapDelim">
    <vt:lpwstr>.</vt:lpwstr>
  </property>
  <property fmtid="{D5CDD505-2E9C-101B-9397-08002B2CF9AE}" pid="9" name="chapters">
    <vt:lpwstr>True</vt:lpwstr>
  </property>
  <property fmtid="{D5CDD505-2E9C-101B-9397-08002B2CF9AE}" pid="10" name="chaptersDepth">
    <vt:lpwstr>1</vt:lpwstr>
  </property>
  <property fmtid="{D5CDD505-2E9C-101B-9397-08002B2CF9AE}" pid="11" name="codeBlockCaptions">
    <vt:lpwstr>False</vt:lpwstr>
  </property>
  <property fmtid="{D5CDD505-2E9C-101B-9397-08002B2CF9AE}" pid="12" name="cref">
    <vt:lpwstr>False</vt:lpwstr>
  </property>
  <property fmtid="{D5CDD505-2E9C-101B-9397-08002B2CF9AE}" pid="13" name="crossrefYaml">
    <vt:lpwstr>pandoc-crossref.yaml</vt:lpwstr>
  </property>
  <property fmtid="{D5CDD505-2E9C-101B-9397-08002B2CF9AE}" pid="14" name="csl">
    <vt:lpwstr>C:\Users\user\Desktop\md2docx\resources\csl\gost-r-7-0-5-2008-numeric.csl</vt:lpwstr>
  </property>
  <property fmtid="{D5CDD505-2E9C-101B-9397-08002B2CF9AE}" pid="15" name="eqLabels">
    <vt:lpwstr>arabic</vt:lpwstr>
  </property>
  <property fmtid="{D5CDD505-2E9C-101B-9397-08002B2CF9AE}" pid="16" name="eqnBlockInlineMath">
    <vt:lpwstr>True</vt:lpwstr>
  </property>
  <property fmtid="{D5CDD505-2E9C-101B-9397-08002B2CF9AE}" pid="17" name="eqnBlockTemplate">
    <vt:lpwstr>tnmi</vt:lpwstr>
  </property>
  <property fmtid="{D5CDD505-2E9C-101B-9397-08002B2CF9AE}" pid="18" name="eqnDisplayTemplate">
    <vt:lpwstr>e</vt:lpwstr>
  </property>
  <property fmtid="{D5CDD505-2E9C-101B-9397-08002B2CF9AE}" pid="19" name="eqnIndexTemplate">
    <vt:lpwstr>(i)</vt:lpwstr>
  </property>
  <property fmtid="{D5CDD505-2E9C-101B-9397-08002B2CF9AE}" pid="20" name="eqnInlineTableTemplate">
    <vt:lpwstr>\displaystyle e</vt:lpwstr>
  </property>
  <property fmtid="{D5CDD505-2E9C-101B-9397-08002B2CF9AE}" pid="21" name="eqnInlineTemplate">
    <vt:lpwstr>eequationNumberTeX{i}</vt:lpwstr>
  </property>
  <property fmtid="{D5CDD505-2E9C-101B-9397-08002B2CF9AE}" pid="22" name="eqnPrefix">
    <vt:lpwstr>форм.</vt:lpwstr>
  </property>
  <property fmtid="{D5CDD505-2E9C-101B-9397-08002B2CF9AE}" pid="23" name="eqnPrefixTemplate">
    <vt:lpwstr>p i</vt:lpwstr>
  </property>
  <property fmtid="{D5CDD505-2E9C-101B-9397-08002B2CF9AE}" pid="24" name="equationNumberTeX">
    <vt:lpwstr>\qquad</vt:lpwstr>
  </property>
  <property fmtid="{D5CDD505-2E9C-101B-9397-08002B2CF9AE}" pid="25" name="figLabels">
    <vt:lpwstr>arabic</vt:lpwstr>
  </property>
  <property fmtid="{D5CDD505-2E9C-101B-9397-08002B2CF9AE}" pid="26" name="figPrefix">
    <vt:lpwstr>рис.</vt:lpwstr>
  </property>
  <property fmtid="{D5CDD505-2E9C-101B-9397-08002B2CF9AE}" pid="27" name="figPrefixTemplate">
    <vt:lpwstr>p i</vt:lpwstr>
  </property>
  <property fmtid="{D5CDD505-2E9C-101B-9397-08002B2CF9AE}" pid="28" name="figureTemplate">
    <vt:lpwstr>figureTitle i — t</vt:lpwstr>
  </property>
  <property fmtid="{D5CDD505-2E9C-101B-9397-08002B2CF9AE}" pid="29" name="figureTitle">
    <vt:lpwstr>Рисунок</vt:lpwstr>
  </property>
  <property fmtid="{D5CDD505-2E9C-101B-9397-08002B2CF9AE}" pid="30" name="lastDelim">
    <vt:lpwstr>, </vt:lpwstr>
  </property>
  <property fmtid="{D5CDD505-2E9C-101B-9397-08002B2CF9AE}" pid="31" name="linkReferences">
    <vt:lpwstr>False</vt:lpwstr>
  </property>
  <property fmtid="{D5CDD505-2E9C-101B-9397-08002B2CF9AE}" pid="32" name="listItemTitleDelim">
    <vt:lpwstr>.</vt:lpwstr>
  </property>
  <property fmtid="{D5CDD505-2E9C-101B-9397-08002B2CF9AE}" pid="33" name="listOfMetadata">
    <vt:lpwstr>False</vt:lpwstr>
  </property>
  <property fmtid="{D5CDD505-2E9C-101B-9397-08002B2CF9AE}" pid="34" name="listingTemplate">
    <vt:lpwstr>listingTitle ititleDelim t</vt:lpwstr>
  </property>
  <property fmtid="{D5CDD505-2E9C-101B-9397-08002B2CF9AE}" pid="35" name="listingTitle">
    <vt:lpwstr>Листинг</vt:lpwstr>
  </property>
  <property fmtid="{D5CDD505-2E9C-101B-9397-08002B2CF9AE}" pid="36" name="listings">
    <vt:lpwstr>False</vt:lpwstr>
  </property>
  <property fmtid="{D5CDD505-2E9C-101B-9397-08002B2CF9AE}" pid="37" name="lofItemTemplate">
    <vt:lpwstr>lofItemTitleilistItemTitleDelimt </vt:lpwstr>
  </property>
  <property fmtid="{D5CDD505-2E9C-101B-9397-08002B2CF9AE}" pid="38" name="lofItemTitle">
    <vt:lpwstr/>
  </property>
  <property fmtid="{D5CDD505-2E9C-101B-9397-08002B2CF9AE}" pid="39" name="lofTitle">
    <vt:lpwstr>List of Figures</vt:lpwstr>
  </property>
  <property fmtid="{D5CDD505-2E9C-101B-9397-08002B2CF9AE}" pid="40" name="lolItemTemplate">
    <vt:lpwstr>lolItemTitleilistItemTitleDelimt </vt:lpwstr>
  </property>
  <property fmtid="{D5CDD505-2E9C-101B-9397-08002B2CF9AE}" pid="41" name="lolItemTitle">
    <vt:lpwstr/>
  </property>
  <property fmtid="{D5CDD505-2E9C-101B-9397-08002B2CF9AE}" pid="42" name="lolTitle">
    <vt:lpwstr>List of Listings</vt:lpwstr>
  </property>
  <property fmtid="{D5CDD505-2E9C-101B-9397-08002B2CF9AE}" pid="43" name="lotItemTemplate">
    <vt:lpwstr>lotItemTitleilistItemTitleDelimt </vt:lpwstr>
  </property>
  <property fmtid="{D5CDD505-2E9C-101B-9397-08002B2CF9AE}" pid="44" name="lotItemTitle">
    <vt:lpwstr/>
  </property>
  <property fmtid="{D5CDD505-2E9C-101B-9397-08002B2CF9AE}" pid="45" name="lotTitle">
    <vt:lpwstr>List of Tables</vt:lpwstr>
  </property>
  <property fmtid="{D5CDD505-2E9C-101B-9397-08002B2CF9AE}" pid="46" name="lstLabels">
    <vt:lpwstr>arabic</vt:lpwstr>
  </property>
  <property fmtid="{D5CDD505-2E9C-101B-9397-08002B2CF9AE}" pid="47" name="lstPrefix">
    <vt:lpwstr>листинг</vt:lpwstr>
  </property>
  <property fmtid="{D5CDD505-2E9C-101B-9397-08002B2CF9AE}" pid="48" name="lstPrefixTemplate">
    <vt:lpwstr>p i</vt:lpwstr>
  </property>
  <property fmtid="{D5CDD505-2E9C-101B-9397-08002B2CF9AE}" pid="49" name="nameInLink">
    <vt:lpwstr>False</vt:lpwstr>
  </property>
  <property fmtid="{D5CDD505-2E9C-101B-9397-08002B2CF9AE}" pid="50" name="numberSections">
    <vt:lpwstr>False</vt:lpwstr>
  </property>
  <property fmtid="{D5CDD505-2E9C-101B-9397-08002B2CF9AE}" pid="51" name="pairDelim">
    <vt:lpwstr>, </vt:lpwstr>
  </property>
  <property fmtid="{D5CDD505-2E9C-101B-9397-08002B2CF9AE}" pid="52" name="rangeDelim">
    <vt:lpwstr>-</vt:lpwstr>
  </property>
  <property fmtid="{D5CDD505-2E9C-101B-9397-08002B2CF9AE}" pid="53" name="refDelim">
    <vt:lpwstr>, </vt:lpwstr>
  </property>
  <property fmtid="{D5CDD505-2E9C-101B-9397-08002B2CF9AE}" pid="54" name="refIndexTemplate">
    <vt:lpwstr>isuf</vt:lpwstr>
  </property>
  <property fmtid="{D5CDD505-2E9C-101B-9397-08002B2CF9AE}" pid="55" name="secHeaderDelim">
    <vt:lpwstr> </vt:lpwstr>
  </property>
  <property fmtid="{D5CDD505-2E9C-101B-9397-08002B2CF9AE}" pid="56" name="secHeaderTemplate">
    <vt:lpwstr>isecHeaderDelim[n]t</vt:lpwstr>
  </property>
  <property fmtid="{D5CDD505-2E9C-101B-9397-08002B2CF9AE}" pid="57" name="secLabels">
    <vt:lpwstr>arabic</vt:lpwstr>
  </property>
  <property fmtid="{D5CDD505-2E9C-101B-9397-08002B2CF9AE}" pid="58" name="secPrefix">
    <vt:lpwstr>раздел</vt:lpwstr>
  </property>
  <property fmtid="{D5CDD505-2E9C-101B-9397-08002B2CF9AE}" pid="59" name="secPrefixTemplate">
    <vt:lpwstr>p i</vt:lpwstr>
  </property>
  <property fmtid="{D5CDD505-2E9C-101B-9397-08002B2CF9AE}" pid="60" name="sectionsDepth">
    <vt:lpwstr>0</vt:lpwstr>
  </property>
  <property fmtid="{D5CDD505-2E9C-101B-9397-08002B2CF9AE}" pid="61" name="subfigGrid">
    <vt:lpwstr>False</vt:lpwstr>
  </property>
  <property fmtid="{D5CDD505-2E9C-101B-9397-08002B2CF9AE}" pid="62" name="subfigLabels">
    <vt:lpwstr>alpha a</vt:lpwstr>
  </property>
  <property fmtid="{D5CDD505-2E9C-101B-9397-08002B2CF9AE}" pid="63" name="subfigureChildTemplate">
    <vt:lpwstr>i</vt:lpwstr>
  </property>
  <property fmtid="{D5CDD505-2E9C-101B-9397-08002B2CF9AE}" pid="64" name="subfigureRefIndexTemplate">
    <vt:lpwstr>isuf (s)</vt:lpwstr>
  </property>
  <property fmtid="{D5CDD505-2E9C-101B-9397-08002B2CF9AE}" pid="65" name="subfigureTemplate">
    <vt:lpwstr>figureTitle ititleDelim t. ccs</vt:lpwstr>
  </property>
  <property fmtid="{D5CDD505-2E9C-101B-9397-08002B2CF9AE}" pid="66" name="tableEqns">
    <vt:lpwstr>True</vt:lpwstr>
  </property>
  <property fmtid="{D5CDD505-2E9C-101B-9397-08002B2CF9AE}" pid="67" name="tableTemplate">
    <vt:lpwstr>tableTitle i — t</vt:lpwstr>
  </property>
  <property fmtid="{D5CDD505-2E9C-101B-9397-08002B2CF9AE}" pid="68" name="tableTitle">
    <vt:lpwstr>Таблица</vt:lpwstr>
  </property>
  <property fmtid="{D5CDD505-2E9C-101B-9397-08002B2CF9AE}" pid="69" name="tblLabels">
    <vt:lpwstr>arabic</vt:lpwstr>
  </property>
  <property fmtid="{D5CDD505-2E9C-101B-9397-08002B2CF9AE}" pid="70" name="tblPrefix">
    <vt:lpwstr>табл.</vt:lpwstr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-title">
    <vt:lpwstr>Содержание</vt:lpwstr>
  </property>
</Properties>
</file>