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rFonts w:ascii="Times New Roman" w:hAnsi="Times New Roman"/>
          <w:b/>
          <w:color w:val="000000"/>
          <w:sz w:val="32"/>
        </w:rPr>
        <w:t>Declaration of competing interest</w:t>
      </w:r>
    </w:p>
    <w:p>
      <w:r>
        <w:rPr>
          <w:rFonts w:ascii="Times New Roman" w:hAnsi="Times New Roman"/>
          <w:b w:val="0"/>
          <w:color w:val="000000"/>
          <w:sz w:val="22"/>
        </w:rPr>
        <w:t>Sequential reference preservation for label-efficient set-valued prediction</w:t>
      </w:r>
    </w:p>
    <w:p>
      <w:r>
        <w:rPr>
          <w:rFonts w:ascii="Times New Roman" w:hAnsi="Times New Roman"/>
          <w:b w:val="0"/>
          <w:color w:val="000000"/>
          <w:sz w:val="22"/>
        </w:rPr>
        <w:t>Xin Feng and Decong Yang</w:t>
      </w:r>
    </w:p>
    <w:p>
      <w:r>
        <w:rPr>
          <w:rFonts w:ascii="Times New Roman" w:hAnsi="Times New Roman"/>
          <w:b w:val="0"/>
          <w:color w:val="000000"/>
          <w:sz w:val="22"/>
        </w:rPr>
        <w:t>The authors declare that they have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competing interest</dc:title>
  <dc:subject/>
  <dc:creator>Xin Feng; Decong Yang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