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Times New Roman" w:hAnsi="Times New Roman"/>
          <w:b/>
          <w:color w:val="000000"/>
          <w:sz w:val="32"/>
        </w:rPr>
        <w:t>Highlights</w:t>
      </w:r>
    </w:p>
    <w:p>
      <w:pPr>
        <w:pStyle w:val="ListBullet"/>
        <w:spacing w:after="200"/>
      </w:pPr>
      <w:r>
        <w:rPr>
          <w:rFonts w:ascii="Times New Roman" w:hAnsi="Times New Roman"/>
          <w:b w:val="0"/>
          <w:color w:val="000000"/>
          <w:sz w:val="22"/>
        </w:rPr>
        <w:t>Partial labels induce an enclosure of fixed reference prediction sets.</w:t>
      </w:r>
    </w:p>
    <w:p>
      <w:pPr>
        <w:pStyle w:val="ListBullet"/>
        <w:spacing w:after="200"/>
      </w:pPr>
      <w:r>
        <w:rPr>
          <w:rFonts w:ascii="Times New Roman" w:hAnsi="Times New Roman"/>
          <w:b w:val="0"/>
          <w:color w:val="000000"/>
          <w:sz w:val="22"/>
        </w:rPr>
        <w:t>A finite-population rank recursion calibrates a declared query schedule.</w:t>
      </w:r>
    </w:p>
    <w:p>
      <w:pPr>
        <w:pStyle w:val="ListBullet"/>
        <w:spacing w:after="200"/>
      </w:pPr>
      <w:r>
        <w:rPr>
          <w:rFonts w:ascii="Times New Roman" w:hAnsi="Times New Roman"/>
          <w:b w:val="0"/>
          <w:color w:val="000000"/>
          <w:sz w:val="22"/>
        </w:rPr>
        <w:t>An observable set-size tolerance determines when label acquisition stops.</w:t>
      </w:r>
    </w:p>
    <w:p>
      <w:pPr>
        <w:pStyle w:val="ListBullet"/>
        <w:spacing w:after="200"/>
      </w:pPr>
      <w:r>
        <w:rPr>
          <w:rFonts w:ascii="Times New Roman" w:hAnsi="Times New Roman"/>
          <w:b w:val="0"/>
          <w:color w:val="000000"/>
          <w:sz w:val="22"/>
        </w:rPr>
        <w:t>Wearable benchmarks characterize label savings and reference preservation.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Xin Feng; Decong Yang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