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3E588C" w:rsidTr="00CE628D">
        <w:trPr>
          <w:trHeight w:val="572"/>
        </w:trPr>
        <w:tc>
          <w:tcPr>
            <w:tcW w:w="3130" w:type="dxa"/>
          </w:tcPr>
          <w:p w:rsidR="003E588C" w:rsidRPr="00381EB9" w:rsidRDefault="003E588C" w:rsidP="00CE628D">
            <w:pPr>
              <w:rPr>
                <w:rFonts w:ascii="Broadway" w:hAnsi="Broadway" w:cs="Aharoni"/>
                <w:sz w:val="52"/>
                <w:szCs w:val="52"/>
              </w:rPr>
            </w:pPr>
            <w:r w:rsidRPr="00C7379A">
              <w:rPr>
                <w:rFonts w:ascii="Broadway" w:hAnsi="Broadway" w:cs="Aharoni"/>
                <w:b/>
                <w:noProof/>
                <w:color w:val="70AD47"/>
                <w:spacing w:val="10"/>
                <w:sz w:val="52"/>
                <w:szCs w:val="52"/>
                <w:lang w:eastAsia="fr-FR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3989D806" wp14:editId="78312DC0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379A">
              <w:rPr>
                <w:rFonts w:ascii="Broadway" w:hAnsi="Broadway" w:cs="Aharoni"/>
                <w:b/>
                <w:outline/>
                <w:color w:val="70AD47"/>
                <w:spacing w:val="10"/>
                <w:sz w:val="52"/>
                <w:szCs w:val="52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3E588C" w:rsidTr="00CE628D">
        <w:trPr>
          <w:trHeight w:val="436"/>
        </w:trPr>
        <w:tc>
          <w:tcPr>
            <w:tcW w:w="2404" w:type="dxa"/>
          </w:tcPr>
          <w:p w:rsidR="003E588C" w:rsidRPr="00C05DFE" w:rsidRDefault="003E588C" w:rsidP="00CE628D">
            <w:pPr>
              <w:rPr>
                <w:rFonts w:cs="Arial"/>
                <w:sz w:val="32"/>
                <w:szCs w:val="32"/>
              </w:rPr>
            </w:pPr>
            <w:r w:rsidRPr="00C05DFE">
              <w:rPr>
                <w:rFonts w:cs="Arial"/>
                <w:sz w:val="32"/>
                <w:szCs w:val="32"/>
              </w:rPr>
              <w:t>Projet </w:t>
            </w:r>
            <w:r w:rsidRPr="00C05DFE">
              <w:rPr>
                <w:rFonts w:cs="Arial"/>
                <w:b/>
                <w:sz w:val="32"/>
                <w:szCs w:val="32"/>
              </w:rPr>
              <w:t>PolyLog</w:t>
            </w:r>
          </w:p>
        </w:tc>
      </w:tr>
    </w:tbl>
    <w:p w:rsidR="003E588C" w:rsidRDefault="003E588C" w:rsidP="003E588C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rPr>
          <w:rFonts w:ascii="Liberation Sans" w:hAnsi="Liberation Sans" w:cs="Liberation Sans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</w:rPr>
      </w:pPr>
    </w:p>
    <w:p w:rsidR="003E588C" w:rsidRPr="00CC40A5" w:rsidRDefault="003E588C" w:rsidP="003E588C">
      <w:pPr>
        <w:jc w:val="center"/>
        <w:rPr>
          <w:rFonts w:ascii="Liberation Sans" w:hAnsi="Liberation Sans" w:cs="Liberation Sans"/>
          <w:b/>
        </w:rPr>
      </w:pPr>
    </w:p>
    <w:p w:rsidR="003E588C" w:rsidRPr="00C05DFE" w:rsidRDefault="003E588C" w:rsidP="003E588C">
      <w:pPr>
        <w:pBdr>
          <w:top w:val="single" w:sz="6" w:space="1" w:color="auto"/>
          <w:bottom w:val="single" w:sz="6" w:space="1" w:color="auto"/>
        </w:pBdr>
        <w:rPr>
          <w:rFonts w:cs="Arial"/>
        </w:rPr>
      </w:pPr>
    </w:p>
    <w:p w:rsidR="003E588C" w:rsidRPr="00C05DFE" w:rsidRDefault="0006535F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Risques</w:t>
      </w:r>
    </w:p>
    <w:p w:rsidR="003E588C" w:rsidRPr="00E94A8C" w:rsidRDefault="00E94A8C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Identification et prévention</w:t>
      </w:r>
    </w:p>
    <w:p w:rsidR="00E94A8C" w:rsidRDefault="00E94A8C" w:rsidP="003E588C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3E588C" w:rsidRPr="00F26578" w:rsidRDefault="003E588C" w:rsidP="003E588C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    </w:t>
      </w:r>
      <w:r w:rsidRPr="00182A86">
        <w:rPr>
          <w:rFonts w:cs="Arial"/>
          <w:b/>
          <w:sz w:val="28"/>
          <w:szCs w:val="28"/>
        </w:rPr>
        <w:t xml:space="preserve">Référence : </w:t>
      </w:r>
      <w:r w:rsidRPr="003D7D09">
        <w:rPr>
          <w:rFonts w:cs="Arial"/>
          <w:sz w:val="28"/>
          <w:szCs w:val="28"/>
        </w:rPr>
        <w:t>PL_</w:t>
      </w:r>
      <w:r>
        <w:rPr>
          <w:rFonts w:cs="Arial"/>
          <w:sz w:val="28"/>
          <w:szCs w:val="28"/>
        </w:rPr>
        <w:t>Risques</w:t>
      </w:r>
    </w:p>
    <w:p w:rsidR="003E588C" w:rsidRPr="00182A86" w:rsidRDefault="003E588C" w:rsidP="003E588C">
      <w:pPr>
        <w:jc w:val="center"/>
        <w:rPr>
          <w:rFonts w:cs="Arial"/>
          <w:b/>
          <w:sz w:val="28"/>
          <w:szCs w:val="28"/>
        </w:rPr>
      </w:pPr>
      <w:r w:rsidRPr="00182A86">
        <w:rPr>
          <w:rFonts w:cs="Arial"/>
          <w:b/>
          <w:sz w:val="28"/>
          <w:szCs w:val="28"/>
        </w:rPr>
        <w:t xml:space="preserve">Version : </w:t>
      </w:r>
      <w:r>
        <w:rPr>
          <w:rFonts w:cs="Arial"/>
          <w:sz w:val="28"/>
          <w:szCs w:val="28"/>
        </w:rPr>
        <w:t>1.</w:t>
      </w:r>
      <w:r w:rsidR="0003766C">
        <w:rPr>
          <w:rFonts w:cs="Arial"/>
          <w:sz w:val="28"/>
          <w:szCs w:val="28"/>
        </w:rPr>
        <w:t>2</w:t>
      </w: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p w:rsidR="003E588C" w:rsidRDefault="003E588C" w:rsidP="003E588C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3E588C" w:rsidTr="00CE628D">
        <w:trPr>
          <w:trHeight w:val="415"/>
        </w:trPr>
        <w:tc>
          <w:tcPr>
            <w:tcW w:w="2547" w:type="dxa"/>
          </w:tcPr>
          <w:p w:rsidR="003E588C" w:rsidRPr="0054743A" w:rsidRDefault="003E588C" w:rsidP="00CE628D">
            <w:pPr>
              <w:jc w:val="center"/>
              <w:rPr>
                <w:rFonts w:ascii="Liberation Sans" w:hAnsi="Liberation Sans" w:cs="Liberation Sans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Nom</w:t>
            </w:r>
          </w:p>
        </w:tc>
        <w:tc>
          <w:tcPr>
            <w:tcW w:w="2830" w:type="dxa"/>
          </w:tcPr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Date</w:t>
            </w:r>
          </w:p>
        </w:tc>
      </w:tr>
      <w:tr w:rsidR="003E588C" w:rsidTr="00CE628D">
        <w:trPr>
          <w:trHeight w:val="705"/>
        </w:trPr>
        <w:tc>
          <w:tcPr>
            <w:tcW w:w="2547" w:type="dxa"/>
          </w:tcPr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1C4C92">
              <w:rPr>
                <w:rFonts w:cs="Arial"/>
                <w:b/>
                <w:szCs w:val="24"/>
              </w:rPr>
              <w:t>Rédacteurs</w:t>
            </w:r>
          </w:p>
          <w:p w:rsidR="003E588C" w:rsidRPr="001C4C92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3E12DE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François Marsault</w:t>
            </w:r>
          </w:p>
          <w:p w:rsidR="003E588C" w:rsidRPr="001C4C92" w:rsidRDefault="003E588C" w:rsidP="00CE628D">
            <w:pPr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1C4C92" w:rsidRDefault="003E588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</w:t>
            </w:r>
            <w:r w:rsidRPr="001C4C92">
              <w:rPr>
                <w:rFonts w:cs="Arial"/>
                <w:szCs w:val="24"/>
              </w:rPr>
              <w:t xml:space="preserve"> mars 2014</w:t>
            </w:r>
          </w:p>
        </w:tc>
      </w:tr>
      <w:tr w:rsidR="003E588C" w:rsidTr="00CE628D">
        <w:trPr>
          <w:trHeight w:val="559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 w:rsidRPr="00777C7F">
              <w:rPr>
                <w:rFonts w:cs="Arial"/>
                <w:b/>
                <w:szCs w:val="24"/>
              </w:rPr>
              <w:t>Relecteurs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Pr="00777C7F" w:rsidRDefault="00193785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Kévin Poupon</w:t>
            </w: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193785" w:rsidRDefault="0003766C" w:rsidP="00CE628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20</w:t>
            </w:r>
            <w:r w:rsidR="00193785">
              <w:rPr>
                <w:rFonts w:cs="Arial"/>
                <w:szCs w:val="24"/>
              </w:rPr>
              <w:t xml:space="preserve"> mars 2014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  <w:tr w:rsidR="003E588C" w:rsidTr="00CE628D">
        <w:trPr>
          <w:trHeight w:val="602"/>
        </w:trPr>
        <w:tc>
          <w:tcPr>
            <w:tcW w:w="2547" w:type="dxa"/>
          </w:tcPr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Validation</w:t>
            </w:r>
          </w:p>
          <w:p w:rsidR="003E588C" w:rsidRPr="00777C7F" w:rsidRDefault="003E588C" w:rsidP="00CE628D">
            <w:pPr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3685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2830" w:type="dxa"/>
          </w:tcPr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  <w:p w:rsidR="003E588C" w:rsidRDefault="003E588C" w:rsidP="00CE628D">
            <w:pPr>
              <w:jc w:val="center"/>
              <w:rPr>
                <w:rFonts w:cs="Arial"/>
                <w:szCs w:val="24"/>
              </w:rPr>
            </w:pPr>
          </w:p>
        </w:tc>
      </w:tr>
    </w:tbl>
    <w:p w:rsidR="003E588C" w:rsidRDefault="003E588C" w:rsidP="003E588C"/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953618490"/>
        <w:docPartObj>
          <w:docPartGallery w:val="Table of Contents"/>
          <w:docPartUnique/>
        </w:docPartObj>
      </w:sdtPr>
      <w:sdtEndPr/>
      <w:sdtContent>
        <w:p w:rsidR="0024743A" w:rsidRPr="0024743A" w:rsidRDefault="0024743A" w:rsidP="0024743A">
          <w:pPr>
            <w:pStyle w:val="En-ttedetabledesmatires"/>
            <w:ind w:left="0"/>
            <w:rPr>
              <w:sz w:val="24"/>
              <w:szCs w:val="24"/>
            </w:rPr>
          </w:pPr>
          <w:r w:rsidRPr="0024743A">
            <w:rPr>
              <w:sz w:val="24"/>
              <w:szCs w:val="24"/>
            </w:rPr>
            <w:t>Table des matières</w:t>
          </w:r>
        </w:p>
        <w:p w:rsidR="0024743A" w:rsidRPr="0024743A" w:rsidRDefault="0024743A" w:rsidP="0024743A">
          <w:pPr>
            <w:rPr>
              <w:lang w:eastAsia="fr-FR"/>
            </w:rPr>
          </w:pPr>
        </w:p>
        <w:p w:rsidR="00D2099B" w:rsidRDefault="0024743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74357" w:history="1">
            <w:r w:rsidR="00D2099B" w:rsidRPr="00D119E1">
              <w:rPr>
                <w:rStyle w:val="Lienhypertexte"/>
                <w:noProof/>
              </w:rPr>
              <w:t>I.</w:t>
            </w:r>
            <w:r w:rsidR="00D2099B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2099B" w:rsidRPr="00D119E1">
              <w:rPr>
                <w:rStyle w:val="Lienhypertexte"/>
                <w:noProof/>
              </w:rPr>
              <w:t>Introduction</w:t>
            </w:r>
            <w:r w:rsidR="00D2099B">
              <w:rPr>
                <w:noProof/>
                <w:webHidden/>
              </w:rPr>
              <w:tab/>
            </w:r>
            <w:r w:rsidR="00D2099B">
              <w:rPr>
                <w:noProof/>
                <w:webHidden/>
              </w:rPr>
              <w:fldChar w:fldCharType="begin"/>
            </w:r>
            <w:r w:rsidR="00D2099B">
              <w:rPr>
                <w:noProof/>
                <w:webHidden/>
              </w:rPr>
              <w:instrText xml:space="preserve"> PAGEREF _Toc383074357 \h </w:instrText>
            </w:r>
            <w:r w:rsidR="00D2099B">
              <w:rPr>
                <w:noProof/>
                <w:webHidden/>
              </w:rPr>
            </w:r>
            <w:r w:rsidR="00D2099B">
              <w:rPr>
                <w:noProof/>
                <w:webHidden/>
              </w:rPr>
              <w:fldChar w:fldCharType="separate"/>
            </w:r>
            <w:r w:rsidR="00D2099B">
              <w:rPr>
                <w:noProof/>
                <w:webHidden/>
              </w:rPr>
              <w:t>3</w:t>
            </w:r>
            <w:r w:rsidR="00D2099B">
              <w:rPr>
                <w:noProof/>
                <w:webHidden/>
              </w:rPr>
              <w:fldChar w:fldCharType="end"/>
            </w:r>
          </w:hyperlink>
        </w:p>
        <w:p w:rsidR="00D2099B" w:rsidRDefault="006840F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3074358" w:history="1">
            <w:r w:rsidR="00D2099B" w:rsidRPr="00D119E1">
              <w:rPr>
                <w:rStyle w:val="Lienhypertexte"/>
                <w:noProof/>
              </w:rPr>
              <w:t>II.</w:t>
            </w:r>
            <w:r w:rsidR="00D2099B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2099B" w:rsidRPr="00D119E1">
              <w:rPr>
                <w:rStyle w:val="Lienhypertexte"/>
                <w:noProof/>
              </w:rPr>
              <w:t>Risques</w:t>
            </w:r>
            <w:r w:rsidR="00D2099B">
              <w:rPr>
                <w:noProof/>
                <w:webHidden/>
              </w:rPr>
              <w:tab/>
            </w:r>
            <w:r w:rsidR="00D2099B">
              <w:rPr>
                <w:noProof/>
                <w:webHidden/>
              </w:rPr>
              <w:fldChar w:fldCharType="begin"/>
            </w:r>
            <w:r w:rsidR="00D2099B">
              <w:rPr>
                <w:noProof/>
                <w:webHidden/>
              </w:rPr>
              <w:instrText xml:space="preserve"> PAGEREF _Toc383074358 \h </w:instrText>
            </w:r>
            <w:r w:rsidR="00D2099B">
              <w:rPr>
                <w:noProof/>
                <w:webHidden/>
              </w:rPr>
            </w:r>
            <w:r w:rsidR="00D2099B">
              <w:rPr>
                <w:noProof/>
                <w:webHidden/>
              </w:rPr>
              <w:fldChar w:fldCharType="separate"/>
            </w:r>
            <w:r w:rsidR="00D2099B">
              <w:rPr>
                <w:noProof/>
                <w:webHidden/>
              </w:rPr>
              <w:t>3</w:t>
            </w:r>
            <w:r w:rsidR="00D2099B">
              <w:rPr>
                <w:noProof/>
                <w:webHidden/>
              </w:rPr>
              <w:fldChar w:fldCharType="end"/>
            </w:r>
          </w:hyperlink>
        </w:p>
        <w:p w:rsidR="00D2099B" w:rsidRDefault="006840F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383074359" w:history="1">
            <w:r w:rsidR="00D2099B" w:rsidRPr="00D119E1">
              <w:rPr>
                <w:rStyle w:val="Lienhypertexte"/>
                <w:noProof/>
              </w:rPr>
              <w:t>III.</w:t>
            </w:r>
            <w:r w:rsidR="00D2099B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D2099B" w:rsidRPr="00D119E1">
              <w:rPr>
                <w:rStyle w:val="Lienhypertexte"/>
                <w:noProof/>
              </w:rPr>
              <w:t>Prévention</w:t>
            </w:r>
            <w:r w:rsidR="00D2099B">
              <w:rPr>
                <w:noProof/>
                <w:webHidden/>
              </w:rPr>
              <w:tab/>
            </w:r>
            <w:r w:rsidR="00D2099B">
              <w:rPr>
                <w:noProof/>
                <w:webHidden/>
              </w:rPr>
              <w:fldChar w:fldCharType="begin"/>
            </w:r>
            <w:r w:rsidR="00D2099B">
              <w:rPr>
                <w:noProof/>
                <w:webHidden/>
              </w:rPr>
              <w:instrText xml:space="preserve"> PAGEREF _Toc383074359 \h </w:instrText>
            </w:r>
            <w:r w:rsidR="00D2099B">
              <w:rPr>
                <w:noProof/>
                <w:webHidden/>
              </w:rPr>
            </w:r>
            <w:r w:rsidR="00D2099B">
              <w:rPr>
                <w:noProof/>
                <w:webHidden/>
              </w:rPr>
              <w:fldChar w:fldCharType="separate"/>
            </w:r>
            <w:r w:rsidR="00D2099B">
              <w:rPr>
                <w:noProof/>
                <w:webHidden/>
              </w:rPr>
              <w:t>4</w:t>
            </w:r>
            <w:r w:rsidR="00D2099B">
              <w:rPr>
                <w:noProof/>
                <w:webHidden/>
              </w:rPr>
              <w:fldChar w:fldCharType="end"/>
            </w:r>
          </w:hyperlink>
        </w:p>
        <w:p w:rsidR="0024743A" w:rsidRDefault="0024743A">
          <w:r>
            <w:rPr>
              <w:b/>
              <w:bCs/>
            </w:rPr>
            <w:fldChar w:fldCharType="end"/>
          </w:r>
        </w:p>
      </w:sdtContent>
    </w:sdt>
    <w:p w:rsidR="00D42860" w:rsidRDefault="006840F0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3E588C" w:rsidRDefault="003E588C"/>
    <w:p w:rsidR="00C7379A" w:rsidRDefault="00C7379A"/>
    <w:p w:rsidR="004B37DF" w:rsidRDefault="00C7379A" w:rsidP="0024743A">
      <w:pPr>
        <w:pStyle w:val="Titrecustom"/>
      </w:pPr>
      <w:bookmarkStart w:id="0" w:name="_Toc383074357"/>
      <w:r>
        <w:lastRenderedPageBreak/>
        <w:t>Introduction</w:t>
      </w:r>
      <w:bookmarkEnd w:id="0"/>
    </w:p>
    <w:p w:rsidR="00C7379A" w:rsidRPr="004B37DF" w:rsidRDefault="00C7379A" w:rsidP="00C7379A">
      <w:pPr>
        <w:pStyle w:val="Titrecustom"/>
        <w:numPr>
          <w:ilvl w:val="0"/>
          <w:numId w:val="0"/>
        </w:numPr>
        <w:ind w:left="720"/>
      </w:pPr>
    </w:p>
    <w:p w:rsidR="00C36B53" w:rsidRDefault="006617F6" w:rsidP="0024743A">
      <w:r>
        <w:t>Ce document</w:t>
      </w:r>
      <w:r w:rsidR="00C7379A">
        <w:t xml:space="preserve"> identifie</w:t>
      </w:r>
      <w:r>
        <w:t xml:space="preserve"> les risques potentiels </w:t>
      </w:r>
      <w:r w:rsidR="00C7379A">
        <w:t>liés au</w:t>
      </w:r>
      <w:r>
        <w:t xml:space="preserve"> développement </w:t>
      </w:r>
      <w:r w:rsidR="00C7379A">
        <w:t xml:space="preserve">du projet PolyLog </w:t>
      </w:r>
      <w:r>
        <w:t xml:space="preserve">et </w:t>
      </w:r>
      <w:r w:rsidR="00C7379A">
        <w:t>à l’utilisation de l’application web en découlant</w:t>
      </w:r>
      <w:bookmarkStart w:id="1" w:name="_Toc382986935"/>
      <w:r w:rsidR="00E05C62">
        <w:t xml:space="preserve"> et présente un plan de prévention de ces risques. </w:t>
      </w:r>
    </w:p>
    <w:p w:rsidR="00C36B53" w:rsidRDefault="00C36B53" w:rsidP="00C7379A"/>
    <w:p w:rsidR="003E588C" w:rsidRDefault="007336F8" w:rsidP="0024743A">
      <w:pPr>
        <w:pStyle w:val="Titrecustom"/>
      </w:pPr>
      <w:bookmarkStart w:id="2" w:name="_Toc383074358"/>
      <w:bookmarkEnd w:id="1"/>
      <w:r>
        <w:t>Risques</w:t>
      </w:r>
      <w:bookmarkEnd w:id="2"/>
    </w:p>
    <w:p w:rsidR="00921199" w:rsidRDefault="009211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6237"/>
        <w:gridCol w:w="1591"/>
      </w:tblGrid>
      <w:tr w:rsidR="00921199" w:rsidTr="00921199">
        <w:trPr>
          <w:trHeight w:val="70"/>
        </w:trPr>
        <w:tc>
          <w:tcPr>
            <w:tcW w:w="1384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Réf</w:t>
            </w:r>
          </w:p>
        </w:tc>
        <w:tc>
          <w:tcPr>
            <w:tcW w:w="6237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Risque</w:t>
            </w:r>
          </w:p>
        </w:tc>
        <w:tc>
          <w:tcPr>
            <w:tcW w:w="1591" w:type="dxa"/>
          </w:tcPr>
          <w:p w:rsidR="00921199" w:rsidRPr="00921199" w:rsidRDefault="00921199" w:rsidP="00921199">
            <w:pPr>
              <w:jc w:val="center"/>
              <w:rPr>
                <w:b/>
              </w:rPr>
            </w:pPr>
            <w:r w:rsidRPr="00921199">
              <w:rPr>
                <w:b/>
              </w:rPr>
              <w:t>Niveau</w:t>
            </w:r>
          </w:p>
        </w:tc>
      </w:tr>
      <w:tr w:rsidR="00921199" w:rsidTr="00921199">
        <w:trPr>
          <w:trHeight w:val="1000"/>
        </w:trPr>
        <w:tc>
          <w:tcPr>
            <w:tcW w:w="1384" w:type="dxa"/>
          </w:tcPr>
          <w:p w:rsidR="00921199" w:rsidRDefault="00921199" w:rsidP="00921199">
            <w:pPr>
              <w:jc w:val="center"/>
            </w:pPr>
          </w:p>
          <w:p w:rsidR="00921199" w:rsidRPr="00921199" w:rsidRDefault="00921199" w:rsidP="00921199">
            <w:pPr>
              <w:jc w:val="center"/>
            </w:pPr>
            <w:r>
              <w:t>R1</w:t>
            </w:r>
          </w:p>
        </w:tc>
        <w:tc>
          <w:tcPr>
            <w:tcW w:w="6237" w:type="dxa"/>
          </w:tcPr>
          <w:p w:rsidR="00582C15" w:rsidRDefault="00582C15" w:rsidP="00921199">
            <w:pPr>
              <w:jc w:val="both"/>
            </w:pPr>
          </w:p>
          <w:p w:rsidR="00582C15" w:rsidRPr="00921199" w:rsidRDefault="00921199" w:rsidP="00DE2735">
            <w:pPr>
              <w:jc w:val="both"/>
            </w:pPr>
            <w:r>
              <w:t xml:space="preserve">Mise en place de l’agenda des réservations : </w:t>
            </w:r>
            <w:r w:rsidR="00DE2735">
              <w:t>choix technologique.</w:t>
            </w:r>
          </w:p>
        </w:tc>
        <w:tc>
          <w:tcPr>
            <w:tcW w:w="1591" w:type="dxa"/>
          </w:tcPr>
          <w:p w:rsidR="00921199" w:rsidRDefault="00921199" w:rsidP="00921199">
            <w:pPr>
              <w:jc w:val="center"/>
            </w:pPr>
          </w:p>
          <w:p w:rsidR="00921199" w:rsidRPr="00921199" w:rsidRDefault="006B2447" w:rsidP="00921199">
            <w:pPr>
              <w:jc w:val="center"/>
            </w:pPr>
            <w:r>
              <w:t>4/5</w:t>
            </w:r>
          </w:p>
        </w:tc>
      </w:tr>
      <w:tr w:rsidR="006B2447" w:rsidTr="006B2447">
        <w:trPr>
          <w:trHeight w:val="208"/>
        </w:trPr>
        <w:tc>
          <w:tcPr>
            <w:tcW w:w="1384" w:type="dxa"/>
          </w:tcPr>
          <w:p w:rsidR="006B2447" w:rsidRDefault="006B2447" w:rsidP="00582C15">
            <w:pPr>
              <w:jc w:val="center"/>
            </w:pPr>
          </w:p>
          <w:p w:rsidR="00582C15" w:rsidRDefault="00582C15" w:rsidP="00582C15">
            <w:pPr>
              <w:jc w:val="center"/>
            </w:pPr>
            <w:r>
              <w:t>R2</w:t>
            </w:r>
          </w:p>
        </w:tc>
        <w:tc>
          <w:tcPr>
            <w:tcW w:w="6237" w:type="dxa"/>
          </w:tcPr>
          <w:p w:rsidR="00582C15" w:rsidRDefault="00582C15" w:rsidP="00786095">
            <w:pPr>
              <w:jc w:val="both"/>
            </w:pPr>
          </w:p>
          <w:p w:rsidR="006B2447" w:rsidRDefault="006B2447" w:rsidP="00786095">
            <w:pPr>
              <w:jc w:val="both"/>
            </w:pPr>
            <w:r>
              <w:t>Pré-réservations</w:t>
            </w:r>
            <w:r w:rsidR="0036231A">
              <w:t xml:space="preserve"> : </w:t>
            </w:r>
            <w:r w:rsidR="00786095">
              <w:t xml:space="preserve">implémentation incertaine concernant le </w:t>
            </w:r>
            <w:r w:rsidR="0036231A">
              <w:t xml:space="preserve">délai accordé pour régler </w:t>
            </w:r>
            <w:r w:rsidR="00CF7350">
              <w:t>une factu</w:t>
            </w:r>
            <w:r w:rsidR="00786095">
              <w:t>re et confirmer une réservation.</w:t>
            </w:r>
          </w:p>
        </w:tc>
        <w:tc>
          <w:tcPr>
            <w:tcW w:w="1591" w:type="dxa"/>
          </w:tcPr>
          <w:p w:rsidR="006B2447" w:rsidRDefault="006B2447" w:rsidP="00582C15">
            <w:pPr>
              <w:jc w:val="center"/>
            </w:pPr>
          </w:p>
          <w:p w:rsidR="00582C15" w:rsidRDefault="00786095" w:rsidP="00582C15">
            <w:pPr>
              <w:jc w:val="center"/>
            </w:pPr>
            <w:r>
              <w:t>3/5</w:t>
            </w:r>
          </w:p>
        </w:tc>
      </w:tr>
      <w:tr w:rsidR="00582C15" w:rsidTr="006B2447">
        <w:trPr>
          <w:trHeight w:val="208"/>
        </w:trPr>
        <w:tc>
          <w:tcPr>
            <w:tcW w:w="1384" w:type="dxa"/>
          </w:tcPr>
          <w:p w:rsidR="00786095" w:rsidRDefault="00786095" w:rsidP="00786095">
            <w:pPr>
              <w:jc w:val="center"/>
            </w:pPr>
          </w:p>
          <w:p w:rsidR="00582C15" w:rsidRDefault="00786095" w:rsidP="00786095">
            <w:pPr>
              <w:jc w:val="center"/>
            </w:pPr>
            <w:r>
              <w:t>R3</w:t>
            </w:r>
          </w:p>
        </w:tc>
        <w:tc>
          <w:tcPr>
            <w:tcW w:w="6237" w:type="dxa"/>
          </w:tcPr>
          <w:p w:rsidR="00582C15" w:rsidRDefault="00582C15" w:rsidP="00786095">
            <w:pPr>
              <w:jc w:val="both"/>
            </w:pPr>
          </w:p>
          <w:p w:rsidR="00786095" w:rsidRDefault="00786095" w:rsidP="00786095">
            <w:pPr>
              <w:jc w:val="both"/>
            </w:pPr>
            <w:r>
              <w:t>Gestion tarifaire : établissement des règles tarifaires difficile.</w:t>
            </w:r>
          </w:p>
        </w:tc>
        <w:tc>
          <w:tcPr>
            <w:tcW w:w="1591" w:type="dxa"/>
          </w:tcPr>
          <w:p w:rsidR="00582C15" w:rsidRDefault="00582C15" w:rsidP="00786095">
            <w:pPr>
              <w:jc w:val="center"/>
            </w:pPr>
          </w:p>
          <w:p w:rsidR="00786095" w:rsidRDefault="00786095" w:rsidP="00786095">
            <w:pPr>
              <w:jc w:val="center"/>
            </w:pPr>
            <w:r>
              <w:t>3/5</w:t>
            </w:r>
          </w:p>
        </w:tc>
      </w:tr>
      <w:tr w:rsidR="0004749E" w:rsidTr="006B2447">
        <w:trPr>
          <w:trHeight w:val="208"/>
        </w:trPr>
        <w:tc>
          <w:tcPr>
            <w:tcW w:w="1384" w:type="dxa"/>
          </w:tcPr>
          <w:p w:rsidR="0004749E" w:rsidRDefault="0004749E" w:rsidP="0004749E"/>
          <w:p w:rsidR="0004749E" w:rsidRDefault="0004749E" w:rsidP="0004749E">
            <w:pPr>
              <w:jc w:val="center"/>
            </w:pPr>
            <w:r>
              <w:t>R4</w:t>
            </w:r>
          </w:p>
        </w:tc>
        <w:tc>
          <w:tcPr>
            <w:tcW w:w="6237" w:type="dxa"/>
          </w:tcPr>
          <w:p w:rsidR="0004749E" w:rsidRDefault="0004749E" w:rsidP="00786095">
            <w:pPr>
              <w:jc w:val="both"/>
            </w:pPr>
          </w:p>
          <w:p w:rsidR="0004749E" w:rsidRDefault="0004749E" w:rsidP="00126A59">
            <w:pPr>
              <w:jc w:val="both"/>
            </w:pPr>
            <w:r>
              <w:t xml:space="preserve">Etablissement de conventions : </w:t>
            </w:r>
            <w:r w:rsidR="00126A59">
              <w:t>contenu de la convention incertain.</w:t>
            </w:r>
          </w:p>
        </w:tc>
        <w:tc>
          <w:tcPr>
            <w:tcW w:w="1591" w:type="dxa"/>
          </w:tcPr>
          <w:p w:rsidR="0004749E" w:rsidRDefault="0004749E" w:rsidP="00786095">
            <w:pPr>
              <w:jc w:val="center"/>
            </w:pPr>
          </w:p>
          <w:p w:rsidR="0004749E" w:rsidRDefault="0004749E" w:rsidP="00786095">
            <w:pPr>
              <w:jc w:val="center"/>
            </w:pPr>
            <w:r>
              <w:t>2/5</w:t>
            </w:r>
          </w:p>
        </w:tc>
      </w:tr>
    </w:tbl>
    <w:p w:rsidR="000954EA" w:rsidRDefault="000954EA"/>
    <w:p w:rsidR="00334FE3" w:rsidRDefault="000954EA" w:rsidP="000954EA">
      <w:pPr>
        <w:spacing w:after="200" w:line="276" w:lineRule="auto"/>
      </w:pPr>
      <w:r>
        <w:br w:type="page"/>
      </w:r>
    </w:p>
    <w:p w:rsidR="00334FE3" w:rsidRDefault="00FB5E0D" w:rsidP="00334FE3">
      <w:pPr>
        <w:pStyle w:val="Titrecustom"/>
      </w:pPr>
      <w:r>
        <w:lastRenderedPageBreak/>
        <w:t>Maitrise</w:t>
      </w:r>
      <w:r w:rsidR="00E94A8C">
        <w:t xml:space="preserve"> </w:t>
      </w:r>
      <w:r>
        <w:t>des risques</w:t>
      </w:r>
    </w:p>
    <w:p w:rsidR="00F94683" w:rsidRDefault="00F94683" w:rsidP="00F94683">
      <w:pPr>
        <w:pStyle w:val="Titrecustom"/>
        <w:numPr>
          <w:ilvl w:val="0"/>
          <w:numId w:val="0"/>
        </w:numPr>
        <w:ind w:left="720" w:hanging="360"/>
      </w:pP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1668"/>
        <w:gridCol w:w="7796"/>
      </w:tblGrid>
      <w:tr w:rsidR="000954EA" w:rsidTr="00624778">
        <w:trPr>
          <w:trHeight w:val="70"/>
        </w:trPr>
        <w:tc>
          <w:tcPr>
            <w:tcW w:w="1668" w:type="dxa"/>
          </w:tcPr>
          <w:p w:rsidR="000954EA" w:rsidRPr="00921199" w:rsidRDefault="000954EA" w:rsidP="00F84483">
            <w:pPr>
              <w:jc w:val="center"/>
              <w:rPr>
                <w:b/>
              </w:rPr>
            </w:pPr>
            <w:r>
              <w:rPr>
                <w:b/>
              </w:rPr>
              <w:t>Réf Risque</w:t>
            </w:r>
          </w:p>
        </w:tc>
        <w:tc>
          <w:tcPr>
            <w:tcW w:w="7796" w:type="dxa"/>
          </w:tcPr>
          <w:p w:rsidR="000954EA" w:rsidRPr="00921199" w:rsidRDefault="00FB5E0D" w:rsidP="00F84483">
            <w:pPr>
              <w:jc w:val="center"/>
              <w:rPr>
                <w:b/>
              </w:rPr>
            </w:pPr>
            <w:r>
              <w:rPr>
                <w:b/>
              </w:rPr>
              <w:t>Solution potentielle</w:t>
            </w:r>
          </w:p>
        </w:tc>
      </w:tr>
      <w:tr w:rsidR="000954EA" w:rsidTr="00624778">
        <w:trPr>
          <w:trHeight w:val="1000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Pr="00921199" w:rsidRDefault="000954EA" w:rsidP="00F84483">
            <w:pPr>
              <w:jc w:val="center"/>
            </w:pPr>
            <w:r>
              <w:t>R1</w:t>
            </w:r>
          </w:p>
        </w:tc>
        <w:tc>
          <w:tcPr>
            <w:tcW w:w="7796" w:type="dxa"/>
          </w:tcPr>
          <w:p w:rsidR="000954EA" w:rsidRDefault="000954EA" w:rsidP="00E45A95">
            <w:pPr>
              <w:jc w:val="both"/>
            </w:pPr>
          </w:p>
          <w:p w:rsidR="00FB5E0D" w:rsidRPr="00921199" w:rsidRDefault="00FB5E0D" w:rsidP="00E45A95">
            <w:pPr>
              <w:jc w:val="both"/>
            </w:pPr>
            <w:r>
              <w:t>Utilisation de la bibliothèque JQuery Full Calendar.</w:t>
            </w:r>
          </w:p>
        </w:tc>
      </w:tr>
      <w:tr w:rsidR="000954EA" w:rsidTr="00624778">
        <w:trPr>
          <w:trHeight w:val="208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Default="000954EA" w:rsidP="00F84483">
            <w:pPr>
              <w:jc w:val="center"/>
            </w:pPr>
            <w:r>
              <w:t>R2</w:t>
            </w:r>
          </w:p>
        </w:tc>
        <w:tc>
          <w:tcPr>
            <w:tcW w:w="7796" w:type="dxa"/>
          </w:tcPr>
          <w:p w:rsidR="000954EA" w:rsidRDefault="000954EA" w:rsidP="00F84483">
            <w:pPr>
              <w:jc w:val="both"/>
            </w:pPr>
          </w:p>
          <w:p w:rsidR="000954EA" w:rsidRDefault="00FB5E0D" w:rsidP="00375538">
            <w:pPr>
              <w:jc w:val="both"/>
            </w:pPr>
            <w:r>
              <w:t>Implémentation d’un système de détection des pré-réservations expirées.</w:t>
            </w:r>
          </w:p>
        </w:tc>
      </w:tr>
      <w:tr w:rsidR="000954EA" w:rsidTr="00624778">
        <w:trPr>
          <w:trHeight w:val="208"/>
        </w:trPr>
        <w:tc>
          <w:tcPr>
            <w:tcW w:w="1668" w:type="dxa"/>
          </w:tcPr>
          <w:p w:rsidR="000954EA" w:rsidRDefault="000954EA" w:rsidP="00F84483">
            <w:pPr>
              <w:jc w:val="center"/>
            </w:pPr>
          </w:p>
          <w:p w:rsidR="000954EA" w:rsidRDefault="000954EA" w:rsidP="00F84483">
            <w:pPr>
              <w:jc w:val="center"/>
            </w:pPr>
            <w:r>
              <w:t>R3</w:t>
            </w:r>
          </w:p>
        </w:tc>
        <w:tc>
          <w:tcPr>
            <w:tcW w:w="7796" w:type="dxa"/>
          </w:tcPr>
          <w:p w:rsidR="000954EA" w:rsidRDefault="000954EA" w:rsidP="00F84483">
            <w:pPr>
              <w:jc w:val="both"/>
            </w:pPr>
          </w:p>
          <w:p w:rsidR="000954EA" w:rsidRDefault="0054488D" w:rsidP="00624778">
            <w:pPr>
              <w:jc w:val="both"/>
            </w:pPr>
            <w:r>
              <w:t xml:space="preserve">Lors </w:t>
            </w:r>
            <w:r w:rsidR="009E59B0">
              <w:t xml:space="preserve">de la configuration, </w:t>
            </w:r>
            <w:r w:rsidR="00624778">
              <w:t xml:space="preserve">attribution </w:t>
            </w:r>
            <w:r>
              <w:t xml:space="preserve">d’un forfait de base pour la réservation d’une salle </w:t>
            </w:r>
            <w:r w:rsidR="00624778">
              <w:t>polyvalente. Attribution</w:t>
            </w:r>
            <w:r>
              <w:t xml:space="preserve"> de réduction</w:t>
            </w:r>
            <w:r w:rsidR="00624778">
              <w:t>s</w:t>
            </w:r>
            <w:r>
              <w:t xml:space="preserve"> </w:t>
            </w:r>
            <w:r w:rsidR="00624778">
              <w:t xml:space="preserve">du prix </w:t>
            </w:r>
            <w:r w:rsidR="00624778">
              <w:t>(en</w:t>
            </w:r>
            <w:r w:rsidR="00624778">
              <w:t xml:space="preserve"> </w:t>
            </w:r>
            <w:r w:rsidR="00624778">
              <w:t>%)</w:t>
            </w:r>
            <w:r w:rsidR="00AB5260">
              <w:t xml:space="preserve"> aux différents types de clients.</w:t>
            </w:r>
          </w:p>
        </w:tc>
      </w:tr>
      <w:tr w:rsidR="000954EA" w:rsidTr="00624778">
        <w:trPr>
          <w:trHeight w:val="208"/>
        </w:trPr>
        <w:tc>
          <w:tcPr>
            <w:tcW w:w="1668" w:type="dxa"/>
          </w:tcPr>
          <w:p w:rsidR="000954EA" w:rsidRDefault="000954EA" w:rsidP="00F84483"/>
          <w:p w:rsidR="000954EA" w:rsidRDefault="000954EA" w:rsidP="00F84483">
            <w:pPr>
              <w:jc w:val="center"/>
            </w:pPr>
            <w:r>
              <w:t>R4</w:t>
            </w:r>
          </w:p>
        </w:tc>
        <w:tc>
          <w:tcPr>
            <w:tcW w:w="7796" w:type="dxa"/>
          </w:tcPr>
          <w:p w:rsidR="000954EA" w:rsidRDefault="00D2099B" w:rsidP="00F84483">
            <w:pPr>
              <w:jc w:val="both"/>
            </w:pPr>
            <w:r>
              <w:t xml:space="preserve"> </w:t>
            </w:r>
          </w:p>
          <w:p w:rsidR="00624778" w:rsidRDefault="006840F0" w:rsidP="00F84483">
            <w:pPr>
              <w:jc w:val="both"/>
            </w:pPr>
            <w:r>
              <w:t>Lors de la configuration, ajout d’un champ de texte dans lequel la mairie spécifie les clauses qui lui sont propres.</w:t>
            </w:r>
            <w:bookmarkStart w:id="3" w:name="_GoBack"/>
            <w:bookmarkEnd w:id="3"/>
          </w:p>
        </w:tc>
      </w:tr>
    </w:tbl>
    <w:p w:rsidR="00F94683" w:rsidRPr="003E588C" w:rsidRDefault="00F94683" w:rsidP="00F94683"/>
    <w:sectPr w:rsidR="00F94683" w:rsidRPr="003E5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42E"/>
    <w:multiLevelType w:val="hybridMultilevel"/>
    <w:tmpl w:val="D2EC3F7A"/>
    <w:lvl w:ilvl="0" w:tplc="31526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3587A"/>
    <w:multiLevelType w:val="hybridMultilevel"/>
    <w:tmpl w:val="EED27276"/>
    <w:lvl w:ilvl="0" w:tplc="F79CE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57330"/>
    <w:multiLevelType w:val="hybridMultilevel"/>
    <w:tmpl w:val="0CEAB8FE"/>
    <w:lvl w:ilvl="0" w:tplc="5C76AD46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F55"/>
    <w:rsid w:val="00010EF6"/>
    <w:rsid w:val="00013B84"/>
    <w:rsid w:val="0003766C"/>
    <w:rsid w:val="0004749E"/>
    <w:rsid w:val="00055C12"/>
    <w:rsid w:val="00064513"/>
    <w:rsid w:val="0006535F"/>
    <w:rsid w:val="00071D51"/>
    <w:rsid w:val="000954EA"/>
    <w:rsid w:val="000D63FF"/>
    <w:rsid w:val="00126A59"/>
    <w:rsid w:val="00193785"/>
    <w:rsid w:val="001E22E2"/>
    <w:rsid w:val="0024743A"/>
    <w:rsid w:val="00334FE3"/>
    <w:rsid w:val="0036231A"/>
    <w:rsid w:val="00375538"/>
    <w:rsid w:val="003970B4"/>
    <w:rsid w:val="003A537B"/>
    <w:rsid w:val="003B691E"/>
    <w:rsid w:val="003D5E15"/>
    <w:rsid w:val="003E588C"/>
    <w:rsid w:val="003F1CA0"/>
    <w:rsid w:val="004141C3"/>
    <w:rsid w:val="00444958"/>
    <w:rsid w:val="0046582F"/>
    <w:rsid w:val="004851E7"/>
    <w:rsid w:val="004B37DF"/>
    <w:rsid w:val="004D13AE"/>
    <w:rsid w:val="0052096E"/>
    <w:rsid w:val="005264EB"/>
    <w:rsid w:val="0054488D"/>
    <w:rsid w:val="00582C15"/>
    <w:rsid w:val="005C5585"/>
    <w:rsid w:val="00624778"/>
    <w:rsid w:val="006617F6"/>
    <w:rsid w:val="006840F0"/>
    <w:rsid w:val="006B2447"/>
    <w:rsid w:val="007336F8"/>
    <w:rsid w:val="00786095"/>
    <w:rsid w:val="008B0706"/>
    <w:rsid w:val="008D4562"/>
    <w:rsid w:val="00921199"/>
    <w:rsid w:val="009344FA"/>
    <w:rsid w:val="00973398"/>
    <w:rsid w:val="009A56D1"/>
    <w:rsid w:val="009B38E8"/>
    <w:rsid w:val="009C45C2"/>
    <w:rsid w:val="009E59B0"/>
    <w:rsid w:val="009F38E7"/>
    <w:rsid w:val="00AB5260"/>
    <w:rsid w:val="00B46BE0"/>
    <w:rsid w:val="00C2338F"/>
    <w:rsid w:val="00C36B53"/>
    <w:rsid w:val="00C505E8"/>
    <w:rsid w:val="00C7379A"/>
    <w:rsid w:val="00C76A91"/>
    <w:rsid w:val="00C844BC"/>
    <w:rsid w:val="00C95BEF"/>
    <w:rsid w:val="00CC65D7"/>
    <w:rsid w:val="00CF7350"/>
    <w:rsid w:val="00D07D91"/>
    <w:rsid w:val="00D14705"/>
    <w:rsid w:val="00D2099B"/>
    <w:rsid w:val="00D627B7"/>
    <w:rsid w:val="00DA1444"/>
    <w:rsid w:val="00DC0FFE"/>
    <w:rsid w:val="00DD5058"/>
    <w:rsid w:val="00DE2735"/>
    <w:rsid w:val="00E05C62"/>
    <w:rsid w:val="00E45A95"/>
    <w:rsid w:val="00E94A8C"/>
    <w:rsid w:val="00EB0764"/>
    <w:rsid w:val="00F11F55"/>
    <w:rsid w:val="00F7674F"/>
    <w:rsid w:val="00F94683"/>
    <w:rsid w:val="00FB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706369-802D-4127-8B88-2B8750A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8C"/>
    <w:pPr>
      <w:spacing w:after="160" w:line="259" w:lineRule="auto"/>
    </w:pPr>
    <w:rPr>
      <w:rFonts w:ascii="Arial" w:hAnsi="Arial"/>
      <w:sz w:val="24"/>
    </w:rPr>
  </w:style>
  <w:style w:type="paragraph" w:styleId="Titre1">
    <w:name w:val="heading 1"/>
    <w:aliases w:val="Custom PolyLog"/>
    <w:basedOn w:val="Paragraphedeliste"/>
    <w:next w:val="Normal"/>
    <w:link w:val="Titre1Car"/>
    <w:uiPriority w:val="9"/>
    <w:qFormat/>
    <w:rsid w:val="003E588C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588C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aliases w:val="Custom PolyLog Car"/>
    <w:basedOn w:val="Policepardfaut"/>
    <w:link w:val="Titre1"/>
    <w:uiPriority w:val="9"/>
    <w:rsid w:val="00C7379A"/>
    <w:rPr>
      <w:rFonts w:ascii="Arial" w:eastAsiaTheme="majorEastAsia" w:hAnsi="Arial" w:cstheme="majorBidi"/>
      <w:b/>
      <w:bCs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E588C"/>
    <w:pPr>
      <w:spacing w:line="276" w:lineRule="auto"/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88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E588C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3E588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E588C"/>
    <w:rPr>
      <w:color w:val="0000FF" w:themeColor="hyperlink"/>
      <w:u w:val="single"/>
    </w:rPr>
  </w:style>
  <w:style w:type="paragraph" w:customStyle="1" w:styleId="Titrecustom">
    <w:name w:val="Titre custom"/>
    <w:basedOn w:val="Paragraphedeliste"/>
    <w:link w:val="TitrecustomCar"/>
    <w:qFormat/>
    <w:rsid w:val="00C7379A"/>
    <w:pPr>
      <w:numPr>
        <w:numId w:val="3"/>
      </w:numPr>
      <w:outlineLvl w:val="0"/>
    </w:pPr>
    <w:rPr>
      <w:rFonts w:cs="Arial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C7379A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B63C3-EBB7-4C72-AA0D-0F68C05C2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Kévin Poupon</cp:lastModifiedBy>
  <cp:revision>72</cp:revision>
  <dcterms:created xsi:type="dcterms:W3CDTF">2014-03-19T09:03:00Z</dcterms:created>
  <dcterms:modified xsi:type="dcterms:W3CDTF">2014-03-20T15:59:00Z</dcterms:modified>
</cp:coreProperties>
</file>