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36"/>
        </w:rPr>
        <w:t>Vehicle Model Classification Methodology</w:t>
      </w:r>
    </w:p>
    <w:p>
      <w:pPr>
        <w:spacing w:before="200"/>
        <w:jc w:val="center"/>
      </w:pPr>
      <w:r>
        <w:rPr>
          <w:color w:val="606060"/>
          <w:sz w:val="24"/>
        </w:rPr>
        <w:t>Arval Fleet Monitoring Dashboard  -  Technical Documentation</w:t>
      </w:r>
    </w:p>
    <w:p>
      <w:pPr>
        <w:jc w:val="center"/>
      </w:pPr>
      <w:r>
        <w:rPr>
          <w:color w:val="808080"/>
          <w:sz w:val="22"/>
        </w:rPr>
        <w:t>June 2026</w:t>
      </w:r>
    </w:p>
    <w:p>
      <w:r>
        <w:br w:type="page"/>
      </w:r>
    </w:p>
    <w:p>
      <w:pPr>
        <w:spacing w:before="400" w:after="120"/>
      </w:pPr>
      <w:r>
        <w:rPr>
          <w:b/>
          <w:color w:val="1F497D"/>
          <w:sz w:val="28"/>
        </w:rPr>
        <w:t>1. Introduction and Scope</w:t>
      </w:r>
    </w:p>
    <w:p>
      <w:pPr>
        <w:spacing w:after="120" w:line="280" w:lineRule="exact"/>
      </w:pPr>
      <w:r>
        <w:t>Within the Fleet Monitoring project, the NOVA fleet dataset uses an internal vehicle model naming convention (column CLASS_CATALOG) that does not directly correspond to the commercial model names used in market reference data. This document describes the methodology implemented to align both referentials and classify each fleet vehicle with its market model (MARKET_MODEL), body group (MARKET_BODY_GROUP), and segment (CDN_CLF_SEGMENT).</w:t>
      </w:r>
    </w:p>
    <w:p>
      <w:pPr>
        <w:spacing w:before="240" w:after="80"/>
      </w:pPr>
      <w:r>
        <w:rPr>
          <w:b/>
          <w:color w:val="2E74B5"/>
          <w:sz w:val="24"/>
        </w:rPr>
        <w:t>1.1  Analysis Scope</w:t>
      </w:r>
    </w:p>
    <w:p>
      <w:pPr>
        <w:spacing w:after="120" w:line="280" w:lineRule="exact"/>
      </w:pPr>
      <w:r>
        <w:t>The classification applies exclusively to passenger cars. Motorcycles and scooters are excluded from the matching scope, as their model nomenclature is structurally different and their volume in the Arval fleet does not warrant a dedicated treatment.</w:t>
      </w:r>
    </w:p>
    <w:p>
      <w:pPr>
        <w:pStyle w:val="ListBullet"/>
        <w:spacing w:after="40"/>
      </w:pPr>
      <w:r>
        <w:rPr>
          <w:b/>
        </w:rPr>
        <w:t xml:space="preserve">Filter applied: </w:t>
      </w:r>
      <w:r>
        <w:t>NOVA_ASSET_STATUS = "IN FLEET" and BIKE_OR_CAR = "CAR"</w:t>
      </w:r>
    </w:p>
    <w:p>
      <w:pPr>
        <w:pStyle w:val="ListBullet"/>
        <w:spacing w:after="40"/>
      </w:pPr>
      <w:r>
        <w:t>This filter ensures only active fleet vehicles are processed, reducing noise from cancelled orders or vehicles that have already left the fleet.</w:t>
      </w:r>
    </w:p>
    <w:p>
      <w:pPr>
        <w:spacing w:before="240" w:after="80"/>
      </w:pPr>
      <w:r>
        <w:rPr>
          <w:b/>
          <w:color w:val="2E74B5"/>
          <w:sz w:val="24"/>
        </w:rPr>
        <w:t>1.2  Country-by-Country Processing</w:t>
      </w:r>
    </w:p>
    <w:p>
      <w:pPr>
        <w:spacing w:after="120" w:line="280" w:lineRule="exact"/>
      </w:pPr>
      <w:r>
        <w:t>The process is executed on a country-by-country basis. Model naming conventions in NOVA vary by local market: the same vehicle may be referenced as "BERLINGO" in France and "BERLINGO VAN" in Spain. Processing each country separately preserves these local specificities and maximises the match rate at the local level before consolidating results into a single unified reference file (models.parquet).</w:t>
      </w:r>
    </w:p>
    <w:p>
      <w:pPr>
        <w:spacing w:before="400" w:after="120"/>
      </w:pPr>
      <w:r>
        <w:rPr>
          <w:b/>
          <w:color w:val="1F497D"/>
          <w:sz w:val="28"/>
        </w:rPr>
        <w:t>2. Model Extraction from NOVA</w:t>
      </w:r>
    </w:p>
    <w:p>
      <w:pPr>
        <w:spacing w:after="120" w:line="280" w:lineRule="exact"/>
      </w:pPr>
      <w:r>
        <w:t>The CLASS_CATALOG column contains a composite label in the format "MODEL_NAME/VARIANT YEAR" (e.g. "CLIO/CLIO IV 2013"). The model name is extracted as the first component before the "/" separator:</w:t>
      </w:r>
    </w:p>
    <w:p>
      <w:pPr>
        <w:spacing w:after="120"/>
        <w:ind w:left="850"/>
      </w:pPr>
      <w:r>
        <w:rPr>
          <w:rFonts w:ascii="Courier New" w:hAnsi="Courier New"/>
          <w:sz w:val="20"/>
        </w:rPr>
        <w:t>MODEL = CLASS_CATALOG.split("/")[0].strip()</w:t>
      </w:r>
    </w:p>
    <w:p>
      <w:pPr>
        <w:spacing w:after="120" w:line="280" w:lineRule="exact"/>
      </w:pPr>
      <w:r>
        <w:t>Duplicate records are then removed on the key (BRAND_UPDATE, MODEL) to obtain a clean reference of all models present in the fleet.</w:t>
      </w:r>
    </w:p>
    <w:p>
      <w:pPr>
        <w:spacing w:before="400" w:after="120"/>
      </w:pPr>
      <w:r>
        <w:rPr>
          <w:b/>
          <w:color w:val="1F497D"/>
          <w:sz w:val="28"/>
        </w:rPr>
        <w:t>3. Matching with the Market Reference</w:t>
      </w:r>
    </w:p>
    <w:p>
      <w:pPr>
        <w:spacing w:after="120" w:line="280" w:lineRule="exact"/>
      </w:pPr>
      <w:r>
        <w:t>The market reference (market_dataset_europe.parquet) contains standardised commercial model names under the column "Sub Model Short". A fuzzy matching algorithm is applied to align NOVA models with this reference.</w:t>
      </w:r>
    </w:p>
    <w:p>
      <w:pPr>
        <w:spacing w:before="240" w:after="80"/>
      </w:pPr>
      <w:r>
        <w:rPr>
          <w:b/>
          <w:color w:val="2E74B5"/>
          <w:sz w:val="24"/>
        </w:rPr>
        <w:t>3.1  Text Normalisation</w:t>
      </w:r>
    </w:p>
    <w:p>
      <w:pPr>
        <w:spacing w:after="120" w:line="280" w:lineRule="exact"/>
      </w:pPr>
      <w:r>
        <w:t>Before any comparison, labels from both sources are normalised through the same sequence of transformations to ensure robust comparisons regardless of local formatting conventions:</w:t>
      </w:r>
    </w:p>
    <w:p>
      <w:pPr>
        <w:pStyle w:val="ListBullet"/>
        <w:spacing w:after="40"/>
      </w:pPr>
      <w:r>
        <w:t>Replace separators (-, _, /) with spaces</w:t>
      </w:r>
    </w:p>
    <w:p>
      <w:pPr>
        <w:pStyle w:val="ListBullet"/>
        <w:spacing w:after="40"/>
      </w:pPr>
      <w:r>
        <w:t>Convert to uppercase</w:t>
      </w:r>
    </w:p>
    <w:p>
      <w:pPr>
        <w:pStyle w:val="ListBullet"/>
        <w:spacing w:after="40"/>
      </w:pPr>
      <w:r>
        <w:t>Remove accents and diacritics (unicode NFKD decomposition)</w:t>
      </w:r>
    </w:p>
    <w:p>
      <w:pPr>
        <w:pStyle w:val="ListBullet"/>
        <w:spacing w:after="40"/>
      </w:pPr>
      <w:r>
        <w:t>Remove all non-alphanumeric characters</w:t>
      </w:r>
    </w:p>
    <w:p>
      <w:pPr>
        <w:pStyle w:val="ListBullet"/>
        <w:spacing w:after="40"/>
      </w:pPr>
      <w:r>
        <w:t>Collapse multiple spaces into one</w:t>
      </w:r>
    </w:p>
    <w:p>
      <w:pPr>
        <w:spacing w:before="240" w:after="80"/>
      </w:pPr>
      <w:r>
        <w:rPr>
          <w:b/>
          <w:color w:val="2E74B5"/>
          <w:sz w:val="24"/>
        </w:rPr>
        <w:t>3.2  Scoring Algorithm</w:t>
      </w:r>
    </w:p>
    <w:p>
      <w:pPr>
        <w:spacing w:after="120" w:line="280" w:lineRule="exact"/>
      </w:pPr>
      <w:r>
        <w:t>For each pair (NOVA model, market model) belonging to the same brand, a similarity score is computed as follows. The score starts at 0 and accumulates points from the rules below:</w:t>
      </w:r>
    </w:p>
    <w:p>
      <w:pPr>
        <w:spacing w:before="160" w:after="60"/>
      </w:pPr>
      <w:r>
        <w:rPr>
          <w:b/>
          <w:color w:val="404040"/>
          <w:sz w:val="22"/>
        </w:rPr>
        <w:t>Exact match</w:t>
      </w:r>
    </w:p>
    <w:p>
      <w:pPr>
        <w:spacing w:after="80" w:line="280" w:lineRule="exact"/>
      </w:pPr>
      <w:r>
        <w:t>If the two normalised model strings are exactly identical, +100 points are added immediately.</w:t>
      </w:r>
    </w:p>
    <w:p>
      <w:pPr>
        <w:spacing w:after="120"/>
        <w:ind w:left="850"/>
      </w:pPr>
      <w:r>
        <w:rPr>
          <w:rFonts w:ascii="Courier New" w:hAnsi="Courier New"/>
          <w:sz w:val="20"/>
        </w:rPr>
        <w:t>if model_1 == model_2:  score += 100</w:t>
      </w:r>
    </w:p>
    <w:p>
      <w:pPr>
        <w:spacing w:before="160" w:after="60"/>
      </w:pPr>
      <w:r>
        <w:rPr>
          <w:b/>
          <w:color w:val="404040"/>
          <w:sz w:val="22"/>
        </w:rPr>
        <w:t>Token-level scoring (common words)</w:t>
      </w:r>
    </w:p>
    <w:p>
      <w:pPr>
        <w:spacing w:after="80" w:line="280" w:lineRule="exact"/>
      </w:pPr>
      <w:r>
        <w:t>The normalised strings are split into tokens (words). For each token found in both models, the following rules apply in order:</w:t>
      </w:r>
    </w:p>
    <w:p>
      <w:pPr>
        <w:pStyle w:val="ListBullet"/>
        <w:spacing w:after="40"/>
      </w:pPr>
      <w:r>
        <w:rPr>
          <w:b/>
        </w:rPr>
        <w:t xml:space="preserve">Weak tokens </w:t>
      </w:r>
      <w:r>
        <w:t>(CLASS, SERIES, SERIE, MODEL, NEW, PHASE, TYPE, MY): these generic words carry no discriminating information and are ignored -- no points added.</w:t>
      </w:r>
    </w:p>
    <w:p>
      <w:pPr>
        <w:pStyle w:val="ListBullet"/>
        <w:spacing w:after="40"/>
      </w:pPr>
      <w:r>
        <w:rPr>
          <w:b/>
        </w:rPr>
        <w:t xml:space="preserve">Digit-only tokens: </w:t>
      </w:r>
      <w:r/>
    </w:p>
    <w:p>
      <w:pPr>
        <w:pStyle w:val="ListBullet2"/>
        <w:spacing w:after="40"/>
      </w:pPr>
      <w:r>
        <w:rPr>
          <w:b/>
        </w:rPr>
        <w:t xml:space="preserve">  Strong numeric token </w:t>
      </w:r>
      <w:r>
        <w:t>(matches patterns such as Q5, X3, or 3-4 digit numbers like 320, 2008): +15 points.</w:t>
      </w:r>
    </w:p>
    <w:p>
      <w:pPr>
        <w:pStyle w:val="ListBullet2"/>
        <w:spacing w:after="40"/>
      </w:pPr>
      <w:r>
        <w:rPr>
          <w:b/>
        </w:rPr>
        <w:t xml:space="preserve">  Simple number </w:t>
      </w:r>
      <w:r>
        <w:t>(e.g. 50): +1 point.</w:t>
      </w:r>
    </w:p>
    <w:p>
      <w:pPr>
        <w:pStyle w:val="ListBullet"/>
        <w:spacing w:after="40"/>
      </w:pPr>
      <w:r>
        <w:rPr>
          <w:b/>
        </w:rPr>
        <w:t xml:space="preserve">Mixed alphanumeric token </w:t>
      </w:r>
      <w:r>
        <w:t>(contains both letters and digits, e.g. A180, E200): +15 points.</w:t>
      </w:r>
    </w:p>
    <w:p>
      <w:pPr>
        <w:pStyle w:val="ListBullet"/>
        <w:spacing w:after="40"/>
      </w:pPr>
      <w:r>
        <w:rPr>
          <w:b/>
        </w:rPr>
        <w:t xml:space="preserve">Standard alphabetic word </w:t>
      </w:r>
      <w:r>
        <w:t>(e.g. CLIO, GOLF): +10 points.</w:t>
      </w:r>
    </w:p>
    <w:p>
      <w:pPr>
        <w:spacing w:before="160" w:after="60"/>
      </w:pPr>
      <w:r>
        <w:rPr>
          <w:b/>
          <w:color w:val="404040"/>
          <w:sz w:val="22"/>
        </w:rPr>
        <w:t>Substring inclusion</w:t>
      </w:r>
    </w:p>
    <w:p>
      <w:pPr>
        <w:spacing w:after="80" w:line="280" w:lineRule="exact"/>
      </w:pPr>
      <w:r>
        <w:t>If the normalised text of the market model (model 2) is contained within the normalised text of the NOVA model (model 1), and its length is greater than 2 characters, +20 points are added.</w:t>
      </w:r>
    </w:p>
    <w:p>
      <w:pPr>
        <w:spacing w:before="160" w:after="60"/>
      </w:pPr>
      <w:r>
        <w:rPr>
          <w:b/>
          <w:color w:val="404040"/>
          <w:sz w:val="22"/>
        </w:rPr>
        <w:t>No-overlap penalty</w:t>
      </w:r>
    </w:p>
    <w:p>
      <w:pPr>
        <w:spacing w:after="80" w:line="280" w:lineRule="exact"/>
      </w:pPr>
      <w:r>
        <w:t>If the two models share no common tokens at all (empty intersection), 20 points are subtracted from the score (score -= 20). This penalises completely unrelated pairs that might otherwise score on substring inclusion alone.</w:t>
      </w:r>
    </w:p>
    <w:p>
      <w:pPr>
        <w:spacing w:before="160" w:after="60"/>
      </w:pPr>
      <w:r>
        <w:rPr>
          <w:b/>
          <w:color w:val="404040"/>
          <w:sz w:val="22"/>
        </w:rPr>
        <w:t>Selection and threshold</w:t>
      </w:r>
    </w:p>
    <w:p>
      <w:pPr>
        <w:spacing w:after="120" w:line="280" w:lineRule="exact"/>
      </w:pPr>
      <w:r>
        <w:t>For each NOVA model, the score is computed against all candidate models of the same brand in the market reference. The candidate with the highest score is retained as the best match. A minimum score of 10 is required to validate the match:</w:t>
      </w:r>
    </w:p>
    <w:p>
      <w:pPr>
        <w:pStyle w:val="ListBullet"/>
        <w:spacing w:after="40"/>
      </w:pPr>
      <w:r>
        <w:rPr>
          <w:b/>
        </w:rPr>
        <w:t xml:space="preserve">Score &gt;= 10: </w:t>
      </w:r>
      <w:r>
        <w:t>the match is accepted; MARKET_MODEL and the associated score are stored.</w:t>
      </w:r>
    </w:p>
    <w:p>
      <w:pPr>
        <w:pStyle w:val="ListBullet"/>
        <w:spacing w:after="40"/>
      </w:pPr>
      <w:r>
        <w:rPr>
          <w:b/>
        </w:rPr>
        <w:t xml:space="preserve">Score &lt; 10: </w:t>
      </w:r>
      <w:r>
        <w:t>no reliable match -- MARKET_MODEL is set to NULL rather than introducing an incorrect correspondence.</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2E74B5"/>
          </w:tcPr>
          <w:p>
            <w:r>
              <w:rPr>
                <w:b/>
                <w:color w:val="FFFFFF"/>
                <w:sz w:val="20"/>
              </w:rPr>
              <w:t>Scoring Rule</w:t>
            </w:r>
          </w:p>
        </w:tc>
        <w:tc>
          <w:tcPr>
            <w:tcW w:type="dxa" w:w="4419"/>
            <w:shd w:val="clear" w:color="auto" w:fill="2E74B5"/>
          </w:tcPr>
          <w:p>
            <w:r>
              <w:rPr>
                <w:b/>
                <w:color w:val="FFFFFF"/>
                <w:sz w:val="20"/>
              </w:rPr>
              <w:t>Points</w:t>
            </w:r>
          </w:p>
        </w:tc>
      </w:tr>
      <w:tr>
        <w:tc>
          <w:tcPr>
            <w:tcW w:type="dxa" w:w="4419"/>
            <w:shd w:val="clear" w:color="auto" w:fill="EBF3FB"/>
          </w:tcPr>
          <w:p>
            <w:r>
              <w:rPr>
                <w:sz w:val="20"/>
              </w:rPr>
              <w:t>Exact match (normalised strings identical)</w:t>
            </w:r>
          </w:p>
        </w:tc>
        <w:tc>
          <w:tcPr>
            <w:tcW w:type="dxa" w:w="4419"/>
            <w:shd w:val="clear" w:color="auto" w:fill="EBF3FB"/>
          </w:tcPr>
          <w:p>
            <w:r>
              <w:rPr>
                <w:sz w:val="20"/>
              </w:rPr>
              <w:t>+100</w:t>
            </w:r>
          </w:p>
        </w:tc>
      </w:tr>
      <w:tr>
        <w:tc>
          <w:tcPr>
            <w:tcW w:type="dxa" w:w="4419"/>
          </w:tcPr>
          <w:p>
            <w:r>
              <w:rPr>
                <w:sz w:val="20"/>
              </w:rPr>
              <w:t>Strong numeric token in common (e.g. 320, Q5)</w:t>
            </w:r>
          </w:p>
        </w:tc>
        <w:tc>
          <w:tcPr>
            <w:tcW w:type="dxa" w:w="4419"/>
          </w:tcPr>
          <w:p>
            <w:r>
              <w:rPr>
                <w:sz w:val="20"/>
              </w:rPr>
              <w:t>+15 per token</w:t>
            </w:r>
          </w:p>
        </w:tc>
      </w:tr>
      <w:tr>
        <w:tc>
          <w:tcPr>
            <w:tcW w:type="dxa" w:w="4419"/>
            <w:shd w:val="clear" w:color="auto" w:fill="EBF3FB"/>
          </w:tcPr>
          <w:p>
            <w:r>
              <w:rPr>
                <w:sz w:val="20"/>
              </w:rPr>
              <w:t>Mixed alphanumeric token in common (e.g. A180)</w:t>
            </w:r>
          </w:p>
        </w:tc>
        <w:tc>
          <w:tcPr>
            <w:tcW w:type="dxa" w:w="4419"/>
            <w:shd w:val="clear" w:color="auto" w:fill="EBF3FB"/>
          </w:tcPr>
          <w:p>
            <w:r>
              <w:rPr>
                <w:sz w:val="20"/>
              </w:rPr>
              <w:t>+15 per token</w:t>
            </w:r>
          </w:p>
        </w:tc>
      </w:tr>
      <w:tr>
        <w:tc>
          <w:tcPr>
            <w:tcW w:type="dxa" w:w="4419"/>
          </w:tcPr>
          <w:p>
            <w:r>
              <w:rPr>
                <w:sz w:val="20"/>
              </w:rPr>
              <w:t>Standard alphabetic word in common (e.g. CLIO)</w:t>
            </w:r>
          </w:p>
        </w:tc>
        <w:tc>
          <w:tcPr>
            <w:tcW w:type="dxa" w:w="4419"/>
          </w:tcPr>
          <w:p>
            <w:r>
              <w:rPr>
                <w:sz w:val="20"/>
              </w:rPr>
              <w:t>+10 per token</w:t>
            </w:r>
          </w:p>
        </w:tc>
      </w:tr>
      <w:tr>
        <w:tc>
          <w:tcPr>
            <w:tcW w:type="dxa" w:w="4419"/>
            <w:shd w:val="clear" w:color="auto" w:fill="EBF3FB"/>
          </w:tcPr>
          <w:p>
            <w:r>
              <w:rPr>
                <w:sz w:val="20"/>
              </w:rPr>
              <w:t>Simple digit token in common (e.g. 50)</w:t>
            </w:r>
          </w:p>
        </w:tc>
        <w:tc>
          <w:tcPr>
            <w:tcW w:type="dxa" w:w="4419"/>
            <w:shd w:val="clear" w:color="auto" w:fill="EBF3FB"/>
          </w:tcPr>
          <w:p>
            <w:r>
              <w:rPr>
                <w:sz w:val="20"/>
              </w:rPr>
              <w:t>+1 per token</w:t>
            </w:r>
          </w:p>
        </w:tc>
      </w:tr>
      <w:tr>
        <w:tc>
          <w:tcPr>
            <w:tcW w:type="dxa" w:w="4419"/>
          </w:tcPr>
          <w:p>
            <w:r>
              <w:rPr>
                <w:sz w:val="20"/>
              </w:rPr>
              <w:t>Weak token in common (CLASS, SERIES, etc.)</w:t>
            </w:r>
          </w:p>
        </w:tc>
        <w:tc>
          <w:tcPr>
            <w:tcW w:type="dxa" w:w="4419"/>
          </w:tcPr>
          <w:p>
            <w:r>
              <w:rPr>
                <w:sz w:val="20"/>
              </w:rPr>
              <w:t>0 (ignored)</w:t>
            </w:r>
          </w:p>
        </w:tc>
      </w:tr>
      <w:tr>
        <w:tc>
          <w:tcPr>
            <w:tcW w:type="dxa" w:w="4419"/>
            <w:shd w:val="clear" w:color="auto" w:fill="EBF3FB"/>
          </w:tcPr>
          <w:p>
            <w:r>
              <w:rPr>
                <w:sz w:val="20"/>
              </w:rPr>
              <w:t>Market model string included in NOVA model</w:t>
            </w:r>
          </w:p>
        </w:tc>
        <w:tc>
          <w:tcPr>
            <w:tcW w:type="dxa" w:w="4419"/>
            <w:shd w:val="clear" w:color="auto" w:fill="EBF3FB"/>
          </w:tcPr>
          <w:p>
            <w:r>
              <w:rPr>
                <w:sz w:val="20"/>
              </w:rPr>
              <w:t>+20</w:t>
            </w:r>
          </w:p>
        </w:tc>
      </w:tr>
      <w:tr>
        <w:tc>
          <w:tcPr>
            <w:tcW w:type="dxa" w:w="4419"/>
          </w:tcPr>
          <w:p>
            <w:r>
              <w:rPr>
                <w:sz w:val="20"/>
              </w:rPr>
              <w:t>No common tokens at all</w:t>
            </w:r>
          </w:p>
        </w:tc>
        <w:tc>
          <w:tcPr>
            <w:tcW w:type="dxa" w:w="4419"/>
          </w:tcPr>
          <w:p>
            <w:r>
              <w:rPr>
                <w:sz w:val="20"/>
              </w:rPr>
              <w:t>-20 (penalty)</w:t>
            </w:r>
          </w:p>
        </w:tc>
      </w:tr>
    </w:tbl>
    <w:p/>
    <w:p>
      <w:pPr>
        <w:spacing w:before="240" w:after="80"/>
      </w:pPr>
      <w:r>
        <w:rPr>
          <w:b/>
          <w:color w:val="2E74B5"/>
          <w:sz w:val="24"/>
        </w:rPr>
        <w:t>3.3  Post-matching Enrichment</w:t>
      </w:r>
    </w:p>
    <w:p>
      <w:pPr>
        <w:spacing w:after="120" w:line="280" w:lineRule="exact"/>
      </w:pPr>
      <w:r>
        <w:t>Once the correspondence is established, the following columns are added to models.parquet by joining with market_dataset_europe.parquet:</w:t>
      </w:r>
    </w:p>
    <w:p>
      <w:pPr>
        <w:pStyle w:val="ListBullet"/>
        <w:spacing w:after="40"/>
      </w:pPr>
      <w:r>
        <w:rPr>
          <w:b/>
        </w:rPr>
        <w:t xml:space="preserve">MARKET_BODY_GROUP: </w:t>
      </w:r>
      <w:r>
        <w:t>commercial body group (SUV, SEDAN, HATCHBACK, PICKUP, ...)</w:t>
      </w:r>
    </w:p>
    <w:p>
      <w:pPr>
        <w:pStyle w:val="ListBullet"/>
        <w:spacing w:after="40"/>
      </w:pPr>
      <w:r>
        <w:rPr>
          <w:b/>
        </w:rPr>
        <w:t xml:space="preserve">CDN_CLF_BODY_TYPE: </w:t>
      </w:r>
      <w:r>
        <w:t>detailed body type, sourced directly from NOVA when available</w:t>
      </w:r>
    </w:p>
    <w:p>
      <w:pPr>
        <w:pStyle w:val="ListBullet"/>
        <w:spacing w:after="40"/>
      </w:pPr>
      <w:r>
        <w:rPr>
          <w:b/>
        </w:rPr>
        <w:t xml:space="preserve">CDN_CLF_SEGMENT: </w:t>
      </w:r>
      <w:r>
        <w:t>market segment (B, C, D, LCV, ...), sourced directly from NOVA when available</w:t>
      </w:r>
    </w:p>
    <w:p>
      <w:pPr>
        <w:spacing w:before="400" w:after="120"/>
      </w:pPr>
      <w:r>
        <w:rPr>
          <w:b/>
          <w:color w:val="1F497D"/>
          <w:sz w:val="28"/>
        </w:rPr>
        <w:t>4. Classification Results</w:t>
      </w:r>
    </w:p>
    <w:p>
      <w:pPr>
        <w:spacing w:before="240" w:after="80"/>
      </w:pPr>
      <w:r>
        <w:rPr>
          <w:b/>
          <w:color w:val="2E74B5"/>
          <w:sz w:val="24"/>
        </w:rPr>
        <w:t>4.1  Unmatched Model Rate</w:t>
      </w:r>
    </w:p>
    <w:p>
      <w:pPr>
        <w:spacing w:after="120" w:line="280" w:lineRule="exact"/>
      </w:pPr>
      <w:r>
        <w:t>The table below shows, for each country, the percentage of fleet vehicles (IN FLEET, CAR) for which MARKET_MODEL remained NULL after applying the matching algorithm. BRAND_UPDATE and MODEL (extracted from NOVA) have a 100% fill rate -- information loss occurs only at the matching step.</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1F497D"/>
          </w:tcPr>
          <w:p>
            <w:r>
              <w:rPr>
                <w:b/>
                <w:color w:val="FFFFFF"/>
                <w:sz w:val="20"/>
              </w:rPr>
              <w:t>Country</w:t>
            </w:r>
          </w:p>
        </w:tc>
        <w:tc>
          <w:tcPr>
            <w:tcW w:type="dxa" w:w="4419"/>
            <w:shd w:val="clear" w:color="auto" w:fill="1F497D"/>
          </w:tcPr>
          <w:p>
            <w:r>
              <w:rPr>
                <w:b/>
                <w:color w:val="FFFFFF"/>
                <w:sz w:val="20"/>
              </w:rPr>
              <w:t>Missing MARKET_MODEL (%)</w:t>
            </w:r>
          </w:p>
        </w:tc>
      </w:tr>
      <w:tr>
        <w:tc>
          <w:tcPr>
            <w:tcW w:type="dxa" w:w="4419"/>
            <w:shd w:val="clear" w:color="auto" w:fill="EBF3FB"/>
          </w:tcPr>
          <w:p>
            <w:r>
              <w:rPr>
                <w:sz w:val="20"/>
              </w:rPr>
              <w:t>Belgium (BE)</w:t>
            </w:r>
          </w:p>
        </w:tc>
        <w:tc>
          <w:tcPr>
            <w:tcW w:type="dxa" w:w="4419"/>
            <w:shd w:val="clear" w:color="auto" w:fill="EBF3FB"/>
          </w:tcPr>
          <w:p>
            <w:r>
              <w:rPr>
                <w:sz w:val="20"/>
              </w:rPr>
              <w:t>0.96%</w:t>
            </w:r>
          </w:p>
        </w:tc>
      </w:tr>
      <w:tr>
        <w:tc>
          <w:tcPr>
            <w:tcW w:type="dxa" w:w="4419"/>
          </w:tcPr>
          <w:p>
            <w:r>
              <w:rPr>
                <w:sz w:val="20"/>
              </w:rPr>
              <w:t>Germany (DE)</w:t>
            </w:r>
          </w:p>
        </w:tc>
        <w:tc>
          <w:tcPr>
            <w:tcW w:type="dxa" w:w="4419"/>
          </w:tcPr>
          <w:p>
            <w:r>
              <w:rPr>
                <w:sz w:val="20"/>
              </w:rPr>
              <w:t>1.98%</w:t>
            </w:r>
          </w:p>
        </w:tc>
      </w:tr>
      <w:tr>
        <w:tc>
          <w:tcPr>
            <w:tcW w:type="dxa" w:w="4419"/>
            <w:shd w:val="clear" w:color="auto" w:fill="EBF3FB"/>
          </w:tcPr>
          <w:p>
            <w:r>
              <w:rPr>
                <w:sz w:val="20"/>
              </w:rPr>
              <w:t>Spain (ES)</w:t>
            </w:r>
          </w:p>
        </w:tc>
        <w:tc>
          <w:tcPr>
            <w:tcW w:type="dxa" w:w="4419"/>
            <w:shd w:val="clear" w:color="auto" w:fill="EBF3FB"/>
          </w:tcPr>
          <w:p>
            <w:r>
              <w:rPr>
                <w:sz w:val="20"/>
              </w:rPr>
              <w:t>0.24%</w:t>
            </w:r>
          </w:p>
        </w:tc>
      </w:tr>
      <w:tr>
        <w:tc>
          <w:tcPr>
            <w:tcW w:type="dxa" w:w="4419"/>
          </w:tcPr>
          <w:p>
            <w:r>
              <w:rPr>
                <w:sz w:val="20"/>
              </w:rPr>
              <w:t>Italy (IT)</w:t>
            </w:r>
          </w:p>
        </w:tc>
        <w:tc>
          <w:tcPr>
            <w:tcW w:type="dxa" w:w="4419"/>
          </w:tcPr>
          <w:p>
            <w:r>
              <w:rPr>
                <w:sz w:val="20"/>
              </w:rPr>
              <w:t>0.45%</w:t>
            </w:r>
          </w:p>
        </w:tc>
      </w:tr>
      <w:tr>
        <w:tc>
          <w:tcPr>
            <w:tcW w:type="dxa" w:w="4419"/>
            <w:shd w:val="clear" w:color="auto" w:fill="EBF3FB"/>
          </w:tcPr>
          <w:p>
            <w:r>
              <w:rPr>
                <w:sz w:val="20"/>
              </w:rPr>
              <w:t>Luxembourg (LU)</w:t>
            </w:r>
          </w:p>
        </w:tc>
        <w:tc>
          <w:tcPr>
            <w:tcW w:type="dxa" w:w="4419"/>
            <w:shd w:val="clear" w:color="auto" w:fill="EBF3FB"/>
          </w:tcPr>
          <w:p>
            <w:r>
              <w:rPr>
                <w:sz w:val="20"/>
              </w:rPr>
              <w:t>0.62%</w:t>
            </w:r>
          </w:p>
        </w:tc>
      </w:tr>
      <w:tr>
        <w:tc>
          <w:tcPr>
            <w:tcW w:type="dxa" w:w="4419"/>
          </w:tcPr>
          <w:p>
            <w:r>
              <w:rPr>
                <w:sz w:val="20"/>
              </w:rPr>
              <w:t>Netherlands (NL)</w:t>
            </w:r>
          </w:p>
        </w:tc>
        <w:tc>
          <w:tcPr>
            <w:tcW w:type="dxa" w:w="4419"/>
          </w:tcPr>
          <w:p>
            <w:r>
              <w:rPr>
                <w:sz w:val="20"/>
              </w:rPr>
              <w:t>1.95%</w:t>
            </w:r>
          </w:p>
        </w:tc>
      </w:tr>
      <w:tr>
        <w:tc>
          <w:tcPr>
            <w:tcW w:type="dxa" w:w="4419"/>
            <w:shd w:val="clear" w:color="auto" w:fill="EBF3FB"/>
          </w:tcPr>
          <w:p>
            <w:r>
              <w:rPr>
                <w:sz w:val="20"/>
              </w:rPr>
              <w:t>Poland (PL)</w:t>
            </w:r>
          </w:p>
        </w:tc>
        <w:tc>
          <w:tcPr>
            <w:tcW w:type="dxa" w:w="4419"/>
            <w:shd w:val="clear" w:color="auto" w:fill="EBF3FB"/>
          </w:tcPr>
          <w:p>
            <w:r>
              <w:rPr>
                <w:sz w:val="20"/>
              </w:rPr>
              <w:t>0.25%</w:t>
            </w:r>
          </w:p>
        </w:tc>
      </w:tr>
      <w:tr>
        <w:tc>
          <w:tcPr>
            <w:tcW w:type="dxa" w:w="4419"/>
          </w:tcPr>
          <w:p>
            <w:r>
              <w:rPr>
                <w:sz w:val="20"/>
              </w:rPr>
              <w:t>United Kingdom (UK)</w:t>
            </w:r>
          </w:p>
        </w:tc>
        <w:tc>
          <w:tcPr>
            <w:tcW w:type="dxa" w:w="4419"/>
          </w:tcPr>
          <w:p>
            <w:r>
              <w:rPr>
                <w:sz w:val="20"/>
              </w:rPr>
              <w:t>0.96%</w:t>
            </w:r>
          </w:p>
        </w:tc>
      </w:tr>
    </w:tbl>
    <w:p/>
    <w:p>
      <w:pPr>
        <w:spacing w:after="120" w:line="280" w:lineRule="exact"/>
      </w:pPr>
      <w:r>
        <w:t>The average unmatched model rate is approximately 0.9%, with a maximum of 1.98% observed in Germany. These figures reflect differences in naming conventions between NOVA operational data and the market reference, which are more pronounced in markets where local denomination practices diverge further from standardised commercial labels.</w:t>
      </w:r>
    </w:p>
    <w:p>
      <w:pPr>
        <w:spacing w:after="120" w:line="280" w:lineRule="exact"/>
      </w:pPr>
      <w:r>
        <w:t>It is worth noting that BRAND_UPDATE and MODEL (raw column extracted from CLASS_CATALOG) show 0% missing values across all countries: any information loss is therefore entirely attributable to the matching step, not to the quality of the NOVA source data.</w:t>
      </w:r>
    </w:p>
    <w:p>
      <w:pPr>
        <w:spacing w:before="240" w:after="80"/>
      </w:pPr>
      <w:r>
        <w:rPr>
          <w:b/>
          <w:color w:val="2E74B5"/>
          <w:sz w:val="24"/>
        </w:rPr>
        <w:t>4.2  Misclassified Models</w:t>
      </w:r>
    </w:p>
    <w:p>
      <w:pPr>
        <w:spacing w:after="120" w:line="280" w:lineRule="exact"/>
      </w:pPr>
      <w:r>
        <w:t>Beyond unmatched models (NULL), a very small proportion of correspondences may be incorrect (false positives). This phenomenon is difficult to quantify precisely without an exhaustive manual review, but qualitative analyses conducted on several countries suggest it remains marginal. The most common cases involve homonymous models belonging to different brands, or closely related commercial variants (e.g. "308" and "308 SW" by Peugeot).</w:t>
      </w:r>
    </w:p>
    <w:p>
      <w:pPr>
        <w:spacing w:after="120" w:line="280" w:lineRule="exact"/>
      </w:pPr>
      <w:r>
        <w:t>The threshold of 10 points was calibrated to maximise precision at the expense of recall: it is preferable to leave a model unmatched than to introduce an incorrect correspondence that would distort model concentration analyses (View 4 -- Top 10 EOC).</w:t>
      </w:r>
    </w:p>
    <w:p>
      <w:pPr>
        <w:spacing w:before="400" w:after="120"/>
      </w:pPr>
      <w:r>
        <w:rPr>
          <w:b/>
          <w:color w:val="1F497D"/>
          <w:sz w:val="28"/>
        </w:rPr>
        <w:t>5. Future Approaches for Unmatched Models</w:t>
      </w:r>
    </w:p>
    <w:p>
      <w:pPr>
        <w:spacing w:after="120" w:line="280" w:lineRule="exact"/>
      </w:pPr>
      <w:r>
        <w:t>For the remaining percentage of vehicles whose model cannot be identified through the scoring algorithm, two complementary approaches are being considered. Both leverage the columns available in NOVA as classification features.</w:t>
      </w:r>
    </w:p>
    <w:p>
      <w:pPr>
        <w:spacing w:before="240" w:after="80"/>
      </w:pPr>
      <w:r>
        <w:rPr>
          <w:b/>
          <w:color w:val="2E74B5"/>
          <w:sz w:val="24"/>
        </w:rPr>
        <w:t>5.1  Available Features</w:t>
      </w:r>
    </w:p>
    <w:p>
      <w:pPr>
        <w:spacing w:after="120" w:line="280" w:lineRule="exact"/>
      </w:pPr>
      <w:r>
        <w:t>The following columns form the feature basis for both approaches:</w:t>
      </w:r>
    </w:p>
    <w:p>
      <w:pPr>
        <w:pStyle w:val="ListBullet"/>
        <w:spacing w:after="40"/>
      </w:pPr>
      <w:r>
        <w:rPr>
          <w:b/>
        </w:rPr>
        <w:t xml:space="preserve">BRAND_UPDATE: </w:t>
      </w:r>
      <w:r>
        <w:t>Vehicle brand -- strong identifier for constraining the classification scope to same-brand candidates</w:t>
      </w:r>
    </w:p>
    <w:p>
      <w:pPr>
        <w:pStyle w:val="ListBullet"/>
        <w:spacing w:after="40"/>
      </w:pPr>
      <w:r>
        <w:rPr>
          <w:b/>
        </w:rPr>
        <w:t xml:space="preserve">VEHICLE_CLASS: </w:t>
      </w:r>
      <w:r>
        <w:t>Vehicle class (PV, LCV)</w:t>
      </w:r>
    </w:p>
    <w:p>
      <w:pPr>
        <w:pStyle w:val="ListBullet"/>
        <w:spacing w:after="40"/>
      </w:pPr>
      <w:r>
        <w:rPr>
          <w:b/>
        </w:rPr>
        <w:t xml:space="preserve">CLS_VEHICLE_TYPE: </w:t>
      </w:r>
      <w:r>
        <w:t>Vehicle type according to Arval internal classification</w:t>
      </w:r>
    </w:p>
    <w:p>
      <w:pPr>
        <w:pStyle w:val="ListBullet"/>
        <w:spacing w:after="40"/>
      </w:pPr>
      <w:r>
        <w:rPr>
          <w:b/>
        </w:rPr>
        <w:t xml:space="preserve">VEHICLE_MODEL: </w:t>
      </w:r>
      <w:r>
        <w:t>Model label in the NOVA nomenclature</w:t>
      </w:r>
    </w:p>
    <w:p>
      <w:pPr>
        <w:pStyle w:val="ListBullet"/>
        <w:spacing w:after="40"/>
      </w:pPr>
      <w:r>
        <w:rPr>
          <w:b/>
        </w:rPr>
        <w:t xml:space="preserve">CLASS_CATALOG: </w:t>
      </w:r>
      <w:r>
        <w:t>Full composite label including variant and model year</w:t>
      </w:r>
    </w:p>
    <w:p>
      <w:pPr>
        <w:pStyle w:val="ListBullet"/>
        <w:spacing w:after="40"/>
      </w:pPr>
      <w:r>
        <w:rPr>
          <w:b/>
        </w:rPr>
        <w:t xml:space="preserve">POWER_CATEGORY: </w:t>
      </w:r>
      <w:r>
        <w:t>Energy category (BEV, HEV, DIESEL, PETROL, ...)</w:t>
      </w:r>
    </w:p>
    <w:p>
      <w:pPr>
        <w:pStyle w:val="ListBullet"/>
        <w:spacing w:after="40"/>
      </w:pPr>
      <w:r>
        <w:rPr>
          <w:b/>
        </w:rPr>
        <w:t xml:space="preserve">EMPTY_WEIGHT: </w:t>
      </w:r>
      <w:r>
        <w:t>Kerb weight in kg -- discriminating signal for LCV / SUV identification</w:t>
      </w:r>
    </w:p>
    <w:p>
      <w:pPr>
        <w:pStyle w:val="ListBullet"/>
        <w:spacing w:after="40"/>
      </w:pPr>
      <w:r>
        <w:rPr>
          <w:b/>
        </w:rPr>
        <w:t xml:space="preserve">VA_LENGTH: </w:t>
      </w:r>
      <w:r>
        <w:t>Vehicle length in mm -- proxy for market segment (A/B/C/D/E)</w:t>
      </w:r>
    </w:p>
    <w:p>
      <w:pPr>
        <w:spacing w:before="240" w:after="80"/>
      </w:pPr>
      <w:r>
        <w:rPr>
          <w:b/>
          <w:color w:val="2E74B5"/>
          <w:sz w:val="24"/>
        </w:rPr>
        <w:t>5.2  NLP Approach</w:t>
      </w:r>
    </w:p>
    <w:p>
      <w:pPr>
        <w:spacing w:after="120" w:line="280" w:lineRule="exact"/>
      </w:pPr>
      <w:r>
        <w:t>The textual columns (CLASS_CATALOG, VEHICLE_MODEL) carry rich semantic information. An NLP approach consists of vectorising these labels (TF-IDF or sentence embeddings) and identifying the closest market model in the resulting vector space. This method is particularly suited to cases where the scoring algorithm failed due to abbreviations or local reformulations not covered by token-based rules.</w:t>
      </w:r>
    </w:p>
    <w:p>
      <w:pPr>
        <w:spacing w:before="240" w:after="80"/>
      </w:pPr>
      <w:r>
        <w:rPr>
          <w:b/>
          <w:color w:val="2E74B5"/>
          <w:sz w:val="24"/>
        </w:rPr>
        <w:t>5.3  Classical ML Approach -- XGBoost</w:t>
      </w:r>
    </w:p>
    <w:p>
      <w:pPr>
        <w:spacing w:after="120" w:line="280" w:lineRule="exact"/>
      </w:pPr>
      <w:r>
        <w:t>An XGBoost classifier can be trained on correctly matched models (which form the labelled training set) to predict the MARKET_MODEL class for unmatched vehicles. Numerical features (EMPTY_WEIGHT, VA_LENGTH) complement encoded textual features, providing robust segmentation signals that are resilient to nomenclature noise.</w:t>
      </w:r>
    </w:p>
    <w:p>
      <w:pPr>
        <w:spacing w:after="120" w:line="280" w:lineRule="exact"/>
      </w:pPr>
      <w:r>
        <w:t>XGBoost is well-suited to this use case: it handles missing feature values natively, is not sensitive to feature scale, and produces confidence scores that can be used to distinguish reliable predictions from ambiguous cases.</w:t>
      </w:r>
    </w:p>
    <w:p>
      <w:pPr>
        <w:spacing w:after="120" w:line="280" w:lineRule="exact"/>
      </w:pPr>
      <w:r>
        <w:t>In both approaches, predictions are constrained by brand (BRAND_UPDATE): a predicted model can only be assigned to a vehicle of the same brand, substantially narrowing the classification space and reducing the risk of cross-brand errors.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