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b/>
          <w:color w:val="215868"/>
          <w:sz w:val="44"/>
        </w:rPr>
        <w:t>Arval Fleet Monitoring Dashboard</w:t>
      </w:r>
    </w:p>
    <w:p>
      <w:pPr>
        <w:jc w:val="center"/>
      </w:pPr>
      <w:r>
        <w:rPr>
          <w:rFonts w:ascii="Aptos" w:hAnsi="Aptos"/>
          <w:color w:val="505050"/>
          <w:sz w:val="26"/>
        </w:rPr>
        <w:t>Technical Documentation — KPI Methodology &amp; Data Logic</w:t>
      </w:r>
    </w:p>
    <w:p>
      <w:pPr>
        <w:jc w:val="center"/>
      </w:pPr>
      <w:r>
        <w:rPr>
          <w:rFonts w:ascii="Aptos" w:hAnsi="Aptos"/>
          <w:color w:val="808080"/>
          <w:sz w:val="22"/>
        </w:rPr>
        <w:t>June 2026</w:t>
      </w:r>
    </w:p>
    <w:p>
      <w:r>
        <w:br w:type="page"/>
      </w:r>
    </w:p>
    <w:p>
      <w:pPr>
        <w:spacing w:after="120" w:before="440"/>
      </w:pPr>
      <w:r>
        <w:rPr>
          <w:rFonts w:ascii="Aptos" w:hAnsi="Aptos"/>
          <w:b/>
          <w:color w:val="215868"/>
          <w:sz w:val="40"/>
        </w:rPr>
        <w:t>1.  Data Architecture and Loading</w:t>
      </w:r>
    </w:p>
    <w:p>
      <w:pPr>
        <w:spacing w:after="100" w:before="0" w:line="300" w:lineRule="exact"/>
      </w:pPr>
      <w:r>
        <w:rPr>
          <w:rFonts w:ascii="Aptos" w:hAnsi="Aptos"/>
          <w:color w:val="262626"/>
          <w:sz w:val="24"/>
        </w:rPr>
        <w:t>The dashboard is powered by NOVA fleet data stored as monthly parquet snapshots. Each file covers one country and one calendar month. Files are selected when the country matches the requested scope and the month falls within the configured date range. All selected files are combined into a single dataset before any KPI is computed.</w:t>
      </w:r>
    </w:p>
    <w:p>
      <w:pPr>
        <w:spacing w:after="80" w:before="240"/>
      </w:pPr>
      <w:r>
        <w:rPr>
          <w:rFonts w:ascii="Aptos" w:hAnsi="Aptos"/>
          <w:b/>
          <w:color w:val="378630"/>
          <w:sz w:val="32"/>
        </w:rPr>
        <w:t>A.  Snapshot structure (COB_DATE)</w:t>
      </w:r>
    </w:p>
    <w:p>
      <w:pPr>
        <w:spacing w:after="100" w:before="0" w:line="300" w:lineRule="exact"/>
      </w:pPr>
      <w:r>
        <w:rPr>
          <w:rFonts w:ascii="Aptos" w:hAnsi="Aptos"/>
          <w:color w:val="262626"/>
          <w:sz w:val="24"/>
        </w:rPr>
        <w:t>Every record carries a COB_DATE field — the close-of-business date on which that snapshot was taken. This is the date the record was observed in the fleet system. YEAR and MONTH are derived from COB_DATE and serve as the primary filtering dimensions for portfolio-level views (Views 1, 3, and 5).</w:t>
      </w:r>
    </w:p>
    <w:p>
      <w:pPr>
        <w:spacing w:after="80" w:before="240"/>
      </w:pPr>
      <w:r>
        <w:rPr>
          <w:rFonts w:ascii="Aptos" w:hAnsi="Aptos"/>
          <w:b/>
          <w:color w:val="378630"/>
          <w:sz w:val="32"/>
        </w:rPr>
        <w:t>B.  Contract end date resolution (CONTRACT_FINAL_END)</w:t>
      </w:r>
    </w:p>
    <w:p>
      <w:pPr>
        <w:spacing w:after="100" w:before="0" w:line="300" w:lineRule="exact"/>
      </w:pPr>
      <w:r>
        <w:rPr>
          <w:rFonts w:ascii="Aptos" w:hAnsi="Aptos"/>
          <w:color w:val="262626"/>
          <w:sz w:val="24"/>
        </w:rPr>
        <w:t>Contracts may be amended or extended over their lifetime. NOVA stores up to three distinct end-date fields per contract. CONTRACT_FINAL_END is computed as the latest (most recent) non-null value among:</w:t>
      </w:r>
    </w:p>
    <w:p>
      <w:pPr>
        <w:pStyle w:val="ListBullet"/>
        <w:spacing w:after="40"/>
      </w:pPr>
      <w:r>
        <w:rPr>
          <w:rFonts w:ascii="Aptos" w:hAnsi="Aptos"/>
          <w:b/>
          <w:sz w:val="24"/>
        </w:rPr>
        <w:t xml:space="preserve">CONTRACT_END_DATE_AMENDED — </w:t>
      </w:r>
      <w:r>
        <w:rPr>
          <w:rFonts w:ascii="Aptos" w:hAnsi="Aptos"/>
          <w:sz w:val="24"/>
        </w:rPr>
        <w:t>the most recent formal amendment of the end date. Highest priority.</w:t>
      </w:r>
    </w:p>
    <w:p>
      <w:pPr>
        <w:pStyle w:val="ListBullet"/>
        <w:spacing w:after="40"/>
      </w:pPr>
      <w:r>
        <w:rPr>
          <w:rFonts w:ascii="Aptos" w:hAnsi="Aptos"/>
          <w:b/>
          <w:sz w:val="24"/>
        </w:rPr>
        <w:t xml:space="preserve">EXTENSION_DATE — </w:t>
      </w:r>
      <w:r>
        <w:rPr>
          <w:rFonts w:ascii="Aptos" w:hAnsi="Aptos"/>
          <w:sz w:val="24"/>
        </w:rPr>
        <w:t>an extension granted beyond the original duration. Second priority.</w:t>
      </w:r>
    </w:p>
    <w:p>
      <w:pPr>
        <w:pStyle w:val="ListBullet"/>
        <w:spacing w:after="40"/>
      </w:pPr>
      <w:r>
        <w:rPr>
          <w:rFonts w:ascii="Aptos" w:hAnsi="Aptos"/>
          <w:b/>
          <w:sz w:val="24"/>
        </w:rPr>
        <w:t xml:space="preserve">CONTRACT_END_DATE — </w:t>
      </w:r>
      <w:r>
        <w:rPr>
          <w:rFonts w:ascii="Aptos" w:hAnsi="Aptos"/>
          <w:sz w:val="24"/>
        </w:rPr>
        <w:t>the original contractual end date. Fallback when neither amendment nor extension is present.</w:t>
      </w:r>
    </w:p>
    <w:p>
      <w:pPr>
        <w:spacing w:after="100" w:before="0" w:line="300" w:lineRule="exact"/>
      </w:pPr>
      <w:r>
        <w:rPr>
          <w:rFonts w:ascii="Aptos" w:hAnsi="Aptos"/>
          <w:color w:val="262626"/>
          <w:sz w:val="24"/>
        </w:rPr>
        <w:t>Taking the latest of these three ensures the effective end date always reflects the most current commitment on file. CONTRACT_FINAL_END is the sole date used in View 4.</w:t>
      </w:r>
    </w:p>
    <w:p>
      <w:pPr>
        <w:spacing w:after="80" w:before="240"/>
      </w:pPr>
      <w:r>
        <w:rPr>
          <w:rFonts w:ascii="Aptos" w:hAnsi="Aptos"/>
          <w:b/>
          <w:color w:val="378630"/>
          <w:sz w:val="32"/>
        </w:rPr>
        <w:t>C.  Additional date fields</w:t>
      </w:r>
    </w:p>
    <w:p>
      <w:pPr>
        <w:spacing w:after="100" w:before="0" w:line="300" w:lineRule="exact"/>
      </w:pPr>
      <w:r>
        <w:rPr>
          <w:rFonts w:ascii="Aptos" w:hAnsi="Aptos"/>
          <w:color w:val="262626"/>
          <w:sz w:val="24"/>
        </w:rPr>
        <w:t>Two further dates are available for production-oriented filtering (used in Views 1 and 2):</w:t>
      </w:r>
    </w:p>
    <w:p>
      <w:pPr>
        <w:pStyle w:val="ListBullet"/>
        <w:spacing w:after="40"/>
      </w:pPr>
      <w:r>
        <w:rPr>
          <w:rFonts w:ascii="Aptos" w:hAnsi="Aptos"/>
          <w:b/>
          <w:sz w:val="24"/>
        </w:rPr>
        <w:t xml:space="preserve">CONTRACT_START_DATE — </w:t>
      </w:r>
      <w:r>
        <w:rPr>
          <w:rFonts w:ascii="Aptos" w:hAnsi="Aptos"/>
          <w:sz w:val="24"/>
        </w:rPr>
        <w:t>the date the contract was officially activated.</w:t>
      </w:r>
    </w:p>
    <w:p>
      <w:pPr>
        <w:pStyle w:val="ListBullet"/>
        <w:spacing w:after="40"/>
      </w:pPr>
      <w:r>
        <w:rPr>
          <w:rFonts w:ascii="Aptos" w:hAnsi="Aptos"/>
          <w:b/>
          <w:sz w:val="24"/>
        </w:rPr>
        <w:t xml:space="preserve">DELIVERY_DATE — </w:t>
      </w:r>
      <w:r>
        <w:rPr>
          <w:rFonts w:ascii="Aptos" w:hAnsi="Aptos"/>
          <w:sz w:val="24"/>
        </w:rPr>
        <w:t>the date the vehicle was physically delivered to the lessee.</w:t>
      </w:r>
    </w:p>
    <w:p>
      <w:pPr>
        <w:spacing w:after="120" w:before="440"/>
      </w:pPr>
      <w:r>
        <w:rPr>
          <w:rFonts w:ascii="Aptos" w:hAnsi="Aptos"/>
          <w:b/>
          <w:color w:val="215868"/>
          <w:sz w:val="40"/>
        </w:rPr>
        <w:t>2.  Data Preparation</w:t>
      </w:r>
    </w:p>
    <w:p>
      <w:pPr>
        <w:spacing w:after="100" w:before="0" w:line="300" w:lineRule="exact"/>
      </w:pPr>
      <w:r>
        <w:rPr>
          <w:rFonts w:ascii="Aptos" w:hAnsi="Aptos"/>
          <w:color w:val="262626"/>
          <w:sz w:val="24"/>
        </w:rPr>
        <w:t>Before any KPI is calculated, the raw dataset goes through a preparation stage that enriches and standardises the data. The steps below are applied once per dataset load.</w:t>
      </w:r>
    </w:p>
    <w:p>
      <w:pPr>
        <w:spacing w:after="80" w:before="240"/>
      </w:pPr>
      <w:r>
        <w:rPr>
          <w:rFonts w:ascii="Aptos" w:hAnsi="Aptos"/>
          <w:b/>
          <w:color w:val="378630"/>
          <w:sz w:val="32"/>
        </w:rPr>
        <w:t>A.  Powertrain classification</w:t>
      </w:r>
    </w:p>
    <w:p>
      <w:pPr>
        <w:spacing w:after="100" w:before="0" w:line="300" w:lineRule="exact"/>
      </w:pPr>
      <w:r>
        <w:rPr>
          <w:rFonts w:ascii="Aptos" w:hAnsi="Aptos"/>
          <w:color w:val="262626"/>
          <w:sz w:val="24"/>
        </w:rPr>
        <w:t>The NOVA field POWER_CATEGORY contains the raw energy category declared by the market (e.g. DIESEL, PETROL, BEV, HEV, PHEV, MHEV). Three derived columns are built during preparation.</w:t>
      </w:r>
    </w:p>
    <w:p>
      <w:pPr>
        <w:spacing w:after="40" w:before="140"/>
      </w:pPr>
      <w:r>
        <w:rPr>
          <w:rFonts w:ascii="Aptos" w:hAnsi="Aptos"/>
          <w:b/>
          <w:color w:val="000000"/>
          <w:sz w:val="24"/>
        </w:rPr>
        <w:t>POWER_CATEGORY</w:t>
      </w:r>
    </w:p>
    <w:p>
      <w:pPr>
        <w:spacing w:after="100" w:before="0" w:line="300" w:lineRule="exact"/>
      </w:pPr>
      <w:r>
        <w:rPr>
          <w:rFonts w:ascii="Aptos" w:hAnsi="Aptos"/>
          <w:color w:val="262626"/>
          <w:sz w:val="24"/>
        </w:rPr>
        <w:t>The raw value as received from NOVA. The label "MHEV" without further qualification is replaced by "MHEV NOT IDENTIFIED" because a mild-hybrid can be either diesel or petrol, and the primary fuel information is needed to distinguish them.</w:t>
      </w:r>
    </w:p>
    <w:p>
      <w:pPr>
        <w:spacing w:after="40" w:before="140"/>
      </w:pPr>
      <w:r>
        <w:rPr>
          <w:rFonts w:ascii="Aptos" w:hAnsi="Aptos"/>
          <w:b/>
          <w:color w:val="000000"/>
          <w:sz w:val="24"/>
        </w:rPr>
        <w:t>POWER_CATEGORY_2  —  MHEV resolved by primary fuel</w:t>
      </w:r>
    </w:p>
    <w:p>
      <w:pPr>
        <w:spacing w:after="100" w:before="0" w:line="300" w:lineRule="exact"/>
      </w:pPr>
      <w:r>
        <w:rPr>
          <w:rFonts w:ascii="Aptos" w:hAnsi="Aptos"/>
          <w:color w:val="262626"/>
          <w:sz w:val="24"/>
        </w:rPr>
        <w:t>When a vehicle is flagged as MHEV, the primary fuel type is looked up from FUEL_TYPE2 (first attempt) then FUEL_TYPE (fallback). Country-specific translation rules convert local names — "GASOLINA" in Spain, "BENZINA" in Italy, "UNLEADED" in other markets — to the normalised label "PETROL". The result is "MHEV PETROL" or "MHEV DIESEL". If no fuel information is found, the record keeps "MHEV NOT IDENTIFIED". All other power categories remain unchanged. This column is the primary fuel dimension for Views 1 and 3.</w:t>
      </w:r>
    </w:p>
    <w:p>
      <w:pPr>
        <w:spacing w:after="40" w:before="140"/>
      </w:pPr>
      <w:r>
        <w:rPr>
          <w:rFonts w:ascii="Aptos" w:hAnsi="Aptos"/>
          <w:b/>
          <w:color w:val="000000"/>
          <w:sz w:val="24"/>
        </w:rPr>
        <w:t>POWER_CATEGORY_3  —  MHEV and PHEV with fuel suffix</w:t>
      </w:r>
    </w:p>
    <w:p>
      <w:pPr>
        <w:spacing w:after="100" w:before="0" w:line="300" w:lineRule="exact"/>
      </w:pPr>
      <w:r>
        <w:rPr>
          <w:rFonts w:ascii="Aptos" w:hAnsi="Aptos"/>
          <w:color w:val="262626"/>
          <w:sz w:val="24"/>
        </w:rPr>
        <w:t>A finer breakdown that appends a single-letter suffix to both MHEV and Plug-In Hybrid records: "-D" for diesel primary fuel and "-G" for petrol. Examples: "MHEV-D" (mild-hybrid diesel), "PHEV-G" (plug-in hybrid petrol). Records with no identifiable primary fuel remain "MHEV NOT IDENTIFIED". All other categories are unchanged. POWER_CATEGORY_3 is the fuel dimension for View 2.</w:t>
      </w:r>
    </w:p>
    <w:p>
      <w:pPr>
        <w:spacing w:after="80" w:before="240"/>
      </w:pPr>
      <w:r>
        <w:rPr>
          <w:rFonts w:ascii="Aptos" w:hAnsi="Aptos"/>
          <w:b/>
          <w:color w:val="378630"/>
          <w:sz w:val="32"/>
        </w:rPr>
        <w:t>B.  Model enrichment</w:t>
      </w:r>
    </w:p>
    <w:p>
      <w:pPr>
        <w:spacing w:after="100" w:before="0" w:line="300" w:lineRule="exact"/>
      </w:pPr>
      <w:r>
        <w:rPr>
          <w:rFonts w:ascii="Aptos" w:hAnsi="Aptos"/>
          <w:color w:val="262626"/>
          <w:sz w:val="24"/>
        </w:rPr>
        <w:t>Each vehicle carries a CLASS_CATALOG field containing the internal model nomenclature. The commercial market name (MARKET_MODEL) and body group (MARKET_BODY_GROUP) are derived by matching CLASS_CATALOG against a pre-built reference file (models.parquet) on the key (brand, model extracted from CLASS_CATALOG). This enrichment is required for View 3 (body group analysis) and View 4 (model-level EOC analysis).</w:t>
      </w:r>
    </w:p>
    <w:p>
      <w:pPr>
        <w:spacing w:after="80" w:before="240"/>
      </w:pPr>
      <w:r>
        <w:rPr>
          <w:rFonts w:ascii="Aptos" w:hAnsi="Aptos"/>
          <w:b/>
          <w:color w:val="378630"/>
          <w:sz w:val="32"/>
        </w:rPr>
        <w:t>C.  Text standardisation</w:t>
      </w:r>
    </w:p>
    <w:p>
      <w:pPr>
        <w:spacing w:after="100" w:before="0" w:line="300" w:lineRule="exact"/>
      </w:pPr>
      <w:r>
        <w:rPr>
          <w:rFonts w:ascii="Aptos" w:hAnsi="Aptos"/>
          <w:color w:val="262626"/>
          <w:sz w:val="24"/>
        </w:rPr>
        <w:t>Text fields (COUNTRY, NOVA_ASSET_STATUS, BIKE_OR_CAR, BRAND_UPDATE, OEM_UPDATE, CLS_VEHICLE_TYPE) are trimmed of leading and trailing spaces. All status and category values are compared in uppercase throughout the system.</w:t>
      </w:r>
    </w:p>
    <w:p>
      <w:pPr>
        <w:spacing w:after="120" w:before="440"/>
      </w:pPr>
      <w:r>
        <w:rPr>
          <w:rFonts w:ascii="Aptos" w:hAnsi="Aptos"/>
          <w:b/>
          <w:color w:val="215868"/>
          <w:sz w:val="40"/>
        </w:rPr>
        <w:t>3.  Unique Contract Key and Deduplication</w:t>
      </w:r>
    </w:p>
    <w:p>
      <w:pPr>
        <w:spacing w:after="100" w:before="0" w:line="300" w:lineRule="exact"/>
      </w:pPr>
      <w:r>
        <w:rPr>
          <w:rFonts w:ascii="Aptos" w:hAnsi="Aptos"/>
          <w:color w:val="262626"/>
          <w:sz w:val="24"/>
        </w:rPr>
        <w:t>NOVA snapshots are cumulative: the same active contract appears in every monthly snapshot as long as it remains in fleet. A contract present across 12 snapshots would be counted 12 times if raw rows were used. All volume and share calculations are therefore based on the count of distinct contracts, not row counts.</w:t>
      </w:r>
    </w:p>
    <w:p>
      <w:pPr>
        <w:spacing w:after="80" w:before="240"/>
      </w:pPr>
      <w:r>
        <w:rPr>
          <w:rFonts w:ascii="Aptos" w:hAnsi="Aptos"/>
          <w:b/>
          <w:color w:val="378630"/>
          <w:sz w:val="32"/>
        </w:rPr>
        <w:t>A.  Composite key definition</w:t>
      </w:r>
    </w:p>
    <w:p>
      <w:pPr>
        <w:spacing w:after="100" w:before="0" w:line="300" w:lineRule="exact"/>
      </w:pPr>
      <w:r>
        <w:rPr>
          <w:rFonts w:ascii="Aptos" w:hAnsi="Aptos"/>
          <w:color w:val="262626"/>
          <w:sz w:val="24"/>
        </w:rPr>
        <w:t>Each contract is uniquely identified by the combination of three fields:</w:t>
      </w:r>
    </w:p>
    <w:p>
      <w:pPr>
        <w:pStyle w:val="ListBullet"/>
        <w:spacing w:after="40"/>
      </w:pPr>
      <w:r>
        <w:rPr>
          <w:rFonts w:ascii="Aptos" w:hAnsi="Aptos"/>
          <w:b/>
          <w:sz w:val="24"/>
        </w:rPr>
        <w:t xml:space="preserve">ID_CONTRACT — </w:t>
      </w:r>
      <w:r>
        <w:rPr>
          <w:rFonts w:ascii="Aptos" w:hAnsi="Aptos"/>
          <w:sz w:val="24"/>
        </w:rPr>
        <w:t>the unique contract identifier.</w:t>
      </w:r>
    </w:p>
    <w:p>
      <w:pPr>
        <w:pStyle w:val="ListBullet"/>
        <w:spacing w:after="40"/>
      </w:pPr>
      <w:r>
        <w:rPr>
          <w:rFonts w:ascii="Aptos" w:hAnsi="Aptos"/>
          <w:b/>
          <w:sz w:val="24"/>
        </w:rPr>
        <w:t xml:space="preserve">VEHICLE_ID — </w:t>
      </w:r>
      <w:r>
        <w:rPr>
          <w:rFonts w:ascii="Aptos" w:hAnsi="Aptos"/>
          <w:sz w:val="24"/>
        </w:rPr>
        <w:t>the unique identifier of the vehicle attached to that contract.</w:t>
      </w:r>
    </w:p>
    <w:p>
      <w:pPr>
        <w:pStyle w:val="ListBullet"/>
        <w:spacing w:after="40"/>
      </w:pPr>
      <w:r>
        <w:rPr>
          <w:rFonts w:ascii="Aptos" w:hAnsi="Aptos"/>
          <w:b/>
          <w:sz w:val="24"/>
        </w:rPr>
        <w:t xml:space="preserve">ID_QUOTATION — </w:t>
      </w:r>
      <w:r>
        <w:rPr>
          <w:rFonts w:ascii="Aptos" w:hAnsi="Aptos"/>
          <w:sz w:val="24"/>
        </w:rPr>
        <w:t>the quotation number associated with the contract.</w:t>
      </w:r>
    </w:p>
    <w:p>
      <w:pPr>
        <w:spacing w:after="100" w:before="0" w:line="300" w:lineRule="exact"/>
      </w:pPr>
      <w:r>
        <w:rPr>
          <w:rFonts w:ascii="Aptos" w:hAnsi="Aptos"/>
          <w:color w:val="262626"/>
          <w:sz w:val="24"/>
        </w:rPr>
        <w:t>These three fields together constitute the contract key. Every count-based metric tallies the number of distinct contract keys in the filtered dataset, not the number of rows.</w:t>
      </w:r>
    </w:p>
    <w:p>
      <w:pPr>
        <w:spacing w:after="80" w:before="240"/>
      </w:pPr>
      <w:r>
        <w:rPr>
          <w:rFonts w:ascii="Aptos" w:hAnsi="Aptos"/>
          <w:b/>
          <w:color w:val="378630"/>
          <w:sz w:val="32"/>
        </w:rPr>
        <w:t>B.  How deduplication is applied</w:t>
      </w:r>
    </w:p>
    <w:p>
      <w:pPr>
        <w:spacing w:after="100" w:before="0" w:line="300" w:lineRule="exact"/>
      </w:pPr>
      <w:r>
        <w:rPr>
          <w:rFonts w:ascii="Aptos" w:hAnsi="Aptos"/>
          <w:color w:val="262626"/>
          <w:sz w:val="24"/>
        </w:rPr>
        <w:t>Before computing a KPI, the filtered subset is deduplicated on the three-field key. For ratio and share KPIs (diesel share, LTR distribution), the energy or duration value is retrieved once per contract key (first observed value), ensuring a single contract is never counted more than once in the numerator or denominator.</w:t>
      </w:r>
    </w:p>
    <w:p>
      <w:pPr>
        <w:spacing w:after="120" w:before="440"/>
      </w:pPr>
      <w:r>
        <w:rPr>
          <w:rFonts w:ascii="Aptos" w:hAnsi="Aptos"/>
          <w:b/>
          <w:color w:val="215868"/>
          <w:sz w:val="40"/>
        </w:rPr>
        <w:t>4.  Core Filtering Dimensions</w:t>
      </w:r>
    </w:p>
    <w:p>
      <w:pPr>
        <w:spacing w:after="80" w:before="240"/>
      </w:pPr>
      <w:r>
        <w:rPr>
          <w:rFonts w:ascii="Aptos" w:hAnsi="Aptos"/>
          <w:b/>
          <w:color w:val="378630"/>
          <w:sz w:val="32"/>
        </w:rPr>
        <w:t>A.  Asset status filtering</w:t>
      </w:r>
    </w:p>
    <w:p>
      <w:pPr>
        <w:spacing w:after="100" w:before="0" w:line="300" w:lineRule="exact"/>
      </w:pPr>
      <w:r>
        <w:rPr>
          <w:rFonts w:ascii="Aptos" w:hAnsi="Aptos"/>
          <w:color w:val="262626"/>
          <w:sz w:val="24"/>
        </w:rPr>
        <w:t>Every KPI accepts an asset status parameter that restricts the dataset to contracts in a specific lifecycle state. The matching rules are:</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215868"/>
          </w:tcPr>
          <w:p>
            <w:r>
              <w:rPr>
                <w:rFonts w:ascii="Aptos" w:hAnsi="Aptos"/>
                <w:b/>
                <w:color w:val="FFFFFF"/>
                <w:sz w:val="20"/>
              </w:rPr>
              <w:t>Status value</w:t>
            </w:r>
          </w:p>
        </w:tc>
        <w:tc>
          <w:tcPr>
            <w:tcW w:type="dxa" w:w="4419"/>
            <w:shd w:val="clear" w:color="auto" w:fill="215868"/>
          </w:tcPr>
          <w:p>
            <w:r>
              <w:rPr>
                <w:rFonts w:ascii="Aptos" w:hAnsi="Aptos"/>
                <w:b/>
                <w:color w:val="FFFFFF"/>
                <w:sz w:val="20"/>
              </w:rPr>
              <w:t>Matching rule on NOVA_ASSET_STATUS</w:t>
            </w:r>
          </w:p>
        </w:tc>
      </w:tr>
      <w:tr>
        <w:tc>
          <w:tcPr>
            <w:tcW w:type="dxa" w:w="4419"/>
            <w:shd w:val="clear" w:color="auto" w:fill="E8F4F2"/>
          </w:tcPr>
          <w:p>
            <w:r>
              <w:rPr>
                <w:rFonts w:ascii="Aptos" w:hAnsi="Aptos"/>
                <w:sz w:val="20"/>
              </w:rPr>
              <w:t>ALL</w:t>
            </w:r>
          </w:p>
        </w:tc>
        <w:tc>
          <w:tcPr>
            <w:tcW w:type="dxa" w:w="4419"/>
            <w:shd w:val="clear" w:color="auto" w:fill="E8F4F2"/>
          </w:tcPr>
          <w:p>
            <w:r>
              <w:rPr>
                <w:rFonts w:ascii="Aptos" w:hAnsi="Aptos"/>
                <w:sz w:val="20"/>
              </w:rPr>
              <w:t>No filter — all records included regardless of status.</w:t>
            </w:r>
          </w:p>
        </w:tc>
      </w:tr>
      <w:tr>
        <w:tc>
          <w:tcPr>
            <w:tcW w:type="dxa" w:w="4419"/>
          </w:tcPr>
          <w:p>
            <w:r>
              <w:rPr>
                <w:rFonts w:ascii="Aptos" w:hAnsi="Aptos"/>
                <w:sz w:val="20"/>
              </w:rPr>
              <w:t>IN FLEET</w:t>
            </w:r>
          </w:p>
        </w:tc>
        <w:tc>
          <w:tcPr>
            <w:tcW w:type="dxa" w:w="4419"/>
          </w:tcPr>
          <w:p>
            <w:r>
              <w:rPr>
                <w:rFonts w:ascii="Aptos" w:hAnsi="Aptos"/>
                <w:sz w:val="20"/>
              </w:rPr>
              <w:t>Exact match only: records where status equals "IN FLEET" exactly.</w:t>
            </w:r>
          </w:p>
        </w:tc>
      </w:tr>
      <w:tr>
        <w:tc>
          <w:tcPr>
            <w:tcW w:type="dxa" w:w="4419"/>
            <w:shd w:val="clear" w:color="auto" w:fill="E8F4F2"/>
          </w:tcPr>
          <w:p>
            <w:r>
              <w:rPr>
                <w:rFonts w:ascii="Aptos" w:hAnsi="Aptos"/>
                <w:sz w:val="20"/>
              </w:rPr>
              <w:t>ORDER</w:t>
            </w:r>
          </w:p>
        </w:tc>
        <w:tc>
          <w:tcPr>
            <w:tcW w:type="dxa" w:w="4419"/>
            <w:shd w:val="clear" w:color="auto" w:fill="E8F4F2"/>
          </w:tcPr>
          <w:p>
            <w:r>
              <w:rPr>
                <w:rFonts w:ascii="Aptos" w:hAnsi="Aptos"/>
                <w:sz w:val="20"/>
              </w:rPr>
              <w:t>Partial match: records whose status contains "ORDER" (includes "ORDER YTD").</w:t>
            </w:r>
          </w:p>
        </w:tc>
      </w:tr>
      <w:tr>
        <w:tc>
          <w:tcPr>
            <w:tcW w:type="dxa" w:w="4419"/>
          </w:tcPr>
          <w:p>
            <w:r>
              <w:rPr>
                <w:rFonts w:ascii="Aptos" w:hAnsi="Aptos"/>
                <w:sz w:val="20"/>
              </w:rPr>
              <w:t>DEHIRE</w:t>
            </w:r>
          </w:p>
        </w:tc>
        <w:tc>
          <w:tcPr>
            <w:tcW w:type="dxa" w:w="4419"/>
          </w:tcPr>
          <w:p>
            <w:r>
              <w:rPr>
                <w:rFonts w:ascii="Aptos" w:hAnsi="Aptos"/>
                <w:sz w:val="20"/>
              </w:rPr>
              <w:t>Partial match: records whose status contains "DEHIRE".</w:t>
            </w:r>
          </w:p>
        </w:tc>
      </w:tr>
      <w:tr>
        <w:tc>
          <w:tcPr>
            <w:tcW w:type="dxa" w:w="4419"/>
            <w:shd w:val="clear" w:color="auto" w:fill="E8F4F2"/>
          </w:tcPr>
          <w:p>
            <w:r>
              <w:rPr>
                <w:rFonts w:ascii="Aptos" w:hAnsi="Aptos"/>
                <w:sz w:val="20"/>
              </w:rPr>
              <w:t>SOLD</w:t>
            </w:r>
          </w:p>
        </w:tc>
        <w:tc>
          <w:tcPr>
            <w:tcW w:type="dxa" w:w="4419"/>
            <w:shd w:val="clear" w:color="auto" w:fill="E8F4F2"/>
          </w:tcPr>
          <w:p>
            <w:r>
              <w:rPr>
                <w:rFonts w:ascii="Aptos" w:hAnsi="Aptos"/>
                <w:sz w:val="20"/>
              </w:rPr>
              <w:t>Partial match: records whose status contains "SOLD".</w:t>
            </w:r>
          </w:p>
        </w:tc>
      </w:tr>
    </w:tbl>
    <w:p/>
    <w:p>
      <w:pPr>
        <w:spacing w:after="80" w:before="240"/>
      </w:pPr>
      <w:r>
        <w:rPr>
          <w:rFonts w:ascii="Aptos" w:hAnsi="Aptos"/>
          <w:b/>
          <w:color w:val="378630"/>
          <w:sz w:val="32"/>
        </w:rPr>
        <w:t>B.  Vehicle type filtering (BIKE_OR_CAR)</w:t>
      </w:r>
    </w:p>
    <w:p>
      <w:pPr>
        <w:spacing w:after="100" w:before="0" w:line="300" w:lineRule="exact"/>
      </w:pPr>
      <w:r>
        <w:rPr>
          <w:rFonts w:ascii="Aptos" w:hAnsi="Aptos"/>
          <w:color w:val="262626"/>
          <w:sz w:val="24"/>
        </w:rPr>
        <w:t>All KPIs can be restricted to Cars ("CAR"), Motorcycles/Bikes, or left unrestricted ("ALL"). This filter is applied to the BIKE_OR_CAR field, populated for every record.</w:t>
      </w:r>
    </w:p>
    <w:p>
      <w:pPr>
        <w:spacing w:after="80" w:before="240"/>
      </w:pPr>
      <w:r>
        <w:rPr>
          <w:rFonts w:ascii="Aptos" w:hAnsi="Aptos"/>
          <w:b/>
          <w:color w:val="378630"/>
          <w:sz w:val="32"/>
        </w:rPr>
        <w:t>C.  Period modes</w:t>
      </w:r>
    </w:p>
    <w:p>
      <w:pPr>
        <w:spacing w:after="100" w:before="0" w:line="300" w:lineRule="exact"/>
      </w:pPr>
      <w:r>
        <w:rPr>
          <w:rFonts w:ascii="Aptos" w:hAnsi="Aptos"/>
          <w:color w:val="262626"/>
          <w:sz w:val="24"/>
        </w:rPr>
        <w:t>Three time granularities are supported across all time-series views:</w:t>
      </w:r>
    </w:p>
    <w:tbl>
      <w:tblPr>
        <w:tblStyle w:val="TableGrid"/>
        <w:tblW w:type="auto" w:w="0"/>
        <w:jc w:val="left"/>
        <w:tblLook w:firstColumn="1" w:firstRow="1" w:lastColumn="0" w:lastRow="0" w:noHBand="0" w:noVBand="1" w:val="04A0"/>
      </w:tblPr>
      <w:tblGrid>
        <w:gridCol w:w="2946"/>
        <w:gridCol w:w="2946"/>
        <w:gridCol w:w="2946"/>
      </w:tblGrid>
      <w:tr>
        <w:tc>
          <w:tcPr>
            <w:tcW w:type="dxa" w:w="2946"/>
            <w:shd w:val="clear" w:color="auto" w:fill="215868"/>
          </w:tcPr>
          <w:p>
            <w:r>
              <w:rPr>
                <w:rFonts w:ascii="Aptos" w:hAnsi="Aptos"/>
                <w:b/>
                <w:color w:val="FFFFFF"/>
                <w:sz w:val="20"/>
              </w:rPr>
              <w:t>Mode</w:t>
            </w:r>
          </w:p>
        </w:tc>
        <w:tc>
          <w:tcPr>
            <w:tcW w:type="dxa" w:w="2946"/>
            <w:shd w:val="clear" w:color="auto" w:fill="215868"/>
          </w:tcPr>
          <w:p>
            <w:r>
              <w:rPr>
                <w:rFonts w:ascii="Aptos" w:hAnsi="Aptos"/>
                <w:b/>
                <w:color w:val="FFFFFF"/>
                <w:sz w:val="20"/>
              </w:rPr>
              <w:t>Period format</w:t>
            </w:r>
          </w:p>
        </w:tc>
        <w:tc>
          <w:tcPr>
            <w:tcW w:type="dxa" w:w="2946"/>
            <w:shd w:val="clear" w:color="auto" w:fill="215868"/>
          </w:tcPr>
          <w:p>
            <w:r>
              <w:rPr>
                <w:rFonts w:ascii="Aptos" w:hAnsi="Aptos"/>
                <w:b/>
                <w:color w:val="FFFFFF"/>
                <w:sz w:val="20"/>
              </w:rPr>
              <w:t>Example</w:t>
            </w:r>
          </w:p>
        </w:tc>
      </w:tr>
      <w:tr>
        <w:tc>
          <w:tcPr>
            <w:tcW w:type="dxa" w:w="2946"/>
            <w:shd w:val="clear" w:color="auto" w:fill="E8F4F2"/>
          </w:tcPr>
          <w:p>
            <w:r>
              <w:rPr>
                <w:rFonts w:ascii="Aptos" w:hAnsi="Aptos"/>
                <w:sz w:val="20"/>
              </w:rPr>
              <w:t>Monthly</w:t>
            </w:r>
          </w:p>
        </w:tc>
        <w:tc>
          <w:tcPr>
            <w:tcW w:type="dxa" w:w="2946"/>
            <w:shd w:val="clear" w:color="auto" w:fill="E8F4F2"/>
          </w:tcPr>
          <w:p>
            <w:r>
              <w:rPr>
                <w:rFonts w:ascii="Aptos" w:hAnsi="Aptos"/>
                <w:sz w:val="20"/>
              </w:rPr>
              <w:t>YYYY-MM</w:t>
            </w:r>
          </w:p>
        </w:tc>
        <w:tc>
          <w:tcPr>
            <w:tcW w:type="dxa" w:w="2946"/>
            <w:shd w:val="clear" w:color="auto" w:fill="E8F4F2"/>
          </w:tcPr>
          <w:p>
            <w:r>
              <w:rPr>
                <w:rFonts w:ascii="Aptos" w:hAnsi="Aptos"/>
                <w:sz w:val="20"/>
              </w:rPr>
              <w:t>2024-03</w:t>
            </w:r>
          </w:p>
        </w:tc>
      </w:tr>
      <w:tr>
        <w:tc>
          <w:tcPr>
            <w:tcW w:type="dxa" w:w="2946"/>
          </w:tcPr>
          <w:p>
            <w:r>
              <w:rPr>
                <w:rFonts w:ascii="Aptos" w:hAnsi="Aptos"/>
                <w:sz w:val="20"/>
              </w:rPr>
              <w:t>Quarterly</w:t>
            </w:r>
          </w:p>
        </w:tc>
        <w:tc>
          <w:tcPr>
            <w:tcW w:type="dxa" w:w="2946"/>
          </w:tcPr>
          <w:p>
            <w:r>
              <w:rPr>
                <w:rFonts w:ascii="Aptos" w:hAnsi="Aptos"/>
                <w:sz w:val="20"/>
              </w:rPr>
              <w:t>YYYYQN</w:t>
            </w:r>
          </w:p>
        </w:tc>
        <w:tc>
          <w:tcPr>
            <w:tcW w:type="dxa" w:w="2946"/>
          </w:tcPr>
          <w:p>
            <w:r>
              <w:rPr>
                <w:rFonts w:ascii="Aptos" w:hAnsi="Aptos"/>
                <w:sz w:val="20"/>
              </w:rPr>
              <w:t>2024Q1</w:t>
            </w:r>
          </w:p>
        </w:tc>
      </w:tr>
      <w:tr>
        <w:tc>
          <w:tcPr>
            <w:tcW w:type="dxa" w:w="2946"/>
            <w:shd w:val="clear" w:color="auto" w:fill="E8F4F2"/>
          </w:tcPr>
          <w:p>
            <w:r>
              <w:rPr>
                <w:rFonts w:ascii="Aptos" w:hAnsi="Aptos"/>
                <w:sz w:val="20"/>
              </w:rPr>
              <w:t>Yearly</w:t>
            </w:r>
          </w:p>
        </w:tc>
        <w:tc>
          <w:tcPr>
            <w:tcW w:type="dxa" w:w="2946"/>
            <w:shd w:val="clear" w:color="auto" w:fill="E8F4F2"/>
          </w:tcPr>
          <w:p>
            <w:r>
              <w:rPr>
                <w:rFonts w:ascii="Aptos" w:hAnsi="Aptos"/>
                <w:sz w:val="20"/>
              </w:rPr>
              <w:t>YYYY</w:t>
            </w:r>
          </w:p>
        </w:tc>
        <w:tc>
          <w:tcPr>
            <w:tcW w:type="dxa" w:w="2946"/>
            <w:shd w:val="clear" w:color="auto" w:fill="E8F4F2"/>
          </w:tcPr>
          <w:p>
            <w:r>
              <w:rPr>
                <w:rFonts w:ascii="Aptos" w:hAnsi="Aptos"/>
                <w:sz w:val="20"/>
              </w:rPr>
              <w:t>2024</w:t>
            </w:r>
          </w:p>
        </w:tc>
      </w:tr>
    </w:tbl>
    <w:p/>
    <w:p>
      <w:pPr>
        <w:spacing w:after="80" w:before="240"/>
      </w:pPr>
      <w:r>
        <w:rPr>
          <w:rFonts w:ascii="Aptos" w:hAnsi="Aptos"/>
          <w:b/>
          <w:color w:val="378630"/>
          <w:sz w:val="32"/>
        </w:rPr>
        <w:t>D.  Date mode filtering — portfolio vs. production (Views 1 and 2)</w:t>
      </w:r>
    </w:p>
    <w:p>
      <w:pPr>
        <w:spacing w:after="100" w:before="0" w:line="300" w:lineRule="exact"/>
      </w:pPr>
      <w:r>
        <w:rPr>
          <w:rFonts w:ascii="Aptos" w:hAnsi="Aptos"/>
          <w:color w:val="262626"/>
          <w:sz w:val="24"/>
        </w:rPr>
        <w:t>By default, KPIs work on the portfolio snapshot: they count active contracts as they appear in the fleet on a given COB_DATE month ("what does the fleet look like this month?"). Two alternative date modes shift the analysis to production ("how many new contracts entered the fleet this month?"):</w:t>
      </w:r>
    </w:p>
    <w:p>
      <w:pPr>
        <w:pStyle w:val="ListBullet"/>
        <w:spacing w:after="40"/>
      </w:pPr>
      <w:r>
        <w:rPr>
          <w:rFonts w:ascii="Aptos" w:hAnsi="Aptos"/>
          <w:b/>
          <w:sz w:val="24"/>
        </w:rPr>
        <w:t xml:space="preserve">Contract Start Date — </w:t>
      </w:r>
      <w:r>
        <w:rPr>
          <w:rFonts w:ascii="Aptos" w:hAnsi="Aptos"/>
          <w:sz w:val="24"/>
        </w:rPr>
        <w:t>retains only records where CONTRACT_START_DATE falls in the same calendar month and year as COB_DATE. Represents newly started contracts.</w:t>
      </w:r>
    </w:p>
    <w:p>
      <w:pPr>
        <w:pStyle w:val="ListBullet"/>
        <w:spacing w:after="40"/>
      </w:pPr>
      <w:r>
        <w:rPr>
          <w:rFonts w:ascii="Aptos" w:hAnsi="Aptos"/>
          <w:b/>
          <w:sz w:val="24"/>
        </w:rPr>
        <w:t xml:space="preserve">Delivery Date — </w:t>
      </w:r>
      <w:r>
        <w:rPr>
          <w:rFonts w:ascii="Aptos" w:hAnsi="Aptos"/>
          <w:sz w:val="24"/>
        </w:rPr>
        <w:t>retains only records where DELIVERY_DATE falls in the same calendar month and year as COB_DATE. Represents vehicles physically delivered in that month.</w:t>
      </w:r>
    </w:p>
    <w:p>
      <w:pPr>
        <w:spacing w:after="100" w:before="0" w:line="300" w:lineRule="exact"/>
      </w:pPr>
      <w:r>
        <w:rPr>
          <w:rFonts w:ascii="Aptos" w:hAnsi="Aptos"/>
          <w:color w:val="262626"/>
          <w:sz w:val="24"/>
        </w:rPr>
        <w:t>These modes are offered specifically because portfolio analysis and production analysis answer fundamentally different business questions. A fleet manager monitoring new business inflows would use one of these date modes, while one monitoring the standing portfolio would use the default COB_DATE-based mode.</w:t>
      </w:r>
    </w:p>
    <w:p>
      <w:pPr>
        <w:spacing w:after="120" w:before="440"/>
      </w:pPr>
      <w:r>
        <w:rPr>
          <w:rFonts w:ascii="Aptos" w:hAnsi="Aptos"/>
          <w:b/>
          <w:color w:val="215868"/>
          <w:sz w:val="40"/>
        </w:rPr>
        <w:t>5.  View 1 — Main Fleet KPIs</w:t>
      </w:r>
    </w:p>
    <w:p>
      <w:pPr>
        <w:spacing w:after="100" w:before="0" w:line="300" w:lineRule="exact"/>
      </w:pPr>
      <w:r>
        <w:rPr>
          <w:rFonts w:ascii="Aptos" w:hAnsi="Aptos"/>
          <w:color w:val="262626"/>
          <w:sz w:val="24"/>
        </w:rPr>
        <w:t>View 1 is the primary dashboard page. It presents six portfolio-level KPIs, each independently configurable by country, year, month, asset status, vehicle type, and date mode. A summary table consolidates all six KPIs, and KPI 7 provides a time-series fuel evolution chart.</w:t>
      </w:r>
    </w:p>
    <w:p>
      <w:pPr>
        <w:spacing w:after="80" w:before="240"/>
      </w:pPr>
      <w:r>
        <w:rPr>
          <w:rFonts w:ascii="Aptos" w:hAnsi="Aptos"/>
          <w:b/>
          <w:color w:val="378630"/>
          <w:sz w:val="32"/>
        </w:rPr>
        <w:t>A.  KPI 1 — Lease Term Rate below 25 months  (LTR &lt; 25)</w:t>
      </w:r>
    </w:p>
    <w:p>
      <w:pPr>
        <w:spacing w:after="100" w:before="0" w:line="300" w:lineRule="exact"/>
      </w:pPr>
      <w:r>
        <w:rPr>
          <w:rFonts w:ascii="Aptos" w:hAnsi="Aptos"/>
          <w:color w:val="262626"/>
          <w:sz w:val="24"/>
        </w:rPr>
        <w:t>Measures the share of contracts whose FINAL_CONTRACT_DURATION is strictly below 25 months. After deduplication on the contract key, the proportion meeting this condition is expressed as a percentage of all contracts in the selection. Alert thresholds: green below 20 %, orange approaching 25 %, red at 25 % or above.</w:t>
      </w:r>
    </w:p>
    <w:p>
      <w:pPr>
        <w:pStyle w:val="ListBullet"/>
        <w:spacing w:after="40"/>
      </w:pPr>
      <w:r>
        <w:rPr>
          <w:rFonts w:ascii="Aptos" w:hAnsi="Aptos"/>
          <w:b/>
          <w:sz w:val="24"/>
        </w:rPr>
        <w:t xml:space="preserve">Visual: </w:t>
      </w:r>
      <w:r>
        <w:rPr>
          <w:rFonts w:ascii="Aptos" w:hAnsi="Aptos"/>
          <w:sz w:val="24"/>
        </w:rPr>
        <w:t>Percentage value with colour-coded status dot (green / orange / red).</w:t>
      </w:r>
    </w:p>
    <w:p>
      <w:pPr>
        <w:pStyle w:val="ListBullet"/>
        <w:spacing w:after="40"/>
      </w:pPr>
      <w:r>
        <w:rPr>
          <w:rFonts w:ascii="Aptos" w:hAnsi="Aptos"/>
          <w:b/>
          <w:sz w:val="24"/>
        </w:rPr>
        <w:t xml:space="preserve">Inputs: </w:t>
      </w:r>
      <w:r>
        <w:rPr>
          <w:rFonts w:ascii="Aptos" w:hAnsi="Aptos"/>
          <w:sz w:val="24"/>
        </w:rPr>
        <w:t>Country, Year, Month, Asset Status, Vehicle Type, Date Mode.</w:t>
      </w:r>
    </w:p>
    <w:p>
      <w:pPr>
        <w:spacing w:after="80" w:before="240"/>
      </w:pPr>
      <w:r>
        <w:rPr>
          <w:rFonts w:ascii="Aptos" w:hAnsi="Aptos"/>
          <w:b/>
          <w:color w:val="378630"/>
          <w:sz w:val="32"/>
        </w:rPr>
        <w:t>B.  KPI 2 — Lease Term Rate between 25 and 30 months  (LTR [25-30])</w:t>
      </w:r>
    </w:p>
    <w:p>
      <w:pPr>
        <w:spacing w:after="100" w:before="0" w:line="300" w:lineRule="exact"/>
      </w:pPr>
      <w:r>
        <w:rPr>
          <w:rFonts w:ascii="Aptos" w:hAnsi="Aptos"/>
          <w:color w:val="262626"/>
          <w:sz w:val="24"/>
        </w:rPr>
        <w:t>Measures the share of contracts whose FINAL_CONTRACT_DURATION is between 25 and 30 months (inclusive). Same deduplication and ratio logic as KPI 1. Alert threshold set at 30 months.</w:t>
      </w:r>
    </w:p>
    <w:p>
      <w:pPr>
        <w:pStyle w:val="ListBullet"/>
        <w:spacing w:after="40"/>
      </w:pPr>
      <w:r>
        <w:rPr>
          <w:rFonts w:ascii="Aptos" w:hAnsi="Aptos"/>
          <w:b/>
          <w:sz w:val="24"/>
        </w:rPr>
        <w:t xml:space="preserve">Visual: </w:t>
      </w:r>
      <w:r>
        <w:rPr>
          <w:rFonts w:ascii="Aptos" w:hAnsi="Aptos"/>
          <w:sz w:val="24"/>
        </w:rPr>
        <w:t>Percentage value with colour-coded status dot.</w:t>
      </w:r>
    </w:p>
    <w:p>
      <w:pPr>
        <w:pStyle w:val="ListBullet"/>
        <w:spacing w:after="40"/>
      </w:pPr>
      <w:r>
        <w:rPr>
          <w:rFonts w:ascii="Aptos" w:hAnsi="Aptos"/>
          <w:b/>
          <w:sz w:val="24"/>
        </w:rPr>
        <w:t xml:space="preserve">Inputs: </w:t>
      </w:r>
      <w:r>
        <w:rPr>
          <w:rFonts w:ascii="Aptos" w:hAnsi="Aptos"/>
          <w:sz w:val="24"/>
        </w:rPr>
        <w:t>Country, Year, Month, Asset Status, Vehicle Type, Date Mode.</w:t>
      </w:r>
    </w:p>
    <w:p>
      <w:pPr>
        <w:spacing w:after="80" w:before="240"/>
      </w:pPr>
      <w:r>
        <w:rPr>
          <w:rFonts w:ascii="Aptos" w:hAnsi="Aptos"/>
          <w:b/>
          <w:color w:val="378630"/>
          <w:sz w:val="32"/>
        </w:rPr>
        <w:t>C.  KPI 3 — Diesel vs Non-Diesel share</w:t>
      </w:r>
    </w:p>
    <w:p>
      <w:pPr>
        <w:spacing w:after="100" w:before="0" w:line="300" w:lineRule="exact"/>
      </w:pPr>
      <w:r>
        <w:rPr>
          <w:rFonts w:ascii="Aptos" w:hAnsi="Aptos"/>
          <w:color w:val="262626"/>
          <w:sz w:val="24"/>
        </w:rPr>
        <w:t>Measures the split between diesel and non-diesel contracts. The energy field used is POWER_CATEGORY_2, which resolves MHEV records to their primary fuel. A contract is counted as diesel if POWER_CATEGORY_2 equals "DIESEL" exactly. The non-diesel share is the complement (100 minus diesel share). No alert threshold.</w:t>
      </w:r>
    </w:p>
    <w:p>
      <w:pPr>
        <w:pStyle w:val="ListBullet"/>
        <w:spacing w:after="40"/>
      </w:pPr>
      <w:r>
        <w:rPr>
          <w:rFonts w:ascii="Aptos" w:hAnsi="Aptos"/>
          <w:b/>
          <w:sz w:val="24"/>
        </w:rPr>
        <w:t xml:space="preserve">Visual: </w:t>
      </w:r>
      <w:r>
        <w:rPr>
          <w:rFonts w:ascii="Aptos" w:hAnsi="Aptos"/>
          <w:sz w:val="24"/>
        </w:rPr>
        <w:t>Two percentage values displayed side by side.</w:t>
      </w:r>
    </w:p>
    <w:p>
      <w:pPr>
        <w:pStyle w:val="ListBullet"/>
        <w:spacing w:after="40"/>
      </w:pPr>
      <w:r>
        <w:rPr>
          <w:rFonts w:ascii="Aptos" w:hAnsi="Aptos"/>
          <w:b/>
          <w:sz w:val="24"/>
        </w:rPr>
        <w:t xml:space="preserve">Inputs: </w:t>
      </w:r>
      <w:r>
        <w:rPr>
          <w:rFonts w:ascii="Aptos" w:hAnsi="Aptos"/>
          <w:sz w:val="24"/>
        </w:rPr>
        <w:t>Country, Year, Month, Asset Status, Vehicle Type, Date Mode.</w:t>
      </w:r>
    </w:p>
    <w:p>
      <w:pPr>
        <w:spacing w:after="80" w:before="240"/>
      </w:pPr>
      <w:r>
        <w:rPr>
          <w:rFonts w:ascii="Aptos" w:hAnsi="Aptos"/>
          <w:b/>
          <w:color w:val="378630"/>
          <w:sz w:val="32"/>
        </w:rPr>
        <w:t>D.  KPI 4 — Hybrid Share  (HEV + PHEV)</w:t>
      </w:r>
    </w:p>
    <w:p>
      <w:pPr>
        <w:spacing w:after="100" w:before="0" w:line="300" w:lineRule="exact"/>
      </w:pPr>
      <w:r>
        <w:rPr>
          <w:rFonts w:ascii="Aptos" w:hAnsi="Aptos"/>
          <w:color w:val="262626"/>
          <w:sz w:val="24"/>
        </w:rPr>
        <w:t>Measures the proportion of contracts whose POWER_CATEGORY is "FULL HYBRID" or "PLUG-IN HYBRID". Note: uses the base POWER_CATEGORY field — MHEV vehicles are not included. Share computed over deduplicated contracts in the filtered selection.</w:t>
      </w:r>
    </w:p>
    <w:p>
      <w:pPr>
        <w:pStyle w:val="ListBullet"/>
        <w:spacing w:after="40"/>
      </w:pPr>
      <w:r>
        <w:rPr>
          <w:rFonts w:ascii="Aptos" w:hAnsi="Aptos"/>
          <w:b/>
          <w:sz w:val="24"/>
        </w:rPr>
        <w:t xml:space="preserve">Visual: </w:t>
      </w:r>
      <w:r>
        <w:rPr>
          <w:rFonts w:ascii="Aptos" w:hAnsi="Aptos"/>
          <w:sz w:val="24"/>
        </w:rPr>
        <w:t>Single percentage value. No alert threshold.</w:t>
      </w:r>
    </w:p>
    <w:p>
      <w:pPr>
        <w:pStyle w:val="ListBullet"/>
        <w:spacing w:after="40"/>
      </w:pPr>
      <w:r>
        <w:rPr>
          <w:rFonts w:ascii="Aptos" w:hAnsi="Aptos"/>
          <w:b/>
          <w:sz w:val="24"/>
        </w:rPr>
        <w:t xml:space="preserve">Inputs: </w:t>
      </w:r>
      <w:r>
        <w:rPr>
          <w:rFonts w:ascii="Aptos" w:hAnsi="Aptos"/>
          <w:sz w:val="24"/>
        </w:rPr>
        <w:t>Country, Year, Month, Asset Status, Vehicle Type, Date Mode.</w:t>
      </w:r>
    </w:p>
    <w:p>
      <w:pPr>
        <w:spacing w:after="80" w:before="240"/>
      </w:pPr>
      <w:r>
        <w:rPr>
          <w:rFonts w:ascii="Aptos" w:hAnsi="Aptos"/>
          <w:b/>
          <w:color w:val="378630"/>
          <w:sz w:val="32"/>
        </w:rPr>
        <w:t>E.  KPI 5 — Electric Vehicle Share  (EV)</w:t>
      </w:r>
    </w:p>
    <w:p>
      <w:pPr>
        <w:spacing w:after="100" w:before="0" w:line="300" w:lineRule="exact"/>
      </w:pPr>
      <w:r>
        <w:rPr>
          <w:rFonts w:ascii="Aptos" w:hAnsi="Aptos"/>
          <w:color w:val="262626"/>
          <w:sz w:val="24"/>
        </w:rPr>
        <w:t>Measures the proportion of contracts whose POWER_CATEGORY is exactly "ELECTRIC". Uses base POWER_CATEGORY. Computed as the ratio of electric contracts to all contracts in the filtered selection after deduplication.</w:t>
      </w:r>
    </w:p>
    <w:p>
      <w:pPr>
        <w:pStyle w:val="ListBullet"/>
        <w:spacing w:after="40"/>
      </w:pPr>
      <w:r>
        <w:rPr>
          <w:rFonts w:ascii="Aptos" w:hAnsi="Aptos"/>
          <w:b/>
          <w:sz w:val="24"/>
        </w:rPr>
        <w:t xml:space="preserve">Visual: </w:t>
      </w:r>
      <w:r>
        <w:rPr>
          <w:rFonts w:ascii="Aptos" w:hAnsi="Aptos"/>
          <w:sz w:val="24"/>
        </w:rPr>
        <w:t>Single percentage value. No alert threshold.</w:t>
      </w:r>
    </w:p>
    <w:p>
      <w:pPr>
        <w:pStyle w:val="ListBullet"/>
        <w:spacing w:after="40"/>
      </w:pPr>
      <w:r>
        <w:rPr>
          <w:rFonts w:ascii="Aptos" w:hAnsi="Aptos"/>
          <w:b/>
          <w:sz w:val="24"/>
        </w:rPr>
        <w:t xml:space="preserve">Inputs: </w:t>
      </w:r>
      <w:r>
        <w:rPr>
          <w:rFonts w:ascii="Aptos" w:hAnsi="Aptos"/>
          <w:sz w:val="24"/>
        </w:rPr>
        <w:t>Country, Year, Month, Asset Status, Vehicle Type, Date Mode.</w:t>
      </w:r>
    </w:p>
    <w:p>
      <w:pPr>
        <w:spacing w:after="80" w:before="240"/>
      </w:pPr>
      <w:r>
        <w:rPr>
          <w:rFonts w:ascii="Aptos" w:hAnsi="Aptos"/>
          <w:b/>
          <w:color w:val="378630"/>
          <w:sz w:val="32"/>
        </w:rPr>
        <w:t>F.  KPI 6 — Passenger Car vs Light Commercial Vehicle  (PC vs LCV)</w:t>
      </w:r>
    </w:p>
    <w:p>
      <w:pPr>
        <w:spacing w:after="100" w:before="0" w:line="300" w:lineRule="exact"/>
      </w:pPr>
      <w:r>
        <w:rPr>
          <w:rFonts w:ascii="Aptos" w:hAnsi="Aptos"/>
          <w:color w:val="262626"/>
          <w:sz w:val="24"/>
        </w:rPr>
        <w:t>Measures the split between passenger cars (PV) and light commercial vehicles (LCV / LV) from the CLS_VEHICLE_TYPE field. Both shares are expressed as proportions of all deduplicated contracts in the selection.</w:t>
      </w:r>
    </w:p>
    <w:p>
      <w:pPr>
        <w:spacing w:after="100" w:before="0" w:line="300" w:lineRule="exact"/>
      </w:pPr>
      <w:r>
        <w:rPr>
          <w:rFonts w:ascii="Aptos" w:hAnsi="Aptos"/>
          <w:color w:val="262626"/>
          <w:sz w:val="24"/>
        </w:rPr>
        <w:t>When a production date mode is selected (Contract Start Date or Delivery Date), year and month filters are applied to the chosen date field rather than COB_DATE, and the status filter is lifted to capture all statuses. This allows analysis of what vehicle types were produced in a given month regardless of current fleet status.</w:t>
      </w:r>
    </w:p>
    <w:p>
      <w:pPr>
        <w:pStyle w:val="ListBullet"/>
        <w:spacing w:after="40"/>
      </w:pPr>
      <w:r>
        <w:rPr>
          <w:rFonts w:ascii="Aptos" w:hAnsi="Aptos"/>
          <w:b/>
          <w:sz w:val="24"/>
        </w:rPr>
        <w:t xml:space="preserve">Visual: </w:t>
      </w:r>
      <w:r>
        <w:rPr>
          <w:rFonts w:ascii="Aptos" w:hAnsi="Aptos"/>
          <w:sz w:val="24"/>
        </w:rPr>
        <w:t>Two percentage values (PC share and LCV share) displayed together.</w:t>
      </w:r>
    </w:p>
    <w:p>
      <w:pPr>
        <w:pStyle w:val="ListBullet"/>
        <w:spacing w:after="40"/>
      </w:pPr>
      <w:r>
        <w:rPr>
          <w:rFonts w:ascii="Aptos" w:hAnsi="Aptos"/>
          <w:b/>
          <w:sz w:val="24"/>
        </w:rPr>
        <w:t xml:space="preserve">Inputs: </w:t>
      </w:r>
      <w:r>
        <w:rPr>
          <w:rFonts w:ascii="Aptos" w:hAnsi="Aptos"/>
          <w:sz w:val="24"/>
        </w:rPr>
        <w:t>Country, Year, Month, Asset Status, Vehicle Type, Date Mode.</w:t>
      </w:r>
    </w:p>
    <w:p>
      <w:pPr>
        <w:spacing w:after="80" w:before="240"/>
      </w:pPr>
      <w:r>
        <w:rPr>
          <w:rFonts w:ascii="Aptos" w:hAnsi="Aptos"/>
          <w:b/>
          <w:color w:val="378630"/>
          <w:sz w:val="32"/>
        </w:rPr>
        <w:t>G.  KPI 7 — Fuel Type Evolution Over Time</w:t>
      </w:r>
    </w:p>
    <w:p>
      <w:pPr>
        <w:spacing w:after="100" w:before="0" w:line="300" w:lineRule="exact"/>
      </w:pPr>
      <w:r>
        <w:rPr>
          <w:rFonts w:ascii="Aptos" w:hAnsi="Aptos"/>
          <w:color w:val="262626"/>
          <w:sz w:val="24"/>
        </w:rPr>
        <w:t>Shows how the distribution of energy categories has evolved across time periods for a chosen date range, asset status, and vehicle type. The energy field is POWER_CATEGORY_2 (MHEV resolved by primary fuel). For each period, distinct contract counts are tallied per energy category. In share mode each category is expressed as a percentage of the period total; in volume mode absolute counts are shown. Fuel types are consistently ordered (diesel → petrol → hybrids → EV) and assigned fixed colours.</w:t>
      </w:r>
    </w:p>
    <w:p>
      <w:pPr>
        <w:pStyle w:val="ListBullet"/>
        <w:spacing w:after="40"/>
      </w:pPr>
      <w:r>
        <w:rPr>
          <w:rFonts w:ascii="Aptos" w:hAnsi="Aptos"/>
          <w:b/>
          <w:sz w:val="24"/>
        </w:rPr>
        <w:t xml:space="preserve">Visual: </w:t>
      </w:r>
      <w:r>
        <w:rPr>
          <w:rFonts w:ascii="Aptos" w:hAnsi="Aptos"/>
          <w:sz w:val="24"/>
        </w:rPr>
        <w:t>Grouped bar chart with one bar per energy category per period, overlaid with dotted trend lines. A data table provides exact values with a volume total row.</w:t>
      </w:r>
    </w:p>
    <w:p>
      <w:pPr>
        <w:pStyle w:val="ListBullet"/>
        <w:spacing w:after="40"/>
      </w:pPr>
      <w:r>
        <w:rPr>
          <w:rFonts w:ascii="Aptos" w:hAnsi="Aptos"/>
          <w:b/>
          <w:sz w:val="24"/>
        </w:rPr>
        <w:t xml:space="preserve">Inputs: </w:t>
      </w:r>
      <w:r>
        <w:rPr>
          <w:rFonts w:ascii="Aptos" w:hAnsi="Aptos"/>
          <w:sz w:val="24"/>
        </w:rPr>
        <w:t>Country, Date Range (start and end month), Asset Status, Metric Mode (share / volume), Period Mode (monthly / quarterly / yearly), Vehicle Type.</w:t>
      </w:r>
    </w:p>
    <w:p>
      <w:pPr>
        <w:spacing w:after="120" w:before="440"/>
      </w:pPr>
      <w:r>
        <w:rPr>
          <w:rFonts w:ascii="Aptos" w:hAnsi="Aptos"/>
          <w:b/>
          <w:color w:val="215868"/>
          <w:sz w:val="40"/>
        </w:rPr>
        <w:t>6.  View 2 — Production Trends  (KPI 8)</w:t>
      </w:r>
    </w:p>
    <w:p>
      <w:pPr>
        <w:spacing w:after="100" w:before="0" w:line="300" w:lineRule="exact"/>
      </w:pPr>
      <w:r>
        <w:rPr>
          <w:rFonts w:ascii="Aptos" w:hAnsi="Aptos"/>
          <w:color w:val="262626"/>
          <w:sz w:val="24"/>
        </w:rPr>
        <w:t>View 2 analyses the monthly, quarterly, or yearly production of new contracts. "Production" means contracts that entered the fleet in a given period, identified by their registration date (Contract Start Date or Delivery Date). Records are retained only when the chosen date falls in the same year and month as COB_DATE, ensuring each contract is counted only in the period it actually entered — not in every subsequent snapshot in which it appears.</w:t>
      </w:r>
    </w:p>
    <w:p>
      <w:pPr>
        <w:spacing w:after="80" w:before="240"/>
      </w:pPr>
      <w:r>
        <w:rPr>
          <w:rFonts w:ascii="Aptos" w:hAnsi="Aptos"/>
          <w:b/>
          <w:color w:val="378630"/>
          <w:sz w:val="32"/>
        </w:rPr>
        <w:t>A.  Energy breakdown (POWER_CATEGORY_3)</w:t>
      </w:r>
    </w:p>
    <w:p>
      <w:pPr>
        <w:spacing w:after="100" w:before="0" w:line="300" w:lineRule="exact"/>
      </w:pPr>
      <w:r>
        <w:rPr>
          <w:rFonts w:ascii="Aptos" w:hAnsi="Aptos"/>
          <w:color w:val="262626"/>
          <w:sz w:val="24"/>
        </w:rPr>
        <w:t>The energy field for View 2 is POWER_CATEGORY_3, which provides the finest granularity: MHEV and Plug-In Hybrid records carry a fuel suffix ("-D" for diesel, "-G" for petrol), while all other categories are unchanged. This allows production analysis to distinguish, for example, MHEV-D (mild-hybrid diesel) from MHEV-G (mild-hybrid petrol).</w:t>
      </w:r>
    </w:p>
    <w:p>
      <w:pPr>
        <w:spacing w:after="80" w:before="240"/>
      </w:pPr>
      <w:r>
        <w:rPr>
          <w:rFonts w:ascii="Aptos" w:hAnsi="Aptos"/>
          <w:b/>
          <w:color w:val="378630"/>
          <w:sz w:val="32"/>
        </w:rPr>
        <w:t>B.  Calculation</w:t>
      </w:r>
    </w:p>
    <w:p>
      <w:pPr>
        <w:spacing w:after="100" w:before="0" w:line="300" w:lineRule="exact"/>
      </w:pPr>
      <w:r>
        <w:rPr>
          <w:rFonts w:ascii="Aptos" w:hAnsi="Aptos"/>
          <w:color w:val="262626"/>
          <w:sz w:val="24"/>
        </w:rPr>
        <w:t>For each period, distinct contract counts are tallied per POWER_CATEGORY_3 value. In share mode each category is expressed as a percentage of the period total. In volume mode absolute counts are shown. Results are presented as a pivot: rows are periods, columns are energy categories.</w:t>
      </w:r>
    </w:p>
    <w:p>
      <w:pPr>
        <w:pStyle w:val="ListBullet"/>
        <w:spacing w:after="40"/>
      </w:pPr>
      <w:r>
        <w:rPr>
          <w:rFonts w:ascii="Aptos" w:hAnsi="Aptos"/>
          <w:b/>
          <w:sz w:val="24"/>
        </w:rPr>
        <w:t xml:space="preserve">Visual: </w:t>
      </w:r>
      <w:r>
        <w:rPr>
          <w:rFonts w:ascii="Aptos" w:hAnsi="Aptos"/>
          <w:sz w:val="24"/>
        </w:rPr>
        <w:t>Stacked or grouped bar chart per period, broken down by energy category. A data table beneath provides exact values and a totals row.</w:t>
      </w:r>
    </w:p>
    <w:p>
      <w:pPr>
        <w:pStyle w:val="ListBullet"/>
        <w:spacing w:after="40"/>
      </w:pPr>
      <w:r>
        <w:rPr>
          <w:rFonts w:ascii="Aptos" w:hAnsi="Aptos"/>
          <w:b/>
          <w:sz w:val="24"/>
        </w:rPr>
        <w:t xml:space="preserve">Inputs: </w:t>
      </w:r>
      <w:r>
        <w:rPr>
          <w:rFonts w:ascii="Aptos" w:hAnsi="Aptos"/>
          <w:sz w:val="24"/>
        </w:rPr>
        <w:t>Country, Year, Asset Status, Metric Mode (share / volume), Vehicle Type, Date Mode (Contract Start Date or Delivery Date), Period Mode.</w:t>
      </w:r>
    </w:p>
    <w:p>
      <w:pPr>
        <w:spacing w:after="120" w:before="440"/>
      </w:pPr>
      <w:r>
        <w:rPr>
          <w:rFonts w:ascii="Aptos" w:hAnsi="Aptos"/>
          <w:b/>
          <w:color w:val="215868"/>
          <w:sz w:val="40"/>
        </w:rPr>
        <w:t>7.  View 3 — Body Group and Energy Mix  (KPI 9)</w:t>
      </w:r>
    </w:p>
    <w:p>
      <w:pPr>
        <w:spacing w:after="100" w:before="0" w:line="300" w:lineRule="exact"/>
      </w:pPr>
      <w:r>
        <w:rPr>
          <w:rFonts w:ascii="Aptos" w:hAnsi="Aptos"/>
          <w:color w:val="262626"/>
          <w:sz w:val="24"/>
        </w:rPr>
        <w:t>View 3 tracks how the body group composition and energy mix of the fleet evolve over time. It requires model enrichment (MARKET_BODY_GROUP from models.parquet). If enrichment is unavailable, it falls back to CLS_VEHICLE_TYPE or VEHICLE_CLASS. All time periods are derived from COB_DATE.</w:t>
      </w:r>
    </w:p>
    <w:p>
      <w:pPr>
        <w:spacing w:after="80" w:before="240"/>
      </w:pPr>
      <w:r>
        <w:rPr>
          <w:rFonts w:ascii="Aptos" w:hAnsi="Aptos"/>
          <w:b/>
          <w:color w:val="378630"/>
          <w:sz w:val="32"/>
        </w:rPr>
        <w:t>A.  KPI 9.1 — Body Group Share Over Time</w:t>
      </w:r>
    </w:p>
    <w:p>
      <w:pPr>
        <w:spacing w:after="100" w:before="0" w:line="300" w:lineRule="exact"/>
      </w:pPr>
      <w:r>
        <w:rPr>
          <w:rFonts w:ascii="Aptos" w:hAnsi="Aptos"/>
          <w:color w:val="262626"/>
          <w:sz w:val="24"/>
        </w:rPr>
        <w:t>For each time period, the share of a selected body group within the fleet is calculated. The total distinct contracts active per period is computed alongside the count for the chosen body group. The share is the ratio of body group count to total, as a percentage. Selecting "ALL" as the body group gives 100% across all periods, providing a reference for total fleet volume evolution.</w:t>
      </w:r>
    </w:p>
    <w:p>
      <w:pPr>
        <w:pStyle w:val="ListBullet"/>
        <w:spacing w:after="40"/>
      </w:pPr>
      <w:r>
        <w:rPr>
          <w:rFonts w:ascii="Aptos" w:hAnsi="Aptos"/>
          <w:b/>
          <w:sz w:val="24"/>
        </w:rPr>
        <w:t xml:space="preserve">Visual: </w:t>
      </w:r>
      <w:r>
        <w:rPr>
          <w:rFonts w:ascii="Aptos" w:hAnsi="Aptos"/>
          <w:sz w:val="24"/>
        </w:rPr>
        <w:t>Line chart with one data point per period. A summary metric above shows the latest value.</w:t>
      </w:r>
    </w:p>
    <w:p>
      <w:pPr>
        <w:pStyle w:val="ListBullet"/>
        <w:spacing w:after="40"/>
      </w:pPr>
      <w:r>
        <w:rPr>
          <w:rFonts w:ascii="Aptos" w:hAnsi="Aptos"/>
          <w:b/>
          <w:sz w:val="24"/>
        </w:rPr>
        <w:t xml:space="preserve">Inputs: </w:t>
      </w:r>
      <w:r>
        <w:rPr>
          <w:rFonts w:ascii="Aptos" w:hAnsi="Aptos"/>
          <w:sz w:val="24"/>
        </w:rPr>
        <w:t>Country, Year, Asset Status, Body Group, Vehicle Class filter, Vehicle Type, Period Mode.</w:t>
      </w:r>
    </w:p>
    <w:p>
      <w:pPr>
        <w:spacing w:after="80" w:before="240"/>
      </w:pPr>
      <w:r>
        <w:rPr>
          <w:rFonts w:ascii="Aptos" w:hAnsi="Aptos"/>
          <w:b/>
          <w:color w:val="378630"/>
          <w:sz w:val="32"/>
        </w:rPr>
        <w:t>B.  KPI 9.2 — Energy Mix Within a Body Group Over Time</w:t>
      </w:r>
    </w:p>
    <w:p>
      <w:pPr>
        <w:spacing w:after="100" w:before="0" w:line="300" w:lineRule="exact"/>
      </w:pPr>
      <w:r>
        <w:rPr>
          <w:rFonts w:ascii="Aptos" w:hAnsi="Aptos"/>
          <w:color w:val="262626"/>
          <w:sz w:val="24"/>
        </w:rPr>
        <w:t>For the same selection, KPI 9.2 shows how the energy category (POWER_CATEGORY) breakdown of contracts evolves per period. Distinct contract counts are tallied per period and per energy category. This reveals, for example, whether SUVs are becoming more electrified over time.</w:t>
      </w:r>
    </w:p>
    <w:p>
      <w:pPr>
        <w:pStyle w:val="ListBullet"/>
        <w:spacing w:after="40"/>
      </w:pPr>
      <w:r>
        <w:rPr>
          <w:rFonts w:ascii="Aptos" w:hAnsi="Aptos"/>
          <w:b/>
          <w:sz w:val="24"/>
        </w:rPr>
        <w:t xml:space="preserve">Visual: </w:t>
      </w:r>
      <w:r>
        <w:rPr>
          <w:rFonts w:ascii="Aptos" w:hAnsi="Aptos"/>
          <w:sz w:val="24"/>
        </w:rPr>
        <w:t>Stacked or grouped bar chart: one column per period, bars by energy category with consistent colouring.</w:t>
      </w:r>
    </w:p>
    <w:p>
      <w:pPr>
        <w:pStyle w:val="ListBullet"/>
        <w:spacing w:after="40"/>
      </w:pPr>
      <w:r>
        <w:rPr>
          <w:rFonts w:ascii="Aptos" w:hAnsi="Aptos"/>
          <w:b/>
          <w:sz w:val="24"/>
        </w:rPr>
        <w:t xml:space="preserve">Inputs: </w:t>
      </w:r>
      <w:r>
        <w:rPr>
          <w:rFonts w:ascii="Aptos" w:hAnsi="Aptos"/>
          <w:sz w:val="24"/>
        </w:rPr>
        <w:t>Country, Year, Asset Status, Body Group, Vehicle Class, Vehicle Type, Period Mode.</w:t>
      </w:r>
    </w:p>
    <w:p>
      <w:pPr>
        <w:spacing w:after="120" w:before="440"/>
      </w:pPr>
      <w:r>
        <w:rPr>
          <w:rFonts w:ascii="Aptos" w:hAnsi="Aptos"/>
          <w:b/>
          <w:color w:val="215868"/>
          <w:sz w:val="40"/>
        </w:rPr>
        <w:t>8.  View 4 — End-of-Contract Model Analysis  (KPI 10)</w:t>
      </w:r>
    </w:p>
    <w:p>
      <w:pPr>
        <w:spacing w:after="100" w:before="0" w:line="300" w:lineRule="exact"/>
      </w:pPr>
      <w:r>
        <w:rPr>
          <w:rFonts w:ascii="Aptos" w:hAnsi="Aptos"/>
          <w:color w:val="262626"/>
          <w:sz w:val="24"/>
        </w:rPr>
        <w:t>View 4 focuses on contracts approaching or reaching their end of contract (EOC). It answers: for a given range of contract end years, which vehicle models are most represented in the returning fleet, and how are they distributed across time?</w:t>
      </w:r>
    </w:p>
    <w:p>
      <w:pPr>
        <w:spacing w:after="80" w:before="240"/>
      </w:pPr>
      <w:r>
        <w:rPr>
          <w:rFonts w:ascii="Aptos" w:hAnsi="Aptos"/>
          <w:b/>
          <w:color w:val="378630"/>
          <w:sz w:val="32"/>
        </w:rPr>
        <w:t>A.  Contract end date logic</w:t>
      </w:r>
    </w:p>
    <w:p>
      <w:pPr>
        <w:spacing w:after="100" w:before="0" w:line="300" w:lineRule="exact"/>
      </w:pPr>
      <w:r>
        <w:rPr>
          <w:rFonts w:ascii="Aptos" w:hAnsi="Aptos"/>
          <w:color w:val="262626"/>
          <w:sz w:val="24"/>
        </w:rPr>
        <w:t>The effective end date (CONTRACT_FINAL_END) is the latest non-null value among three NOVA date fields, listed here in order of priority:</w:t>
      </w:r>
    </w:p>
    <w:p>
      <w:pPr>
        <w:pStyle w:val="ListBullet"/>
        <w:spacing w:after="40"/>
      </w:pPr>
      <w:r>
        <w:rPr>
          <w:rFonts w:ascii="Aptos" w:hAnsi="Aptos"/>
          <w:b/>
          <w:sz w:val="24"/>
        </w:rPr>
        <w:t xml:space="preserve">CONTRACT_END_DATE_AMENDED — </w:t>
      </w:r>
      <w:r>
        <w:rPr>
          <w:rFonts w:ascii="Aptos" w:hAnsi="Aptos"/>
          <w:sz w:val="24"/>
        </w:rPr>
        <w:t>most recent formal amendment, highest priority. Overrides the original duration.</w:t>
      </w:r>
    </w:p>
    <w:p>
      <w:pPr>
        <w:pStyle w:val="ListBullet"/>
        <w:spacing w:after="40"/>
      </w:pPr>
      <w:r>
        <w:rPr>
          <w:rFonts w:ascii="Aptos" w:hAnsi="Aptos"/>
          <w:b/>
          <w:sz w:val="24"/>
        </w:rPr>
        <w:t xml:space="preserve">EXTENSION_DATE — </w:t>
      </w:r>
      <w:r>
        <w:rPr>
          <w:rFonts w:ascii="Aptos" w:hAnsi="Aptos"/>
          <w:sz w:val="24"/>
        </w:rPr>
        <w:t>an extension granted on the contract, second priority.</w:t>
      </w:r>
    </w:p>
    <w:p>
      <w:pPr>
        <w:pStyle w:val="ListBullet"/>
        <w:spacing w:after="40"/>
      </w:pPr>
      <w:r>
        <w:rPr>
          <w:rFonts w:ascii="Aptos" w:hAnsi="Aptos"/>
          <w:b/>
          <w:sz w:val="24"/>
        </w:rPr>
        <w:t xml:space="preserve">CONTRACT_END_DATE — </w:t>
      </w:r>
      <w:r>
        <w:rPr>
          <w:rFonts w:ascii="Aptos" w:hAnsi="Aptos"/>
          <w:sz w:val="24"/>
        </w:rPr>
        <w:t>the original end date, used when no amendment or extension exists.</w:t>
      </w:r>
    </w:p>
    <w:p>
      <w:pPr>
        <w:spacing w:after="100" w:before="0" w:line="300" w:lineRule="exact"/>
      </w:pPr>
      <w:r>
        <w:rPr>
          <w:rFonts w:ascii="Aptos" w:hAnsi="Aptos"/>
          <w:color w:val="262626"/>
          <w:sz w:val="24"/>
        </w:rPr>
        <w:t>Taking the latest of these three ensures the effective end date always reflects the most current commitment on file. Contracts with no valid end date in any field are excluded from View 4.</w:t>
      </w:r>
    </w:p>
    <w:p>
      <w:pPr>
        <w:spacing w:after="80" w:before="240"/>
      </w:pPr>
      <w:r>
        <w:rPr>
          <w:rFonts w:ascii="Aptos" w:hAnsi="Aptos"/>
          <w:b/>
          <w:color w:val="378630"/>
          <w:sz w:val="32"/>
        </w:rPr>
        <w:t>B.  Period derivation from end date</w:t>
      </w:r>
    </w:p>
    <w:p>
      <w:pPr>
        <w:spacing w:after="100" w:before="0" w:line="300" w:lineRule="exact"/>
      </w:pPr>
      <w:r>
        <w:rPr>
          <w:rFonts w:ascii="Aptos" w:hAnsi="Aptos"/>
          <w:color w:val="262626"/>
          <w:sz w:val="24"/>
        </w:rPr>
        <w:t>Unlike other views that derive periods from COB_DATE, View 4 derives periods from CONTRACT_FINAL_END itself. The period reflects when the contract ends, not when the snapshot was taken.</w:t>
      </w:r>
    </w:p>
    <w:tbl>
      <w:tblPr>
        <w:tblStyle w:val="TableGrid"/>
        <w:tblW w:type="auto" w:w="0"/>
        <w:jc w:val="left"/>
        <w:tblLook w:firstColumn="1" w:firstRow="1" w:lastColumn="0" w:lastRow="0" w:noHBand="0" w:noVBand="1" w:val="04A0"/>
      </w:tblPr>
      <w:tblGrid>
        <w:gridCol w:w="2946"/>
        <w:gridCol w:w="2946"/>
        <w:gridCol w:w="2946"/>
      </w:tblGrid>
      <w:tr>
        <w:tc>
          <w:tcPr>
            <w:tcW w:type="dxa" w:w="2946"/>
            <w:shd w:val="clear" w:color="auto" w:fill="215868"/>
          </w:tcPr>
          <w:p>
            <w:r>
              <w:rPr>
                <w:rFonts w:ascii="Aptos" w:hAnsi="Aptos"/>
                <w:b/>
                <w:color w:val="FFFFFF"/>
                <w:sz w:val="20"/>
              </w:rPr>
              <w:t>Period Mode</w:t>
            </w:r>
          </w:p>
        </w:tc>
        <w:tc>
          <w:tcPr>
            <w:tcW w:type="dxa" w:w="2946"/>
            <w:shd w:val="clear" w:color="auto" w:fill="215868"/>
          </w:tcPr>
          <w:p>
            <w:r>
              <w:rPr>
                <w:rFonts w:ascii="Aptos" w:hAnsi="Aptos"/>
                <w:b/>
                <w:color w:val="FFFFFF"/>
                <w:sz w:val="20"/>
              </w:rPr>
              <w:t>Meaning</w:t>
            </w:r>
          </w:p>
        </w:tc>
        <w:tc>
          <w:tcPr>
            <w:tcW w:type="dxa" w:w="2946"/>
            <w:shd w:val="clear" w:color="auto" w:fill="215868"/>
          </w:tcPr>
          <w:p>
            <w:r>
              <w:rPr>
                <w:rFonts w:ascii="Aptos" w:hAnsi="Aptos"/>
                <w:b/>
                <w:color w:val="FFFFFF"/>
                <w:sz w:val="20"/>
              </w:rPr>
              <w:t>Format</w:t>
            </w:r>
          </w:p>
        </w:tc>
      </w:tr>
      <w:tr>
        <w:tc>
          <w:tcPr>
            <w:tcW w:type="dxa" w:w="2946"/>
            <w:shd w:val="clear" w:color="auto" w:fill="E8F4F2"/>
          </w:tcPr>
          <w:p>
            <w:r>
              <w:rPr>
                <w:rFonts w:ascii="Aptos" w:hAnsi="Aptos"/>
                <w:sz w:val="20"/>
              </w:rPr>
              <w:t>Monthly</w:t>
            </w:r>
          </w:p>
        </w:tc>
        <w:tc>
          <w:tcPr>
            <w:tcW w:type="dxa" w:w="2946"/>
            <w:shd w:val="clear" w:color="auto" w:fill="E8F4F2"/>
          </w:tcPr>
          <w:p>
            <w:r>
              <w:rPr>
                <w:rFonts w:ascii="Aptos" w:hAnsi="Aptos"/>
                <w:sz w:val="20"/>
              </w:rPr>
              <w:t>Calendar month in which the contract ends</w:t>
            </w:r>
          </w:p>
        </w:tc>
        <w:tc>
          <w:tcPr>
            <w:tcW w:type="dxa" w:w="2946"/>
            <w:shd w:val="clear" w:color="auto" w:fill="E8F4F2"/>
          </w:tcPr>
          <w:p>
            <w:r>
              <w:rPr>
                <w:rFonts w:ascii="Aptos" w:hAnsi="Aptos"/>
                <w:sz w:val="20"/>
              </w:rPr>
              <w:t>2025-03</w:t>
            </w:r>
          </w:p>
        </w:tc>
      </w:tr>
      <w:tr>
        <w:tc>
          <w:tcPr>
            <w:tcW w:type="dxa" w:w="2946"/>
          </w:tcPr>
          <w:p>
            <w:r>
              <w:rPr>
                <w:rFonts w:ascii="Aptos" w:hAnsi="Aptos"/>
                <w:sz w:val="20"/>
              </w:rPr>
              <w:t>Quarterly</w:t>
            </w:r>
          </w:p>
        </w:tc>
        <w:tc>
          <w:tcPr>
            <w:tcW w:type="dxa" w:w="2946"/>
          </w:tcPr>
          <w:p>
            <w:r>
              <w:rPr>
                <w:rFonts w:ascii="Aptos" w:hAnsi="Aptos"/>
                <w:sz w:val="20"/>
              </w:rPr>
              <w:t>Quarter in which the contract ends</w:t>
            </w:r>
          </w:p>
        </w:tc>
        <w:tc>
          <w:tcPr>
            <w:tcW w:type="dxa" w:w="2946"/>
          </w:tcPr>
          <w:p>
            <w:r>
              <w:rPr>
                <w:rFonts w:ascii="Aptos" w:hAnsi="Aptos"/>
                <w:sz w:val="20"/>
              </w:rPr>
              <w:t>2025Q1</w:t>
            </w:r>
          </w:p>
        </w:tc>
      </w:tr>
      <w:tr>
        <w:tc>
          <w:tcPr>
            <w:tcW w:type="dxa" w:w="2946"/>
            <w:shd w:val="clear" w:color="auto" w:fill="E8F4F2"/>
          </w:tcPr>
          <w:p>
            <w:r>
              <w:rPr>
                <w:rFonts w:ascii="Aptos" w:hAnsi="Aptos"/>
                <w:sz w:val="20"/>
              </w:rPr>
              <w:t>Yearly</w:t>
            </w:r>
          </w:p>
        </w:tc>
        <w:tc>
          <w:tcPr>
            <w:tcW w:type="dxa" w:w="2946"/>
            <w:shd w:val="clear" w:color="auto" w:fill="E8F4F2"/>
          </w:tcPr>
          <w:p>
            <w:r>
              <w:rPr>
                <w:rFonts w:ascii="Aptos" w:hAnsi="Aptos"/>
                <w:sz w:val="20"/>
              </w:rPr>
              <w:t>Year in which the contract ends</w:t>
            </w:r>
          </w:p>
        </w:tc>
        <w:tc>
          <w:tcPr>
            <w:tcW w:type="dxa" w:w="2946"/>
            <w:shd w:val="clear" w:color="auto" w:fill="E8F4F2"/>
          </w:tcPr>
          <w:p>
            <w:r>
              <w:rPr>
                <w:rFonts w:ascii="Aptos" w:hAnsi="Aptos"/>
                <w:sz w:val="20"/>
              </w:rPr>
              <w:t>2025</w:t>
            </w:r>
          </w:p>
        </w:tc>
      </w:tr>
    </w:tbl>
    <w:p/>
    <w:p>
      <w:pPr>
        <w:spacing w:after="100" w:before="0" w:line="300" w:lineRule="exact"/>
      </w:pPr>
      <w:r>
        <w:rPr>
          <w:rFonts w:ascii="Aptos" w:hAnsi="Aptos"/>
          <w:color w:val="262626"/>
          <w:sz w:val="24"/>
        </w:rPr>
        <w:t>The user selects an EOC year range (e.g. 2025 to 2027). All contracts whose CONTRACT_FINAL_END year falls within that range are included. The period then further breaks down these contracts by month or quarter of their end date.</w:t>
      </w:r>
    </w:p>
    <w:p>
      <w:pPr>
        <w:spacing w:after="80" w:before="240"/>
      </w:pPr>
      <w:r>
        <w:rPr>
          <w:rFonts w:ascii="Aptos" w:hAnsi="Aptos"/>
          <w:b/>
          <w:color w:val="378630"/>
          <w:sz w:val="32"/>
        </w:rPr>
        <w:t>C.  Model ranking and display</w:t>
      </w:r>
    </w:p>
    <w:p>
      <w:pPr>
        <w:spacing w:after="100" w:before="0" w:line="300" w:lineRule="exact"/>
      </w:pPr>
      <w:r>
        <w:rPr>
          <w:rFonts w:ascii="Aptos" w:hAnsi="Aptos"/>
          <w:color w:val="262626"/>
          <w:sz w:val="24"/>
        </w:rPr>
        <w:t>After filtering by EOC year range, asset status, and vehicle type, distinct contract counts are tallied per period and per MARKET_MODEL. The ten models with the highest total count across all periods are selected as the top 10. Results form a pivot: rows are periods, columns are the top 10 models, values are contract counts. A "Total" row sums each model's contracts across all periods.</w:t>
      </w:r>
    </w:p>
    <w:p>
      <w:pPr>
        <w:pStyle w:val="ListBullet"/>
        <w:spacing w:after="40"/>
      </w:pPr>
      <w:r>
        <w:rPr>
          <w:rFonts w:ascii="Aptos" w:hAnsi="Aptos"/>
          <w:b/>
          <w:sz w:val="24"/>
        </w:rPr>
        <w:t xml:space="preserve">Visual: </w:t>
      </w:r>
      <w:r>
        <w:rPr>
          <w:rFonts w:ascii="Aptos" w:hAnsi="Aptos"/>
          <w:sz w:val="24"/>
        </w:rPr>
        <w:t>Grouped bar chart — one group per period, one bar per model. A secondary axis line shows the total volume across all models. A pivot table provides exact values.</w:t>
      </w:r>
    </w:p>
    <w:p>
      <w:pPr>
        <w:pStyle w:val="ListBullet"/>
        <w:spacing w:after="40"/>
      </w:pPr>
      <w:r>
        <w:rPr>
          <w:rFonts w:ascii="Aptos" w:hAnsi="Aptos"/>
          <w:b/>
          <w:sz w:val="24"/>
        </w:rPr>
        <w:t xml:space="preserve">Inputs: </w:t>
      </w:r>
      <w:r>
        <w:rPr>
          <w:rFonts w:ascii="Aptos" w:hAnsi="Aptos"/>
          <w:sz w:val="24"/>
        </w:rPr>
        <w:t>Country, EOC Start Year, EOC End Year, Asset Status, Vehicle Type, Period Mode.</w:t>
      </w:r>
    </w:p>
    <w:p>
      <w:pPr>
        <w:spacing w:after="120" w:before="440"/>
      </w:pPr>
      <w:r>
        <w:rPr>
          <w:rFonts w:ascii="Aptos" w:hAnsi="Aptos"/>
          <w:b/>
          <w:color w:val="215868"/>
          <w:sz w:val="40"/>
        </w:rPr>
        <w:t>9.  View 5 — Concentration Analysis  (KPI 11)</w:t>
      </w:r>
    </w:p>
    <w:p>
      <w:pPr>
        <w:spacing w:after="100" w:before="0" w:line="300" w:lineRule="exact"/>
      </w:pPr>
      <w:r>
        <w:rPr>
          <w:rFonts w:ascii="Aptos" w:hAnsi="Aptos"/>
          <w:color w:val="262626"/>
          <w:sz w:val="24"/>
        </w:rPr>
        <w:t>View 5 measures market concentration within the Arval portfolio and the broader automotive market. It answers: is the fleet overly concentrated on a single brand? How does the fleet's CO2 profile compare to market registrations? Results come from either the Arval portfolio (NOVA) or external market registration data (market_dataset_europe.parquet).</w:t>
      </w:r>
    </w:p>
    <w:p>
      <w:pPr>
        <w:spacing w:after="80" w:before="240"/>
      </w:pPr>
      <w:r>
        <w:rPr>
          <w:rFonts w:ascii="Aptos" w:hAnsi="Aptos"/>
          <w:b/>
          <w:color w:val="378630"/>
          <w:sz w:val="32"/>
        </w:rPr>
        <w:t>A.  Analysis variables</w:t>
      </w:r>
    </w:p>
    <w:tbl>
      <w:tblPr>
        <w:tblStyle w:val="TableGrid"/>
        <w:tblW w:type="auto" w:w="0"/>
        <w:jc w:val="left"/>
        <w:tblLook w:firstColumn="1" w:firstRow="1" w:lastColumn="0" w:lastRow="0" w:noHBand="0" w:noVBand="1" w:val="04A0"/>
      </w:tblPr>
      <w:tblGrid>
        <w:gridCol w:w="2946"/>
        <w:gridCol w:w="2946"/>
        <w:gridCol w:w="2946"/>
      </w:tblGrid>
      <w:tr>
        <w:tc>
          <w:tcPr>
            <w:tcW w:type="dxa" w:w="2946"/>
            <w:shd w:val="clear" w:color="auto" w:fill="215868"/>
          </w:tcPr>
          <w:p>
            <w:r>
              <w:rPr>
                <w:rFonts w:ascii="Aptos" w:hAnsi="Aptos"/>
                <w:b/>
                <w:color w:val="FFFFFF"/>
                <w:sz w:val="20"/>
              </w:rPr>
              <w:t>Variable</w:t>
            </w:r>
          </w:p>
        </w:tc>
        <w:tc>
          <w:tcPr>
            <w:tcW w:type="dxa" w:w="2946"/>
            <w:shd w:val="clear" w:color="auto" w:fill="215868"/>
          </w:tcPr>
          <w:p>
            <w:r>
              <w:rPr>
                <w:rFonts w:ascii="Aptos" w:hAnsi="Aptos"/>
                <w:b/>
                <w:color w:val="FFFFFF"/>
                <w:sz w:val="20"/>
              </w:rPr>
              <w:t>Portfolio source</w:t>
            </w:r>
          </w:p>
        </w:tc>
        <w:tc>
          <w:tcPr>
            <w:tcW w:type="dxa" w:w="2946"/>
            <w:shd w:val="clear" w:color="auto" w:fill="215868"/>
          </w:tcPr>
          <w:p>
            <w:r>
              <w:rPr>
                <w:rFonts w:ascii="Aptos" w:hAnsi="Aptos"/>
                <w:b/>
                <w:color w:val="FFFFFF"/>
                <w:sz w:val="20"/>
              </w:rPr>
              <w:t>Market source</w:t>
            </w:r>
          </w:p>
        </w:tc>
      </w:tr>
      <w:tr>
        <w:tc>
          <w:tcPr>
            <w:tcW w:type="dxa" w:w="2946"/>
            <w:shd w:val="clear" w:color="auto" w:fill="E8F4F2"/>
          </w:tcPr>
          <w:p>
            <w:r>
              <w:rPr>
                <w:rFonts w:ascii="Aptos" w:hAnsi="Aptos"/>
                <w:sz w:val="20"/>
              </w:rPr>
              <w:t>Brand</w:t>
            </w:r>
          </w:p>
        </w:tc>
        <w:tc>
          <w:tcPr>
            <w:tcW w:type="dxa" w:w="2946"/>
            <w:shd w:val="clear" w:color="auto" w:fill="E8F4F2"/>
          </w:tcPr>
          <w:p>
            <w:r>
              <w:rPr>
                <w:rFonts w:ascii="Aptos" w:hAnsi="Aptos"/>
                <w:sz w:val="20"/>
              </w:rPr>
              <w:t>BRAND_UPDATE</w:t>
            </w:r>
          </w:p>
        </w:tc>
        <w:tc>
          <w:tcPr>
            <w:tcW w:type="dxa" w:w="2946"/>
            <w:shd w:val="clear" w:color="auto" w:fill="E8F4F2"/>
          </w:tcPr>
          <w:p>
            <w:r>
              <w:rPr>
                <w:rFonts w:ascii="Aptos" w:hAnsi="Aptos"/>
                <w:sz w:val="20"/>
              </w:rPr>
              <w:t>"Make" in market dataset</w:t>
            </w:r>
          </w:p>
        </w:tc>
      </w:tr>
      <w:tr>
        <w:tc>
          <w:tcPr>
            <w:tcW w:type="dxa" w:w="2946"/>
          </w:tcPr>
          <w:p>
            <w:r>
              <w:rPr>
                <w:rFonts w:ascii="Aptos" w:hAnsi="Aptos"/>
                <w:sz w:val="20"/>
              </w:rPr>
              <w:t>OEM</w:t>
            </w:r>
          </w:p>
        </w:tc>
        <w:tc>
          <w:tcPr>
            <w:tcW w:type="dxa" w:w="2946"/>
          </w:tcPr>
          <w:p>
            <w:r>
              <w:rPr>
                <w:rFonts w:ascii="Aptos" w:hAnsi="Aptos"/>
                <w:sz w:val="20"/>
              </w:rPr>
              <w:t>OEM_UPDATE</w:t>
            </w:r>
          </w:p>
        </w:tc>
        <w:tc>
          <w:tcPr>
            <w:tcW w:type="dxa" w:w="2946"/>
          </w:tcPr>
          <w:p>
            <w:r>
              <w:rPr>
                <w:rFonts w:ascii="Aptos" w:hAnsi="Aptos"/>
                <w:sz w:val="20"/>
              </w:rPr>
              <w:t>"Make Group" or "Make" in market dataset</w:t>
            </w:r>
          </w:p>
        </w:tc>
      </w:tr>
      <w:tr>
        <w:tc>
          <w:tcPr>
            <w:tcW w:type="dxa" w:w="2946"/>
            <w:shd w:val="clear" w:color="auto" w:fill="E8F4F2"/>
          </w:tcPr>
          <w:p>
            <w:r>
              <w:rPr>
                <w:rFonts w:ascii="Aptos" w:hAnsi="Aptos"/>
                <w:sz w:val="20"/>
              </w:rPr>
              <w:t>CO2 Bucket</w:t>
            </w:r>
          </w:p>
        </w:tc>
        <w:tc>
          <w:tcPr>
            <w:tcW w:type="dxa" w:w="2946"/>
            <w:shd w:val="clear" w:color="auto" w:fill="E8F4F2"/>
          </w:tcPr>
          <w:p>
            <w:r>
              <w:rPr>
                <w:rFonts w:ascii="Aptos" w:hAnsi="Aptos"/>
                <w:sz w:val="20"/>
              </w:rPr>
              <w:t>VA_CO2_EMSS_REAL (bucketed)</w:t>
            </w:r>
          </w:p>
        </w:tc>
        <w:tc>
          <w:tcPr>
            <w:tcW w:type="dxa" w:w="2946"/>
            <w:shd w:val="clear" w:color="auto" w:fill="E8F4F2"/>
          </w:tcPr>
          <w:p>
            <w:r>
              <w:rPr>
                <w:rFonts w:ascii="Aptos" w:hAnsi="Aptos"/>
                <w:sz w:val="20"/>
              </w:rPr>
              <w:t>Same field or engine volume proxy</w:t>
            </w:r>
          </w:p>
        </w:tc>
      </w:tr>
      <w:tr>
        <w:tc>
          <w:tcPr>
            <w:tcW w:type="dxa" w:w="2946"/>
          </w:tcPr>
          <w:p>
            <w:r>
              <w:rPr>
                <w:rFonts w:ascii="Aptos" w:hAnsi="Aptos"/>
                <w:sz w:val="20"/>
              </w:rPr>
              <w:t>BEV</w:t>
            </w:r>
          </w:p>
        </w:tc>
        <w:tc>
          <w:tcPr>
            <w:tcW w:type="dxa" w:w="2946"/>
          </w:tcPr>
          <w:p>
            <w:r>
              <w:rPr>
                <w:rFonts w:ascii="Aptos" w:hAnsi="Aptos"/>
                <w:sz w:val="20"/>
              </w:rPr>
              <w:t>BRAND_UPDATE filtered to electric vehicles</w:t>
            </w:r>
          </w:p>
        </w:tc>
        <w:tc>
          <w:tcPr>
            <w:tcW w:type="dxa" w:w="2946"/>
          </w:tcPr>
          <w:p>
            <w:r>
              <w:rPr>
                <w:rFonts w:ascii="Aptos" w:hAnsi="Aptos"/>
                <w:sz w:val="20"/>
              </w:rPr>
              <w:t>Make filtered to electric registrations</w:t>
            </w:r>
          </w:p>
        </w:tc>
      </w:tr>
    </w:tbl>
    <w:p/>
    <w:p>
      <w:pPr>
        <w:spacing w:after="40" w:before="140"/>
      </w:pPr>
      <w:r>
        <w:rPr>
          <w:rFonts w:ascii="Aptos" w:hAnsi="Aptos"/>
          <w:b/>
          <w:color w:val="000000"/>
          <w:sz w:val="24"/>
        </w:rPr>
        <w:t>CO2 Bucket calculation</w:t>
      </w:r>
    </w:p>
    <w:p>
      <w:pPr>
        <w:spacing w:after="100" w:before="0" w:line="300" w:lineRule="exact"/>
      </w:pPr>
      <w:r>
        <w:rPr>
          <w:rFonts w:ascii="Aptos" w:hAnsi="Aptos"/>
          <w:color w:val="262626"/>
          <w:sz w:val="24"/>
        </w:rPr>
        <w:t>The CO2 value (g/km from VA_CO2_EMSS_REAL) is rounded down to the nearest multiple of 10. The bucket label is "[lower-upper]" where upper = lower + 9. Example: 95 g/km → "[90-99]"; 0 g/km (electric) → "[0-9]". Missing or unparseable values produce "UNK".</w:t>
      </w:r>
    </w:p>
    <w:p>
      <w:pPr>
        <w:spacing w:after="40" w:before="140"/>
      </w:pPr>
      <w:r>
        <w:rPr>
          <w:rFonts w:ascii="Aptos" w:hAnsi="Aptos"/>
          <w:b/>
          <w:color w:val="000000"/>
          <w:sz w:val="24"/>
        </w:rPr>
        <w:t>BEV variable</w:t>
      </w:r>
    </w:p>
    <w:p>
      <w:pPr>
        <w:spacing w:after="100" w:before="0" w:line="300" w:lineRule="exact"/>
      </w:pPr>
      <w:r>
        <w:rPr>
          <w:rFonts w:ascii="Aptos" w:hAnsi="Aptos"/>
          <w:color w:val="262626"/>
          <w:sz w:val="24"/>
        </w:rPr>
        <w:t>When "BEV" is selected, the dataset is pre-filtered to electric vehicles only (POWER_CATEGORY contains "ELECTRIC"). The concentration dimension then becomes the brand, measuring which brands hold the largest share of the electric sub-fleet or electric market registrations.</w:t>
      </w:r>
    </w:p>
    <w:p>
      <w:pPr>
        <w:spacing w:after="80" w:before="240"/>
      </w:pPr>
      <w:r>
        <w:rPr>
          <w:rFonts w:ascii="Aptos" w:hAnsi="Aptos"/>
          <w:b/>
          <w:color w:val="378630"/>
          <w:sz w:val="32"/>
        </w:rPr>
        <w:t>B.  Portfolio concentration</w:t>
      </w:r>
    </w:p>
    <w:p>
      <w:pPr>
        <w:spacing w:after="100" w:before="0" w:line="300" w:lineRule="exact"/>
      </w:pPr>
      <w:r>
        <w:rPr>
          <w:rFonts w:ascii="Aptos" w:hAnsi="Aptos"/>
          <w:color w:val="262626"/>
          <w:sz w:val="24"/>
        </w:rPr>
        <w:t>Distinct contract counts are tallied per country, per period (derived from COB_DATE), and per concentration variable value. Each value's share is computed against the period total per country. Can be filtered by asset status (IN FLEET, ORDER, DEHIRE, ORDER YTD) and by registration type (Passenger Cars, LCV, or combinations). ORDER YTD mode shows the cumulative order count up to each period end within the year.</w:t>
      </w:r>
    </w:p>
    <w:p>
      <w:pPr>
        <w:spacing w:after="80" w:before="240"/>
      </w:pPr>
      <w:r>
        <w:rPr>
          <w:rFonts w:ascii="Aptos" w:hAnsi="Aptos"/>
          <w:b/>
          <w:color w:val="378630"/>
          <w:sz w:val="32"/>
        </w:rPr>
        <w:t>C.  Market concentration</w:t>
      </w:r>
    </w:p>
    <w:p>
      <w:pPr>
        <w:spacing w:after="100" w:before="0" w:line="300" w:lineRule="exact"/>
      </w:pPr>
      <w:r>
        <w:rPr>
          <w:rFonts w:ascii="Aptos" w:hAnsi="Aptos"/>
          <w:color w:val="262626"/>
          <w:sz w:val="24"/>
        </w:rPr>
        <w:t>Registration volumes from the market reference are totalled per country-territory, per period (from the market "date" field), and per concentration variable. Each value's share is computed against the period total. Filterable by registration type (Passenger Cars, LCV, HCV, or combinations) and by owner type.</w:t>
      </w:r>
    </w:p>
    <w:p>
      <w:pPr>
        <w:spacing w:after="80" w:before="240"/>
      </w:pPr>
      <w:r>
        <w:rPr>
          <w:rFonts w:ascii="Aptos" w:hAnsi="Aptos"/>
          <w:b/>
          <w:color w:val="378630"/>
          <w:sz w:val="32"/>
        </w:rPr>
        <w:t>D.  Top N filter</w:t>
      </w:r>
    </w:p>
    <w:p>
      <w:pPr>
        <w:spacing w:after="100" w:before="0" w:line="300" w:lineRule="exact"/>
      </w:pPr>
      <w:r>
        <w:rPr>
          <w:rFonts w:ascii="Aptos" w:hAnsi="Aptos"/>
          <w:color w:val="262626"/>
          <w:sz w:val="24"/>
        </w:rPr>
        <w:t>Both portfolio and market results can be restricted to the top N values by volume per country-period (top 3, 5, 10, or all). This controls the number of bars or segments shown.</w:t>
      </w:r>
    </w:p>
    <w:p>
      <w:pPr>
        <w:pStyle w:val="ListBullet"/>
        <w:spacing w:after="40"/>
      </w:pPr>
      <w:r>
        <w:rPr>
          <w:rFonts w:ascii="Aptos" w:hAnsi="Aptos"/>
          <w:b/>
          <w:sz w:val="24"/>
        </w:rPr>
        <w:t xml:space="preserve">Visual: </w:t>
      </w:r>
      <w:r>
        <w:rPr>
          <w:rFonts w:ascii="Aptos" w:hAnsi="Aptos"/>
          <w:sz w:val="24"/>
        </w:rPr>
        <w:t>Treemap showing current-period distribution (left panel) alongside a grouped bar or line chart of the top 10 values over time (right panel).</w:t>
      </w:r>
    </w:p>
    <w:p>
      <w:pPr>
        <w:pStyle w:val="ListBullet"/>
        <w:spacing w:after="40"/>
      </w:pPr>
      <w:r>
        <w:rPr>
          <w:rFonts w:ascii="Aptos" w:hAnsi="Aptos"/>
          <w:b/>
          <w:sz w:val="24"/>
        </w:rPr>
        <w:t xml:space="preserve">Inputs: </w:t>
      </w:r>
      <w:r>
        <w:rPr>
          <w:rFonts w:ascii="Aptos" w:hAnsi="Aptos"/>
          <w:sz w:val="24"/>
        </w:rPr>
        <w:t>Source (Portfolio / Market), Variable, Asset Status, Registration Type, Period Mode, Top N, Owner Type (market only).</w:t>
      </w:r>
    </w:p>
    <w:p>
      <w:pPr>
        <w:spacing w:after="120" w:before="440"/>
      </w:pPr>
      <w:r>
        <w:rPr>
          <w:rFonts w:ascii="Aptos" w:hAnsi="Aptos"/>
          <w:b/>
          <w:color w:val="215868"/>
          <w:sz w:val="40"/>
        </w:rPr>
        <w:t>10.  View 6 — Portfolio vs Market Comparison  (KPI 13)</w:t>
      </w:r>
    </w:p>
    <w:p>
      <w:pPr>
        <w:spacing w:after="100" w:before="0" w:line="300" w:lineRule="exact"/>
      </w:pPr>
      <w:r>
        <w:rPr>
          <w:rFonts w:ascii="Aptos" w:hAnsi="Aptos"/>
          <w:color w:val="262626"/>
          <w:sz w:val="24"/>
        </w:rPr>
        <w:t>View 6 places Arval portfolio concentration side by side with market concentration to reveal structural differences. It answers: is a given brand over- or under-represented in the Arval fleet compared to the overall automotive market in the same country and period?</w:t>
      </w:r>
    </w:p>
    <w:p>
      <w:pPr>
        <w:spacing w:after="80" w:before="240"/>
      </w:pPr>
      <w:r>
        <w:rPr>
          <w:rFonts w:ascii="Aptos" w:hAnsi="Aptos"/>
          <w:b/>
          <w:color w:val="378630"/>
          <w:sz w:val="32"/>
        </w:rPr>
        <w:t>A.  Matching logic</w:t>
      </w:r>
    </w:p>
    <w:p>
      <w:pPr>
        <w:spacing w:after="100" w:before="0" w:line="300" w:lineRule="exact"/>
      </w:pPr>
      <w:r>
        <w:rPr>
          <w:rFonts w:ascii="Aptos" w:hAnsi="Aptos"/>
          <w:color w:val="262626"/>
          <w:sz w:val="24"/>
        </w:rPr>
        <w:t>Portfolio records and market records are aligned on three dimensions: country, time period, and the concentration variable value (brand, OEM, CO2 bucket, or BEV). Only combinations present in both sources are retained. A brand present in the fleet but absent from market registrations in that period will not appear in the result. Portfolio country codes ("ES", "BE", etc.) are mapped to their full names ("Spain", "Belgium", etc.) to match the market dataset format.</w:t>
      </w:r>
    </w:p>
    <w:p>
      <w:pPr>
        <w:spacing w:after="80" w:before="240"/>
      </w:pPr>
      <w:r>
        <w:rPr>
          <w:rFonts w:ascii="Aptos" w:hAnsi="Aptos"/>
          <w:b/>
          <w:color w:val="378630"/>
          <w:sz w:val="32"/>
        </w:rPr>
        <w:t>B.  KPI 13 metrics</w:t>
      </w:r>
    </w:p>
    <w:p>
      <w:pPr>
        <w:spacing w:after="100" w:before="0" w:line="300" w:lineRule="exact"/>
      </w:pPr>
      <w:r>
        <w:rPr>
          <w:rFonts w:ascii="Aptos" w:hAnsi="Aptos"/>
          <w:color w:val="262626"/>
          <w:sz w:val="24"/>
        </w:rPr>
        <w:t>For each country, period, and brand, three metrics are computed:</w:t>
      </w:r>
    </w:p>
    <w:p>
      <w:pPr>
        <w:pStyle w:val="ListBullet"/>
        <w:spacing w:after="40"/>
      </w:pPr>
      <w:r>
        <w:rPr>
          <w:rFonts w:ascii="Aptos" w:hAnsi="Aptos"/>
          <w:b/>
          <w:sz w:val="24"/>
        </w:rPr>
        <w:t xml:space="preserve">Portfolio share — </w:t>
      </w:r>
      <w:r>
        <w:rPr>
          <w:rFonts w:ascii="Aptos" w:hAnsi="Aptos"/>
          <w:sz w:val="24"/>
        </w:rPr>
        <w:t>the brand's share of distinct contracts in the Arval fleet for that country and period (%).</w:t>
      </w:r>
    </w:p>
    <w:p>
      <w:pPr>
        <w:pStyle w:val="ListBullet"/>
        <w:spacing w:after="40"/>
      </w:pPr>
      <w:r>
        <w:rPr>
          <w:rFonts w:ascii="Aptos" w:hAnsi="Aptos"/>
          <w:b/>
          <w:sz w:val="24"/>
        </w:rPr>
        <w:t xml:space="preserve">Market share — </w:t>
      </w:r>
      <w:r>
        <w:rPr>
          <w:rFonts w:ascii="Aptos" w:hAnsi="Aptos"/>
          <w:sz w:val="24"/>
        </w:rPr>
        <w:t>the brand's share of market registrations for that country and period (%).</w:t>
      </w:r>
    </w:p>
    <w:p>
      <w:pPr>
        <w:pStyle w:val="ListBullet"/>
        <w:spacing w:after="40"/>
      </w:pPr>
      <w:r>
        <w:rPr>
          <w:rFonts w:ascii="Aptos" w:hAnsi="Aptos"/>
          <w:b/>
          <w:sz w:val="24"/>
        </w:rPr>
        <w:t xml:space="preserve">Ratio — </w:t>
      </w:r>
      <w:r>
        <w:rPr>
          <w:rFonts w:ascii="Aptos" w:hAnsi="Aptos"/>
          <w:sz w:val="24"/>
        </w:rPr>
        <w:t>portfolio share divided by market share. Above 1 = over-represented in fleet; below 1 = under-represented. Zero market share is protected to avoid division errors.</w:t>
      </w:r>
    </w:p>
    <w:p>
      <w:pPr>
        <w:spacing w:after="80" w:before="240"/>
      </w:pPr>
      <w:r>
        <w:rPr>
          <w:rFonts w:ascii="Aptos" w:hAnsi="Aptos"/>
          <w:b/>
          <w:color w:val="378630"/>
          <w:sz w:val="32"/>
        </w:rPr>
        <w:t>C.  Filters and pre-aggregation</w:t>
      </w:r>
    </w:p>
    <w:p>
      <w:pPr>
        <w:spacing w:after="100" w:before="0" w:line="300" w:lineRule="exact"/>
      </w:pPr>
      <w:r>
        <w:rPr>
          <w:rFonts w:ascii="Aptos" w:hAnsi="Aptos"/>
          <w:color w:val="262626"/>
          <w:sz w:val="24"/>
        </w:rPr>
        <w:t>Portfolio data is pre-filtered by asset status and portfolio registration type (PV, LCV, or both). Market data is filtered by registration type. Both datasets are pre-aggregated to period-level shares before the merge, so the comparison operates on summary figures rather than individual records. A Top N filter limits each country-period result to the N brands with the highest portfolio share (top 3, 5, 10, or all).</w:t>
      </w:r>
    </w:p>
    <w:p>
      <w:pPr>
        <w:pStyle w:val="ListBullet"/>
        <w:spacing w:after="40"/>
      </w:pPr>
      <w:r>
        <w:rPr>
          <w:rFonts w:ascii="Aptos" w:hAnsi="Aptos"/>
          <w:b/>
          <w:sz w:val="24"/>
        </w:rPr>
        <w:t xml:space="preserve">Visual: </w:t>
      </w:r>
      <w:r>
        <w:rPr>
          <w:rFonts w:ascii="Aptos" w:hAnsi="Aptos"/>
          <w:sz w:val="24"/>
        </w:rPr>
        <w:t>Grouped bar chart: portfolio share and market share side by side per period for each brand. A secondary axis shows portfolio volume. A data table provides all computed metrics.</w:t>
      </w:r>
    </w:p>
    <w:p>
      <w:pPr>
        <w:pStyle w:val="ListBullet"/>
        <w:spacing w:after="40"/>
      </w:pPr>
      <w:r>
        <w:rPr>
          <w:rFonts w:ascii="Aptos" w:hAnsi="Aptos"/>
          <w:b/>
          <w:sz w:val="24"/>
        </w:rPr>
        <w:t xml:space="preserve">Inputs: </w:t>
      </w:r>
      <w:r>
        <w:rPr>
          <w:rFonts w:ascii="Aptos" w:hAnsi="Aptos"/>
          <w:sz w:val="24"/>
        </w:rPr>
        <w:t>Country, Asset Status, Portfolio Registration Type, Market Registration Type, Variable, Period Mode, Top N.</w:t>
      </w:r>
    </w:p>
    <w:p>
      <w:pPr>
        <w:spacing w:after="120" w:before="440"/>
      </w:pPr>
      <w:r>
        <w:rPr>
          <w:rFonts w:ascii="Aptos" w:hAnsi="Aptos"/>
          <w:b/>
          <w:color w:val="215868"/>
          <w:sz w:val="40"/>
        </w:rPr>
        <w:t>11.  Precomputed Cache System</w:t>
      </w:r>
    </w:p>
    <w:p>
      <w:pPr>
        <w:spacing w:after="100" w:before="0" w:line="300" w:lineRule="exact"/>
      </w:pPr>
      <w:r>
        <w:rPr>
          <w:rFonts w:ascii="Aptos" w:hAnsi="Aptos"/>
          <w:color w:val="262626"/>
          <w:sz w:val="24"/>
        </w:rPr>
        <w:t>Loading and computing KPIs from raw NOVA parquets on every user interaction would be too slow for a multi-country, multi-year dataset. A precomputation engine pre-calculates all filter combinations for each view and stores the results as parquet files. The dashboard reads from this cache at runtime.</w:t>
      </w:r>
    </w:p>
    <w:p>
      <w:pPr>
        <w:spacing w:after="80" w:before="240"/>
      </w:pPr>
      <w:r>
        <w:rPr>
          <w:rFonts w:ascii="Aptos" w:hAnsi="Aptos"/>
          <w:b/>
          <w:color w:val="378630"/>
          <w:sz w:val="32"/>
        </w:rPr>
        <w:t>A.  Cache structure</w:t>
      </w:r>
    </w:p>
    <w:tbl>
      <w:tblPr>
        <w:tblStyle w:val="TableGrid"/>
        <w:tblW w:type="auto" w:w="0"/>
        <w:jc w:val="left"/>
        <w:tblLook w:firstColumn="1" w:firstRow="1" w:lastColumn="0" w:lastRow="0" w:noHBand="0" w:noVBand="1" w:val="04A0"/>
      </w:tblPr>
      <w:tblGrid>
        <w:gridCol w:w="2946"/>
        <w:gridCol w:w="2946"/>
        <w:gridCol w:w="2946"/>
      </w:tblGrid>
      <w:tr>
        <w:tc>
          <w:tcPr>
            <w:tcW w:type="dxa" w:w="2946"/>
            <w:shd w:val="clear" w:color="auto" w:fill="215868"/>
          </w:tcPr>
          <w:p>
            <w:r>
              <w:rPr>
                <w:rFonts w:ascii="Aptos" w:hAnsi="Aptos"/>
                <w:b/>
                <w:color w:val="FFFFFF"/>
                <w:sz w:val="20"/>
              </w:rPr>
              <w:t>Subfolder</w:t>
            </w:r>
          </w:p>
        </w:tc>
        <w:tc>
          <w:tcPr>
            <w:tcW w:type="dxa" w:w="2946"/>
            <w:shd w:val="clear" w:color="auto" w:fill="215868"/>
          </w:tcPr>
          <w:p>
            <w:r>
              <w:rPr>
                <w:rFonts w:ascii="Aptos" w:hAnsi="Aptos"/>
                <w:b/>
                <w:color w:val="FFFFFF"/>
                <w:sz w:val="20"/>
              </w:rPr>
              <w:t>View</w:t>
            </w:r>
          </w:p>
        </w:tc>
        <w:tc>
          <w:tcPr>
            <w:tcW w:type="dxa" w:w="2946"/>
            <w:shd w:val="clear" w:color="auto" w:fill="215868"/>
          </w:tcPr>
          <w:p>
            <w:r>
              <w:rPr>
                <w:rFonts w:ascii="Aptos" w:hAnsi="Aptos"/>
                <w:b/>
                <w:color w:val="FFFFFF"/>
                <w:sz w:val="20"/>
              </w:rPr>
              <w:t>File(s)</w:t>
            </w:r>
          </w:p>
        </w:tc>
      </w:tr>
      <w:tr>
        <w:tc>
          <w:tcPr>
            <w:tcW w:type="dxa" w:w="2946"/>
            <w:shd w:val="clear" w:color="auto" w:fill="E8F4F2"/>
          </w:tcPr>
          <w:p>
            <w:r>
              <w:rPr>
                <w:rFonts w:ascii="Aptos" w:hAnsi="Aptos"/>
                <w:sz w:val="20"/>
              </w:rPr>
              <w:t>view1/kpis/</w:t>
            </w:r>
          </w:p>
        </w:tc>
        <w:tc>
          <w:tcPr>
            <w:tcW w:type="dxa" w:w="2946"/>
            <w:shd w:val="clear" w:color="auto" w:fill="E8F4F2"/>
          </w:tcPr>
          <w:p>
            <w:r>
              <w:rPr>
                <w:rFonts w:ascii="Aptos" w:hAnsi="Aptos"/>
                <w:sz w:val="20"/>
              </w:rPr>
              <w:t>View 1 — KPIs 1–6</w:t>
            </w:r>
          </w:p>
        </w:tc>
        <w:tc>
          <w:tcPr>
            <w:tcW w:type="dxa" w:w="2946"/>
            <w:shd w:val="clear" w:color="auto" w:fill="E8F4F2"/>
          </w:tcPr>
          <w:p>
            <w:r>
              <w:rPr>
                <w:rFonts w:ascii="Aptos" w:hAnsi="Aptos"/>
                <w:sz w:val="20"/>
              </w:rPr>
              <w:t>Partitioned by year and country</w:t>
            </w:r>
          </w:p>
        </w:tc>
      </w:tr>
      <w:tr>
        <w:tc>
          <w:tcPr>
            <w:tcW w:type="dxa" w:w="2946"/>
          </w:tcPr>
          <w:p>
            <w:r>
              <w:rPr>
                <w:rFonts w:ascii="Aptos" w:hAnsi="Aptos"/>
                <w:sz w:val="20"/>
              </w:rPr>
              <w:t>view1/kpi7/</w:t>
            </w:r>
          </w:p>
        </w:tc>
        <w:tc>
          <w:tcPr>
            <w:tcW w:type="dxa" w:w="2946"/>
          </w:tcPr>
          <w:p>
            <w:r>
              <w:rPr>
                <w:rFonts w:ascii="Aptos" w:hAnsi="Aptos"/>
                <w:sz w:val="20"/>
              </w:rPr>
              <w:t>View 1 — KPI 7 (fuel evolution)</w:t>
            </w:r>
          </w:p>
        </w:tc>
        <w:tc>
          <w:tcPr>
            <w:tcW w:type="dxa" w:w="2946"/>
          </w:tcPr>
          <w:p>
            <w:r>
              <w:rPr>
                <w:rFonts w:ascii="Aptos" w:hAnsi="Aptos"/>
                <w:sz w:val="20"/>
              </w:rPr>
              <w:t>Partitioned by year and country</w:t>
            </w:r>
          </w:p>
        </w:tc>
      </w:tr>
      <w:tr>
        <w:tc>
          <w:tcPr>
            <w:tcW w:type="dxa" w:w="2946"/>
            <w:shd w:val="clear" w:color="auto" w:fill="E8F4F2"/>
          </w:tcPr>
          <w:p>
            <w:r>
              <w:rPr>
                <w:rFonts w:ascii="Aptos" w:hAnsi="Aptos"/>
                <w:sz w:val="20"/>
              </w:rPr>
              <w:t>view2/kpi8/</w:t>
            </w:r>
          </w:p>
        </w:tc>
        <w:tc>
          <w:tcPr>
            <w:tcW w:type="dxa" w:w="2946"/>
            <w:shd w:val="clear" w:color="auto" w:fill="E8F4F2"/>
          </w:tcPr>
          <w:p>
            <w:r>
              <w:rPr>
                <w:rFonts w:ascii="Aptos" w:hAnsi="Aptos"/>
                <w:sz w:val="20"/>
              </w:rPr>
              <w:t>View 2 — KPI 8 (production)</w:t>
            </w:r>
          </w:p>
        </w:tc>
        <w:tc>
          <w:tcPr>
            <w:tcW w:type="dxa" w:w="2946"/>
            <w:shd w:val="clear" w:color="auto" w:fill="E8F4F2"/>
          </w:tcPr>
          <w:p>
            <w:r>
              <w:rPr>
                <w:rFonts w:ascii="Aptos" w:hAnsi="Aptos"/>
                <w:sz w:val="20"/>
              </w:rPr>
              <w:t>Partitioned by year and country</w:t>
            </w:r>
          </w:p>
        </w:tc>
      </w:tr>
      <w:tr>
        <w:tc>
          <w:tcPr>
            <w:tcW w:type="dxa" w:w="2946"/>
          </w:tcPr>
          <w:p>
            <w:r>
              <w:rPr>
                <w:rFonts w:ascii="Aptos" w:hAnsi="Aptos"/>
                <w:sz w:val="20"/>
              </w:rPr>
              <w:t>view3/</w:t>
            </w:r>
          </w:p>
        </w:tc>
        <w:tc>
          <w:tcPr>
            <w:tcW w:type="dxa" w:w="2946"/>
          </w:tcPr>
          <w:p>
            <w:r>
              <w:rPr>
                <w:rFonts w:ascii="Aptos" w:hAnsi="Aptos"/>
                <w:sz w:val="20"/>
              </w:rPr>
              <w:t>View 3 — KPI 9.1 and 9.2</w:t>
            </w:r>
          </w:p>
        </w:tc>
        <w:tc>
          <w:tcPr>
            <w:tcW w:type="dxa" w:w="2946"/>
          </w:tcPr>
          <w:p>
            <w:r>
              <w:rPr>
                <w:rFonts w:ascii="Aptos" w:hAnsi="Aptos"/>
                <w:sz w:val="20"/>
              </w:rPr>
              <w:t>kpi9_1.parquet, kpi9_2.parquet</w:t>
            </w:r>
          </w:p>
        </w:tc>
      </w:tr>
      <w:tr>
        <w:tc>
          <w:tcPr>
            <w:tcW w:type="dxa" w:w="2946"/>
            <w:shd w:val="clear" w:color="auto" w:fill="E8F4F2"/>
          </w:tcPr>
          <w:p>
            <w:r>
              <w:rPr>
                <w:rFonts w:ascii="Aptos" w:hAnsi="Aptos"/>
                <w:sz w:val="20"/>
              </w:rPr>
              <w:t>view4/</w:t>
            </w:r>
          </w:p>
        </w:tc>
        <w:tc>
          <w:tcPr>
            <w:tcW w:type="dxa" w:w="2946"/>
            <w:shd w:val="clear" w:color="auto" w:fill="E8F4F2"/>
          </w:tcPr>
          <w:p>
            <w:r>
              <w:rPr>
                <w:rFonts w:ascii="Aptos" w:hAnsi="Aptos"/>
                <w:sz w:val="20"/>
              </w:rPr>
              <w:t>View 4 — KPI 10 (EOC models)</w:t>
            </w:r>
          </w:p>
        </w:tc>
        <w:tc>
          <w:tcPr>
            <w:tcW w:type="dxa" w:w="2946"/>
            <w:shd w:val="clear" w:color="auto" w:fill="E8F4F2"/>
          </w:tcPr>
          <w:p>
            <w:r>
              <w:rPr>
                <w:rFonts w:ascii="Aptos" w:hAnsi="Aptos"/>
                <w:sz w:val="20"/>
              </w:rPr>
              <w:t>kpi10.parquet</w:t>
            </w:r>
          </w:p>
        </w:tc>
      </w:tr>
      <w:tr>
        <w:tc>
          <w:tcPr>
            <w:tcW w:type="dxa" w:w="2946"/>
          </w:tcPr>
          <w:p>
            <w:r>
              <w:rPr>
                <w:rFonts w:ascii="Aptos" w:hAnsi="Aptos"/>
                <w:sz w:val="20"/>
              </w:rPr>
              <w:t>view5/</w:t>
            </w:r>
          </w:p>
        </w:tc>
        <w:tc>
          <w:tcPr>
            <w:tcW w:type="dxa" w:w="2946"/>
          </w:tcPr>
          <w:p>
            <w:r>
              <w:rPr>
                <w:rFonts w:ascii="Aptos" w:hAnsi="Aptos"/>
                <w:sz w:val="20"/>
              </w:rPr>
              <w:t>View 5 — KPI 11 (concentration)</w:t>
            </w:r>
          </w:p>
        </w:tc>
        <w:tc>
          <w:tcPr>
            <w:tcW w:type="dxa" w:w="2946"/>
          </w:tcPr>
          <w:p>
            <w:r>
              <w:rPr>
                <w:rFonts w:ascii="Aptos" w:hAnsi="Aptos"/>
                <w:sz w:val="20"/>
              </w:rPr>
              <w:t>kpi11.parquet</w:t>
            </w:r>
          </w:p>
        </w:tc>
      </w:tr>
      <w:tr>
        <w:tc>
          <w:tcPr>
            <w:tcW w:type="dxa" w:w="2946"/>
            <w:shd w:val="clear" w:color="auto" w:fill="E8F4F2"/>
          </w:tcPr>
          <w:p>
            <w:r>
              <w:rPr>
                <w:rFonts w:ascii="Aptos" w:hAnsi="Aptos"/>
                <w:sz w:val="20"/>
              </w:rPr>
              <w:t>view6/</w:t>
            </w:r>
          </w:p>
        </w:tc>
        <w:tc>
          <w:tcPr>
            <w:tcW w:type="dxa" w:w="2946"/>
            <w:shd w:val="clear" w:color="auto" w:fill="E8F4F2"/>
          </w:tcPr>
          <w:p>
            <w:r>
              <w:rPr>
                <w:rFonts w:ascii="Aptos" w:hAnsi="Aptos"/>
                <w:sz w:val="20"/>
              </w:rPr>
              <w:t>View 6 — KPI 13 (portfolio vs market)</w:t>
            </w:r>
          </w:p>
        </w:tc>
        <w:tc>
          <w:tcPr>
            <w:tcW w:type="dxa" w:w="2946"/>
            <w:shd w:val="clear" w:color="auto" w:fill="E8F4F2"/>
          </w:tcPr>
          <w:p>
            <w:r>
              <w:rPr>
                <w:rFonts w:ascii="Aptos" w:hAnsi="Aptos"/>
                <w:sz w:val="20"/>
              </w:rPr>
              <w:t>kpi13.parquet</w:t>
            </w:r>
          </w:p>
        </w:tc>
      </w:tr>
    </w:tbl>
    <w:p/>
    <w:p>
      <w:pPr>
        <w:spacing w:after="80" w:before="240"/>
      </w:pPr>
      <w:r>
        <w:rPr>
          <w:rFonts w:ascii="Aptos" w:hAnsi="Aptos"/>
          <w:b/>
          <w:color w:val="378630"/>
          <w:sz w:val="32"/>
        </w:rPr>
        <w:t>B.  Merge-and-update strategy</w:t>
      </w:r>
    </w:p>
    <w:p>
      <w:pPr>
        <w:spacing w:after="100" w:before="0" w:line="300" w:lineRule="exact"/>
      </w:pPr>
      <w:r>
        <w:rPr>
          <w:rFonts w:ascii="Aptos" w:hAnsi="Aptos"/>
          <w:color w:val="262626"/>
          <w:sz w:val="24"/>
        </w:rPr>
        <w:t>For views stored in a single shared parquet (Views 3, 4, 5, 6), regenerating one country must not discard other countries' data. A merge-and-update strategy is used: the existing parquet is read, all rows for the regenerated country are removed, and the new rows are appended before the file is rewritten. The country identifier is COUNTRY_FILTER (Views 3, 4, 6) or COUNTRY (View 5).</w:t>
      </w:r>
    </w:p>
    <w:p>
      <w:pPr>
        <w:spacing w:after="100" w:before="0" w:line="300" w:lineRule="exact"/>
      </w:pPr>
      <w:r>
        <w:rPr>
          <w:rFonts w:ascii="Aptos" w:hAnsi="Aptos"/>
          <w:color w:val="262626"/>
          <w:sz w:val="24"/>
        </w:rPr>
        <w:t>For View 6 specifically, the merge is applied immediately after each country finishes computing — not at the end of the full run. This preserves partial results if the process is interrupted mid-way through a multi-country regeneration.</w:t>
      </w:r>
    </w:p>
    <w:p>
      <w:pPr>
        <w:spacing w:after="80" w:before="240"/>
      </w:pPr>
      <w:r>
        <w:rPr>
          <w:rFonts w:ascii="Aptos" w:hAnsi="Aptos"/>
          <w:b/>
          <w:color w:val="378630"/>
          <w:sz w:val="32"/>
        </w:rPr>
        <w:t>C.  Regeneration scope</w:t>
      </w:r>
    </w:p>
    <w:p>
      <w:pPr>
        <w:spacing w:after="100" w:before="0" w:line="300" w:lineRule="exact"/>
      </w:pPr>
      <w:r>
        <w:rPr>
          <w:rFonts w:ascii="Aptos" w:hAnsi="Aptos"/>
          <w:color w:val="262626"/>
          <w:sz w:val="24"/>
        </w:rPr>
        <w:t>The precomputation engine accepts a list of countries to regenerate. Each country can be regenerated individually without affecting the cache for others. The typical workflow is to run regeneration when new monthly NOVA parquets arrive, targeting only the countries for which new data is available.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