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215868"/>
          <w:sz w:val="44"/>
        </w:rPr>
        <w:t>Use Case 1 Portfolio Heatmap</w:t>
      </w:r>
    </w:p>
    <w:p>
      <w:pPr>
        <w:jc w:val="center"/>
      </w:pPr>
      <w:r>
        <w:rPr>
          <w:rFonts w:ascii="Aptos" w:hAnsi="Aptos"/>
          <w:b w:val="0"/>
          <w:color w:val="505050"/>
          <w:sz w:val="26"/>
        </w:rPr>
        <w:t>Technical Documentation — Filters, Metrics and Simulation Logic</w:t>
      </w:r>
    </w:p>
    <w:p>
      <w:pPr>
        <w:jc w:val="center"/>
      </w:pPr>
      <w:r>
        <w:rPr>
          <w:rFonts w:ascii="Aptos" w:hAnsi="Aptos"/>
          <w:b w:val="0"/>
          <w:color w:val="808080"/>
          <w:sz w:val="22"/>
        </w:rPr>
        <w:t>July 2026</w:t>
      </w:r>
    </w:p>
    <w:p/>
    <w:p>
      <w:pPr>
        <w:spacing w:before="400" w:after="120"/>
      </w:pPr>
      <w:r>
        <w:rPr>
          <w:rFonts w:ascii="Aptos" w:hAnsi="Aptos"/>
          <w:b/>
          <w:color w:val="215868"/>
          <w:sz w:val="34"/>
        </w:rPr>
        <w:t>Part 1.  Data Foundation</w:t>
      </w:r>
    </w:p>
    <w:p>
      <w:r>
        <w:rPr>
          <w:rFonts w:ascii="Aptos" w:hAnsi="Aptos"/>
          <w:b w:val="0"/>
          <w:color w:val="262626"/>
          <w:sz w:val="24"/>
        </w:rPr>
        <w:t>This first part explains where the data used by Use Case 1 comes from, how it is cleaned before any calculation, and how duplicate records are handled. Understanding this foundation makes every filter, axis and metric described in the next parts easier to interpret correctly.</w:t>
      </w:r>
    </w:p>
    <w:p>
      <w:pPr>
        <w:spacing w:before="200" w:after="60"/>
      </w:pPr>
      <w:r>
        <w:rPr>
          <w:rFonts w:ascii="Aptos" w:hAnsi="Aptos"/>
          <w:b/>
          <w:color w:val="378630"/>
          <w:sz w:val="26"/>
        </w:rPr>
        <w:t>A.  Snapshot structure and loading scope</w:t>
      </w:r>
    </w:p>
    <w:p>
      <w:r>
        <w:rPr>
          <w:rFonts w:ascii="Aptos" w:hAnsi="Aptos"/>
          <w:b w:val="0"/>
          <w:color w:val="262626"/>
          <w:sz w:val="24"/>
        </w:rPr>
        <w:t>Use Case 1 reads the same NOVA monthly parquet snapshots used across the rest of the project. Each file covers one country and one calendar month. A file is loaded when its country matches the configured scope and its month falls within the configured date range, currently January 2023 to December 2025 for Spain. All matching files are concatenated into a single dataframe before anything else happens. Every record carries a COB_DATE field, the close-of-business date on which that particular snapshot was captured, and the YEAR and MONTH columns used throughout the tool are derived from it.</w:t>
      </w:r>
    </w:p>
    <w:p>
      <w:r>
        <w:rPr>
          <w:rFonts w:ascii="Aptos" w:hAnsi="Aptos"/>
          <w:b w:val="0"/>
          <w:color w:val="262626"/>
          <w:sz w:val="24"/>
        </w:rPr>
        <w:t>Earlier versions of this tool hardcoded the scope to vehicles with NOVA_ASSET_STATUS equal to “IN FLEET” at load time, which meant sold or ordered vehicles were invisible no matter what filter was applied afterwards. The current version keeps every status in memory at load time and only filters on BIKE_OR_CAR equal to “CAR”. Asset status is therefore no longer a fixed scope, it becomes an ordinary dashboard filter, described in Part 2, that can be switched between IN FLEET, SOLD, ORDER ACTIVE, ORDER ACTIVE DELIVERED, TBI or ALL without reloading any data.</w:t>
      </w:r>
    </w:p>
    <w:p>
      <w:r>
        <w:rPr>
          <w:rFonts w:ascii="Aptos" w:hAnsi="Aptos"/>
          <w:b w:val="0"/>
          <w:color w:val="262626"/>
          <w:sz w:val="24"/>
        </w:rPr>
        <w:t>Two columns are loaded specifically to support the Exposure metric, and both are temporary stand-ins rather than native NOVA fields on every machine.</w:t>
      </w:r>
    </w:p>
    <w:p>
      <w:pPr>
        <w:pStyle w:val="ListBullet"/>
      </w:pPr>
      <w:r>
        <w:rPr>
          <w:rFonts w:ascii="Aptos" w:hAnsi="Aptos"/>
          <w:b/>
          <w:color w:val="000000"/>
          <w:sz w:val="24"/>
        </w:rPr>
        <w:t xml:space="preserve">PENDING_ORDERS — </w:t>
      </w:r>
      <w:r>
        <w:rPr>
          <w:rFonts w:ascii="Aptos" w:hAnsi="Aptos"/>
          <w:b w:val="0"/>
          <w:color w:val="262626"/>
          <w:sz w:val="24"/>
        </w:rPr>
        <w:t>not yet present in the NOVA schema on every machine. A one-off backfill script copies the value of EXPOSURE_AMOUNT_MTR into this column across every local parquet file, so the metric can be developed and tested before the real field is delivered.</w:t>
      </w:r>
    </w:p>
    <w:p>
      <w:pPr>
        <w:pStyle w:val="ListBullet"/>
      </w:pPr>
      <w:r>
        <w:rPr>
          <w:rFonts w:ascii="Aptos" w:hAnsi="Aptos"/>
          <w:b/>
          <w:color w:val="000000"/>
          <w:sz w:val="24"/>
        </w:rPr>
        <w:t xml:space="preserve">ID_CUSTOMER — </w:t>
      </w:r>
      <w:r>
        <w:rPr>
          <w:rFonts w:ascii="Aptos" w:hAnsi="Aptos"/>
          <w:b w:val="0"/>
          <w:color w:val="262626"/>
          <w:sz w:val="24"/>
        </w:rPr>
        <w:t>backfilled the same way from OBLIGOR_IDENTIFIER, for the same reason. Both fields should be dropped from the backfill script and read natively once the underlying reference dataset exposes them.</w:t>
      </w:r>
    </w:p>
    <w:p>
      <w:pPr>
        <w:spacing w:before="200" w:after="60"/>
      </w:pPr>
      <w:r>
        <w:rPr>
          <w:rFonts w:ascii="Aptos" w:hAnsi="Aptos"/>
          <w:b/>
          <w:color w:val="378630"/>
          <w:sz w:val="26"/>
        </w:rPr>
        <w:t>B.  Data preparation</w:t>
      </w:r>
    </w:p>
    <w:p>
      <w:r>
        <w:rPr>
          <w:rFonts w:ascii="Aptos" w:hAnsi="Aptos"/>
          <w:b w:val="0"/>
          <w:color w:val="262626"/>
          <w:sz w:val="24"/>
        </w:rPr>
        <w:t>Before any pivot or metric is computed, the raw dataset goes through the same enrichment stage used elsewhere in the codebase. Three transformations are applied to every loaded row. First, a CO2 bucket is derived from the raw emissions value: the CO2 figure in grams per kilometre, taken from VA_CO2_EMSS_REAL, is rounded down to the nearest multiple of ten, and the bucket label becomes “[lower-upper]” where upper equals lower plus nine. For example, a vehicle emitting 95 g/km falls into the bucket “[90-99]”, and a value that cannot be parsed becomes “UNK”.</w:t>
      </w:r>
    </w:p>
    <w:p>
      <w:r>
        <w:rPr>
          <w:rFonts w:ascii="Aptos" w:hAnsi="Aptos"/>
          <w:b w:val="0"/>
          <w:color w:val="262626"/>
          <w:sz w:val="24"/>
        </w:rPr>
        <w:t>Second, market model enrichment attaches business-friendly names to each vehicle. BRAND_UPDATE and the raw model code extracted from CLASS_CATALOG are matched against the reference file models.parquet on the pair of brand and model, which returns MARKET_MODEL and MARKET_BODY_GROUP. These two enriched fields, not the raw NOVA codes, are what the Market Model and Body Type filters actually operate on. Third, the text fields COUNTRY, NOVA_ASSET_STATUS, BIKE_OR_CAR and BRAND_UPDATE are trimmed of leading and trailing spaces before any comparison, filter or grouping is applied, which avoids silent mismatches caused by inconsistent spacing in the source files.</w:t>
      </w:r>
    </w:p>
    <w:p>
      <w:pPr>
        <w:spacing w:before="200" w:after="60"/>
      </w:pPr>
      <w:r>
        <w:rPr>
          <w:rFonts w:ascii="Aptos" w:hAnsi="Aptos"/>
          <w:b/>
          <w:color w:val="378630"/>
          <w:sz w:val="26"/>
        </w:rPr>
        <w:t>C.  Deduplication logic</w:t>
      </w:r>
    </w:p>
    <w:p>
      <w:r>
        <w:rPr>
          <w:rFonts w:ascii="Aptos" w:hAnsi="Aptos"/>
          <w:b w:val="0"/>
          <w:color w:val="262626"/>
          <w:sz w:val="24"/>
        </w:rPr>
        <w:t>As with the rest of the NOVA-based tools, monthly snapshots are cumulative: the same active contract appears again in every snapshot for as long as it remains in fleet, so raw row counts would overstate volumes many times over. Two different deduplication keys are used in Use Case 1, depending on the metric being computed.</w:t>
      </w:r>
    </w:p>
    <w:p>
      <w:pPr>
        <w:pStyle w:val="ListBullet"/>
      </w:pPr>
      <w:r>
        <w:rPr>
          <w:rFonts w:ascii="Aptos" w:hAnsi="Aptos"/>
          <w:b/>
          <w:color w:val="000000"/>
          <w:sz w:val="24"/>
        </w:rPr>
        <w:t xml:space="preserve">Contract key — </w:t>
      </w:r>
      <w:r>
        <w:rPr>
          <w:rFonts w:ascii="Aptos" w:hAnsi="Aptos"/>
          <w:b w:val="0"/>
          <w:color w:val="262626"/>
          <w:sz w:val="24"/>
        </w:rPr>
        <w:t>the combination of ID_CONTRACT, VEHICLE_ID and ID_QUOTATION. Whenever more than one monthly snapshot exists for the same key, only the row carrying the latest COB_DATE is kept. This key backs the Volume and Vehicle Price metrics described in Part 2.</w:t>
      </w:r>
    </w:p>
    <w:p>
      <w:pPr>
        <w:pStyle w:val="ListBullet"/>
      </w:pPr>
      <w:r>
        <w:rPr>
          <w:rFonts w:ascii="Aptos" w:hAnsi="Aptos"/>
          <w:b/>
          <w:color w:val="000000"/>
          <w:sz w:val="24"/>
        </w:rPr>
        <w:t xml:space="preserve">Customer key — </w:t>
      </w:r>
      <w:r>
        <w:rPr>
          <w:rFonts w:ascii="Aptos" w:hAnsi="Aptos"/>
          <w:b w:val="0"/>
          <w:color w:val="262626"/>
          <w:sz w:val="24"/>
        </w:rPr>
        <w:t>the combination of the current Y-axis value, the current X-axis value and ID_CUSTOMER, again keeping the latest COB_DATE. This second key backs the Exposure metric specifically, so that a single customer holding several matching contracts is never counted more than once inside the same heatmap cell. The headline KPI band above the heatmap uses an even simpler version of this key, ID_CUSTOMER alone, because it reports one portfolio-wide total independent of whatever axes are currently selected.</w:t>
      </w:r>
    </w:p>
    <w:p>
      <w:pPr>
        <w:spacing w:before="400" w:after="120"/>
      </w:pPr>
      <w:r>
        <w:rPr>
          <w:rFonts w:ascii="Aptos" w:hAnsi="Aptos"/>
          <w:b/>
          <w:color w:val="215868"/>
          <w:sz w:val="34"/>
        </w:rPr>
        <w:t>Part 2.  Filters and Heatmap Configuration</w:t>
      </w:r>
    </w:p>
    <w:p>
      <w:r>
        <w:rPr>
          <w:rFonts w:ascii="Aptos" w:hAnsi="Aptos"/>
          <w:b w:val="0"/>
          <w:color w:val="262626"/>
          <w:sz w:val="24"/>
        </w:rPr>
        <w:t>This part describes every control available to the user, from the left-hand filter panel to the axes, the metric choice and the heatmap grid itself, along with the internal logic behind each one.</w:t>
      </w:r>
    </w:p>
    <w:p>
      <w:pPr>
        <w:spacing w:before="200" w:after="60"/>
      </w:pPr>
      <w:r>
        <w:rPr>
          <w:rFonts w:ascii="Aptos" w:hAnsi="Aptos"/>
          <w:b/>
          <w:color w:val="378630"/>
          <w:sz w:val="26"/>
        </w:rPr>
        <w:t>A.  Portfolio filters</w:t>
      </w:r>
    </w:p>
    <w:p>
      <w:r>
        <w:rPr>
          <w:rFonts w:ascii="Aptos" w:hAnsi="Aptos"/>
          <w:b w:val="0"/>
          <w:color w:val="262626"/>
          <w:sz w:val="24"/>
        </w:rPr>
        <w:t>Country restricts the portfolio to a single country, or ALL to disable the filter. Asset Status offers ALL together with every NOVA_ASSET_STATUS value actually present in the data, and defaults to IN FLEET to reproduce the behaviour of earlier versions of the tool where that status was the only one available.</w:t>
      </w:r>
    </w:p>
    <w:p>
      <w:r>
        <w:rPr>
          <w:rFonts w:ascii="Aptos" w:hAnsi="Aptos"/>
          <w:b w:val="0"/>
          <w:color w:val="262626"/>
          <w:sz w:val="24"/>
        </w:rPr>
        <w:t>Brand and Market Model are linked in both directions rather than following the usual single-direction cascade. A reverse lookup, mapping every market model to the brand or brands that carry it, is built once at start-up from the full loaded dataset.</w:t>
      </w:r>
    </w:p>
    <w:p>
      <w:pPr>
        <w:pStyle w:val="ListBullet"/>
      </w:pPr>
      <w:r>
        <w:rPr>
          <w:rFonts w:ascii="Aptos" w:hAnsi="Aptos"/>
          <w:b/>
          <w:color w:val="000000"/>
          <w:sz w:val="24"/>
        </w:rPr>
        <w:t xml:space="preserve">Selecting a brand — </w:t>
      </w:r>
      <w:r>
        <w:rPr>
          <w:rFonts w:ascii="Aptos" w:hAnsi="Aptos"/>
          <w:b w:val="0"/>
          <w:color w:val="262626"/>
          <w:sz w:val="24"/>
        </w:rPr>
        <w:t>immediately restricts the Market Model and Body Type options to only the values that actually exist for that brand in the current data.</w:t>
      </w:r>
    </w:p>
    <w:p>
      <w:pPr>
        <w:pStyle w:val="ListBullet"/>
      </w:pPr>
      <w:r>
        <w:rPr>
          <w:rFonts w:ascii="Aptos" w:hAnsi="Aptos"/>
          <w:b/>
          <w:color w:val="000000"/>
          <w:sz w:val="24"/>
        </w:rPr>
        <w:t xml:space="preserve">Selecting a model — </w:t>
      </w:r>
      <w:r>
        <w:rPr>
          <w:rFonts w:ascii="Aptos" w:hAnsi="Aptos"/>
          <w:b w:val="0"/>
          <w:color w:val="262626"/>
          <w:sz w:val="24"/>
        </w:rPr>
        <w:t>automatically selects the matching brand or brands in return, without requiring a click on Refresh, using the reverse lookup described above.</w:t>
      </w:r>
    </w:p>
    <w:p>
      <w:r>
        <w:rPr>
          <w:rFonts w:ascii="Aptos" w:hAnsi="Aptos"/>
          <w:b w:val="0"/>
          <w:color w:val="262626"/>
          <w:sz w:val="24"/>
        </w:rPr>
        <w:t>Body Type follows the same brand-restricted logic as Market Model.</w:t>
      </w:r>
    </w:p>
    <w:p>
      <w:pPr>
        <w:spacing w:before="200" w:after="60"/>
      </w:pPr>
      <w:r>
        <w:rPr>
          <w:rFonts w:ascii="Aptos" w:hAnsi="Aptos"/>
          <w:b/>
          <w:color w:val="378630"/>
          <w:sz w:val="26"/>
        </w:rPr>
        <w:t>B.  Heatmap axes and rating order</w:t>
      </w:r>
    </w:p>
    <w:p>
      <w:r>
        <w:rPr>
          <w:rFonts w:ascii="Aptos" w:hAnsi="Aptos"/>
          <w:b w:val="0"/>
          <w:color w:val="262626"/>
          <w:sz w:val="24"/>
        </w:rPr>
        <w:t>The X and Y axes share a single list of seven dimensions: Brand, Power Category, CO2 Bucket, Industry Type, Group Rating, Counterparty Rating and CLS Group Rating. The same dimension cannot be selected on both axes at once, as soon as a value is chosen on one axis it disappears from the option list of the other, which prevents a meaningless single-dimension heatmap.</w:t>
      </w:r>
    </w:p>
    <w:p>
      <w:r>
        <w:rPr>
          <w:rFonts w:ascii="Aptos" w:hAnsi="Aptos"/>
          <w:b w:val="0"/>
          <w:color w:val="262626"/>
          <w:sz w:val="24"/>
        </w:rPr>
        <w:t>Group Rating and Counterparty Rating need special handling because their values are grade strings such as “02+”, “02” and “02-”, which sort incorrectly under a plain alphabetical order (for example “10” would sort before “2”). Instead of a fixed list, each value is parsed algorithmically into a numeric grade and a suffix rank, where the minus suffix ranks zero, no suffix ranks one, and the plus suffix ranks two. Sorting on the pair of grade and suffix rank keeps working for any grade actually present in the data. A contract with a missing rating is no longer dropped from the heatmap either, it is grouped under the literal category “NR”, which is given a sort key below every real grade so it always appears first; if no contract in the current selection is missing a rating, the NR category simply never appears.</w:t>
      </w:r>
    </w:p>
    <w:p>
      <w:r>
        <w:rPr>
          <w:rFonts w:ascii="Aptos" w:hAnsi="Aptos"/>
          <w:b w:val="0"/>
          <w:color w:val="262626"/>
          <w:sz w:val="24"/>
        </w:rPr>
        <w:t>One further detail matters for the vertical axis specifically. The charting library renders the last entry of a category array at the top of the Y axis and the first entry at the bottom, the opposite convention from the X axis, where the first entry sits on the left. The computed rating order is therefore reversed only when a rating field is placed on the Y axis, so that both axes end up reading from the lowest grade to the highest in the same visual direction.</w:t>
      </w:r>
    </w:p>
    <w:p>
      <w:pPr>
        <w:spacing w:before="200" w:after="60"/>
      </w:pPr>
      <w:r>
        <w:rPr>
          <w:rFonts w:ascii="Aptos" w:hAnsi="Aptos"/>
          <w:b/>
          <w:color w:val="378630"/>
          <w:sz w:val="26"/>
        </w:rPr>
        <w:t>C.  Metrics</w:t>
      </w:r>
    </w:p>
    <w:p>
      <w:r>
        <w:rPr>
          <w:rFonts w:ascii="Aptos" w:hAnsi="Aptos"/>
          <w:b w:val="0"/>
          <w:color w:val="262626"/>
          <w:sz w:val="24"/>
        </w:rPr>
        <w:t>Volume counts distinct contracts after the standard contract-key deduplication described in Part 1.C. Vehicle Price sums VEHICLE_PRICE_EUR after the same contract-level deduplication.</w:t>
      </w:r>
    </w:p>
    <w:p>
      <w:r>
        <w:rPr>
          <w:rFonts w:ascii="Aptos" w:hAnsi="Aptos"/>
          <w:b w:val="0"/>
          <w:color w:val="262626"/>
          <w:sz w:val="24"/>
        </w:rPr>
        <w:t>Exposure is the most involved metric and is computed in three steps. A row-level exposure value is first calculated as EXPOSURE_AMOUNT_LTR plus PENDING_ORDERS, with missing values treated as zero. The rows are then deduplicated using the customer key described in Part 1.C, keeping the latest COB_DATE per customer within each heatmap cell. Finally, the deduplicated exposures are summed to produce the value shown in that cell. The headline KPI band above the heatmap reuses the same row-level formula but deduplicates by ID_CUSTOMER alone, independently of whatever axes are selected, so it always reports one true exposure total for the filtered portfolio rather than a sum that could double-count a customer appearing in several cells.</w:t>
      </w:r>
    </w:p>
    <w:p>
      <w:pPr>
        <w:spacing w:before="200" w:after="60"/>
      </w:pPr>
      <w:r>
        <w:rPr>
          <w:rFonts w:ascii="Aptos" w:hAnsi="Aptos"/>
          <w:b/>
          <w:color w:val="378630"/>
          <w:sz w:val="26"/>
        </w:rPr>
        <w:t>D.  Heatmap rendering</w:t>
      </w:r>
    </w:p>
    <w:p>
      <w:r>
        <w:rPr>
          <w:rFonts w:ascii="Aptos" w:hAnsi="Aptos"/>
          <w:b w:val="0"/>
          <w:color w:val="262626"/>
          <w:sz w:val="24"/>
        </w:rPr>
        <w:t>The Y-axis category list is paginated at fifteen rows per page, while the X axis always displays every category at once. A Total row and a Total column are appended to the grid, both left uncoloured so they read as a summary line rather than another data category. A coloured band above the grid reports the selected metric on the entire filtered portfolio, before any axis breakdown, Volume as a plain integer and Exposure or Vehicle Price in millions, with the number of decimals adapted automatically so values below one million still show meaningful digits instead of rounding away to zero.</w:t>
      </w:r>
    </w:p>
    <w:p>
      <w:pPr>
        <w:spacing w:before="400" w:after="120"/>
      </w:pPr>
      <w:r>
        <w:rPr>
          <w:rFonts w:ascii="Aptos" w:hAnsi="Aptos"/>
          <w:b/>
          <w:color w:val="215868"/>
          <w:sz w:val="34"/>
        </w:rPr>
        <w:t>Part 3.  Portfolio Simulation</w:t>
      </w:r>
    </w:p>
    <w:p>
      <w:r>
        <w:rPr>
          <w:rFonts w:ascii="Aptos" w:hAnsi="Aptos"/>
          <w:b w:val="0"/>
          <w:color w:val="262626"/>
          <w:sz w:val="24"/>
        </w:rPr>
        <w:t>The Simulation panel, hidden by default and opened from the filter panel, lets a user test the effect of adding or removing vehicles without touching the real underlying data. Nothing typed or chosen in this panel is written back to the source files.</w:t>
      </w:r>
    </w:p>
    <w:p>
      <w:pPr>
        <w:spacing w:before="200" w:after="60"/>
      </w:pPr>
      <w:r>
        <w:rPr>
          <w:rFonts w:ascii="Aptos" w:hAnsi="Aptos"/>
          <w:b/>
          <w:color w:val="378630"/>
          <w:sz w:val="26"/>
        </w:rPr>
        <w:t>A.  Add Vehicles wizard</w:t>
      </w:r>
    </w:p>
    <w:p>
      <w:r>
        <w:rPr>
          <w:rFonts w:ascii="Aptos" w:hAnsi="Aptos"/>
          <w:b w:val="0"/>
          <w:color w:val="262626"/>
          <w:sz w:val="24"/>
        </w:rPr>
        <w:t>The Add Vehicles button opens a guided, five-step wizard that builds one fully specified batch of synthetic vehicles at a time. Every field that feeds a heatmap axis or metric is chosen explicitly by the user in this wizard, nothing is drawn from a random distribution.</w:t>
      </w:r>
    </w:p>
    <w:p>
      <w:pPr>
        <w:pStyle w:val="ListNumber"/>
      </w:pPr>
      <w:r>
        <w:rPr>
          <w:rFonts w:ascii="Aptos" w:hAnsi="Aptos"/>
          <w:b/>
          <w:color w:val="000000"/>
          <w:sz w:val="24"/>
        </w:rPr>
        <w:t xml:space="preserve">Quantity and Brand. </w:t>
      </w:r>
      <w:r>
        <w:rPr>
          <w:rFonts w:ascii="Aptos" w:hAnsi="Aptos"/>
          <w:b w:val="0"/>
          <w:color w:val="262626"/>
          <w:sz w:val="24"/>
        </w:rPr>
        <w:t>the number of vehicles to create and the brand they belong to.</w:t>
      </w:r>
    </w:p>
    <w:p>
      <w:pPr>
        <w:pStyle w:val="ListNumber"/>
      </w:pPr>
      <w:r>
        <w:rPr>
          <w:rFonts w:ascii="Aptos" w:hAnsi="Aptos"/>
          <w:b/>
          <w:color w:val="000000"/>
          <w:sz w:val="24"/>
        </w:rPr>
        <w:t xml:space="preserve">Model and Body Type. </w:t>
      </w:r>
      <w:r>
        <w:rPr>
          <w:rFonts w:ascii="Aptos" w:hAnsi="Aptos"/>
          <w:b w:val="0"/>
          <w:color w:val="262626"/>
          <w:sz w:val="24"/>
        </w:rPr>
        <w:t>restricted to the models and body types that actually exist for the brand chosen in the previous step.</w:t>
      </w:r>
    </w:p>
    <w:p>
      <w:pPr>
        <w:pStyle w:val="ListNumber"/>
      </w:pPr>
      <w:r>
        <w:rPr>
          <w:rFonts w:ascii="Aptos" w:hAnsi="Aptos"/>
          <w:b/>
          <w:color w:val="000000"/>
          <w:sz w:val="24"/>
        </w:rPr>
        <w:t xml:space="preserve">Characteristics. </w:t>
      </w:r>
      <w:r>
        <w:rPr>
          <w:rFonts w:ascii="Aptos" w:hAnsi="Aptos"/>
          <w:b w:val="0"/>
          <w:color w:val="262626"/>
          <w:sz w:val="24"/>
        </w:rPr>
        <w:t>Power Category and CO2 Bucket, restricted to the values observed for the brand-and-model combination chosen so far.</w:t>
      </w:r>
    </w:p>
    <w:p>
      <w:pPr>
        <w:pStyle w:val="ListNumber"/>
      </w:pPr>
      <w:r>
        <w:rPr>
          <w:rFonts w:ascii="Aptos" w:hAnsi="Aptos"/>
          <w:b/>
          <w:color w:val="000000"/>
          <w:sz w:val="24"/>
        </w:rPr>
        <w:t xml:space="preserve">Customer. </w:t>
      </w:r>
      <w:r>
        <w:rPr>
          <w:rFonts w:ascii="Aptos" w:hAnsi="Aptos"/>
          <w:b w:val="0"/>
          <w:color w:val="262626"/>
          <w:sz w:val="24"/>
        </w:rPr>
        <w:t>either an existing customer, searched by OBLIGOR_IDENTIFIER or by industry keyword with industry, ratings, shared-client flag and country auto-filled as read-only fields, or a new customer whose industry, all three ratings and shared-client flag are entered manually and given a freshly generated identifier.</w:t>
      </w:r>
    </w:p>
    <w:p>
      <w:pPr>
        <w:pStyle w:val="ListNumber"/>
      </w:pPr>
      <w:r>
        <w:rPr>
          <w:rFonts w:ascii="Aptos" w:hAnsi="Aptos"/>
          <w:b/>
          <w:color w:val="000000"/>
          <w:sz w:val="24"/>
        </w:rPr>
        <w:t xml:space="preserve">Price and Review. </w:t>
      </w:r>
      <w:r>
        <w:rPr>
          <w:rFonts w:ascii="Aptos" w:hAnsi="Aptos"/>
          <w:b w:val="0"/>
          <w:color w:val="262626"/>
          <w:sz w:val="24"/>
        </w:rPr>
        <w:t>the vehicle price and the two exposure amounts, LTR and MTR, followed by a full summary of the batch before it can be queued.</w:t>
      </w:r>
    </w:p>
    <w:p>
      <w:r>
        <w:rPr>
          <w:rFonts w:ascii="Aptos" w:hAnsi="Aptos"/>
          <w:b w:val="0"/>
          <w:color w:val="262626"/>
          <w:sz w:val="24"/>
        </w:rPr>
        <w:t>Each validated batch is appended to a pending list shown beneath the wizard, where individual batches can be removed before the simulation runs. Several distinct batches, for example different brands added in the same session, can be queued together and are all applied in a single simulation run.</w:t>
      </w:r>
    </w:p>
    <w:p>
      <w:pPr>
        <w:spacing w:before="200" w:after="60"/>
      </w:pPr>
      <w:r>
        <w:rPr>
          <w:rFonts w:ascii="Aptos" w:hAnsi="Aptos"/>
          <w:b/>
          <w:color w:val="378630"/>
          <w:sz w:val="26"/>
        </w:rPr>
        <w:t>B.  Removing vehicles and running the simulation</w:t>
      </w:r>
    </w:p>
    <w:p>
      <w:r>
        <w:rPr>
          <w:rFonts w:ascii="Aptos" w:hAnsi="Aptos"/>
          <w:b w:val="0"/>
          <w:color w:val="262626"/>
          <w:sz w:val="24"/>
        </w:rPr>
        <w:t>A second panel lets the user pick a grouping dimension and remove a chosen number of existing contracts per category shown on the current page. Removal picks arbitrarily among the rows already sharing that category, nothing about the category or the metric values themselves is randomised, only which individual rows disappear.</w:t>
      </w:r>
    </w:p>
    <w:p>
      <w:r>
        <w:rPr>
          <w:rFonts w:ascii="Aptos" w:hAnsi="Aptos"/>
          <w:b w:val="0"/>
          <w:color w:val="262626"/>
          <w:sz w:val="24"/>
        </w:rPr>
        <w:t>Running the simulation applies every queued addition and every requested removal in a single pass over the filtered portfolio and produces three heatmaps stacked vertically: Original, showing the current portfolio unchanged; Simulated, showing the portfolio after every addition and removal; and Delta, the cell-by-cell difference between the two. The colour scale of the Delta heatmap is deliberately computed from the values on the currently displayed page only, not from the full underlying matrix. Using the full matrix would wash out a genuine change on the visible page whenever a much larger change exists elsewhere in the table, since both would then share the same colour range; restricting the range to the visible page keeps real changes visible regardless of what else is happening off-page.</w:t>
      </w:r>
    </w:p>
    <w:p>
      <w:pPr>
        <w:pStyle w:val="ListBullet"/>
      </w:pPr>
      <w:r>
        <w:rPr>
          <w:rFonts w:ascii="Aptos" w:hAnsi="Aptos"/>
          <w:b/>
          <w:color w:val="000000"/>
          <w:sz w:val="24"/>
        </w:rPr>
        <w:t xml:space="preserve">Visual: </w:t>
      </w:r>
      <w:r>
        <w:rPr>
          <w:rFonts w:ascii="Aptos" w:hAnsi="Aptos"/>
          <w:b w:val="0"/>
          <w:color w:val="262626"/>
          <w:sz w:val="24"/>
        </w:rPr>
        <w:t>Three stacked heatmaps, Original, Simulated and Delta, each carrying the same row and column totals as the main heatmap.</w:t>
      </w:r>
    </w:p>
    <w:p>
      <w:pPr>
        <w:pStyle w:val="ListBullet"/>
      </w:pPr>
      <w:r>
        <w:rPr>
          <w:rFonts w:ascii="Aptos" w:hAnsi="Aptos"/>
          <w:b/>
          <w:color w:val="000000"/>
          <w:sz w:val="24"/>
        </w:rPr>
        <w:t xml:space="preserve">Inputs: </w:t>
      </w:r>
      <w:r>
        <w:rPr>
          <w:rFonts w:ascii="Aptos" w:hAnsi="Aptos"/>
          <w:b w:val="0"/>
          <w:color w:val="262626"/>
          <w:sz w:val="24"/>
        </w:rPr>
        <w:t>Current filters and axes, the pending batch queue, and the Remove Existing Vehicles quantities.</w:t>
      </w:r>
    </w:p>
    <w:p>
      <w:pPr>
        <w:spacing w:before="200" w:after="60"/>
      </w:pPr>
      <w:r>
        <w:rPr>
          <w:rFonts w:ascii="Aptos" w:hAnsi="Aptos"/>
          <w:b/>
          <w:color w:val="378630"/>
          <w:sz w:val="26"/>
        </w:rPr>
        <w:t>C.  Synthetic vehicle and customer generation</w:t>
      </w:r>
    </w:p>
    <w:p>
      <w:r>
        <w:rPr>
          <w:rFonts w:ascii="Aptos" w:hAnsi="Aptos"/>
          <w:b w:val="0"/>
          <w:color w:val="262626"/>
          <w:sz w:val="24"/>
        </w:rPr>
        <w:t>Every synthetic vehicle created from a queued batch receives a value for every field of the real NOVA schema, not only the fields collected in the wizard, so it aggregates identically to a genuine row in any pivot. Fields not exposed in the wizard, such as the detailed fuel type or the contract duration, are filled with the most frequent value observed for the chosen brand and model, a deterministic mode-based lookup rather than a random draw, so the same input always produces the same output.</w:t>
      </w:r>
    </w:p>
    <w:p>
      <w:r>
        <w:rPr>
          <w:rFonts w:ascii="Aptos" w:hAnsi="Aptos"/>
          <w:b w:val="0"/>
          <w:color w:val="262626"/>
          <w:sz w:val="24"/>
        </w:rPr>
        <w:t>When a new customer is created inside the wizard, an identifier is generated from the country code and an internal counter that increments on every creation, keeping identifiers unique within a session. Added vehicles also receive a COB_DATE computed from the period currently selected in the top bar, so they appear immediately in the simulation regardless of whether that period is monthly, quarterly or yearly.</w:t>
      </w:r>
    </w:p>
    <w:p>
      <w:pPr>
        <w:spacing w:before="400" w:after="120"/>
      </w:pPr>
      <w:r>
        <w:rPr>
          <w:rFonts w:ascii="Aptos" w:hAnsi="Aptos"/>
          <w:b/>
          <w:color w:val="215868"/>
          <w:sz w:val="34"/>
        </w:rPr>
        <w:t>Part 4.  Known Data Quality Notes</w:t>
      </w:r>
    </w:p>
    <w:p>
      <w:pPr>
        <w:spacing w:before="200" w:after="60"/>
      </w:pPr>
      <w:r>
        <w:rPr>
          <w:rFonts w:ascii="Aptos" w:hAnsi="Aptos"/>
          <w:b/>
          <w:color w:val="378630"/>
          <w:sz w:val="26"/>
        </w:rPr>
        <w:t>A.  Brand and Market Model correlation</w:t>
      </w:r>
    </w:p>
    <w:p>
      <w:r>
        <w:rPr>
          <w:rFonts w:ascii="Aptos" w:hAnsi="Aptos"/>
          <w:b w:val="0"/>
          <w:color w:val="262626"/>
          <w:sz w:val="24"/>
        </w:rPr>
        <w:t>The models reference file sometimes associates the same market model label with several different brands. The Brand-to-Market-Model cascade described in Part 2.A faithfully reflects this reality of the underlying data rather than hiding it, which can make a single model appear to belong to multiple brands at once when a user browses the filter options.</w:t>
      </w:r>
    </w:p>
    <w:p>
      <w:pPr>
        <w:spacing w:before="200" w:after="60"/>
      </w:pPr>
      <w:r>
        <w:rPr>
          <w:rFonts w:ascii="Aptos" w:hAnsi="Aptos"/>
          <w:b/>
          <w:color w:val="378630"/>
          <w:sz w:val="26"/>
        </w:rPr>
        <w:t>B.  Temporary fields</w:t>
      </w:r>
    </w:p>
    <w:p>
      <w:r>
        <w:rPr>
          <w:rFonts w:ascii="Aptos" w:hAnsi="Aptos"/>
          <w:b w:val="0"/>
          <w:color w:val="262626"/>
          <w:sz w:val="24"/>
        </w:rPr>
        <w:t>PENDING_ORDERS and ID_CUSTOMER, used by the Exposure metric and described in Part 1.A, are not yet part of the NOVA schema on every machine. They were added to the local parquet files by a temporary backfill script and should be replaced by the real fields, read natively, once they are available in the full reference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