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287" w:hRule="atLeast"/>
        </w:trPr>
        <w:tc>
          <w:tcPr>
            <w:tcW w:type="dxa" w:w="737"/>
            <w:shd w:val="clear" w:color="auto" w:fill="1C2E49"/>
          </w:tcPr>
          <w:p/>
        </w:tc>
        <w:tc>
          <w:tcPr>
            <w:tcW w:type="dxa" w:w="9128"/>
            <w:vAlign w:val="top"/>
          </w:tcPr>
          <w:p>
            <w:pPr>
              <w:spacing w:after="16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512000" cy="15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15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/>
            </w:pPr>
            <w:r>
              <w:rPr>
                <w:rFonts w:ascii="Inter" w:hAnsi="Inter"/>
                <w:b/>
                <w:color w:val="B5934A"/>
                <w:spacing w:val="60"/>
                <w:sz w:val="24"/>
              </w:rPr>
              <w:t>PNEUMOLOGIE</w:t>
            </w:r>
          </w:p>
          <w:p>
            <w:pPr>
              <w:spacing w:before="160"/>
            </w:pPr>
            <w:r>
              <w:rPr>
                <w:rFonts w:ascii="Playfair Display" w:hAnsi="Playfair Display"/>
                <w:b/>
                <w:color w:val="1C2E49"/>
                <w:sz w:val="76"/>
              </w:rPr>
              <w:t>Pneumologie</w:t>
            </w:r>
          </w:p>
          <w:p>
            <w:pPr>
              <w:spacing w:before="120"/>
            </w:pPr>
            <w:r>
              <w:rPr>
                <w:rFonts w:ascii="Cormorant Garamond" w:hAnsi="Cormorant Garamond"/>
                <w:i/>
                <w:color w:val="8E99A8"/>
                <w:sz w:val="30"/>
              </w:rPr>
              <w:t>Année 2025-2026</w:t>
            </w:r>
          </w:p>
          <w:p>
            <w:pPr>
              <w:spacing w:before="60"/>
            </w:pPr>
            <w:r>
              <w:rPr>
                <w:rFonts w:ascii="Inter" w:hAnsi="Inter"/>
                <w:color w:val="8E99A8"/>
                <w:spacing w:val="30"/>
                <w:sz w:val="18"/>
              </w:rPr>
              <w:t>ITEMS 184, 205, 209, 202, 200, 354, 356, 108, 73, 75</w:t>
            </w:r>
          </w:p>
          <w:p>
            <w:pPr>
              <w:pBdr>
                <w:bottom w:val="single" w:sz="4" w:space="4" w:color="1C2E49"/>
              </w:pBdr>
              <w:spacing w:before="600" w:after="120"/>
            </w:pPr>
            <w:r>
              <w:rPr>
                <w:rFonts w:ascii="Inter" w:hAnsi="Inter"/>
                <w:b/>
                <w:color w:val="1C2E49"/>
                <w:spacing w:val="50"/>
                <w:sz w:val="19"/>
              </w:rPr>
              <w:t>PLAN DU COURS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9"/>
              </w:rPr>
              <w:t xml:space="preserve">I    </w:t>
            </w:r>
            <w:r>
              <w:rPr>
                <w:rFonts w:ascii="Cormorant Garamond" w:hAnsi="Cormorant Garamond"/>
                <w:b/>
                <w:color w:val="1F2A38"/>
                <w:sz w:val="27"/>
              </w:rPr>
              <w:t>Asthme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9"/>
              </w:rPr>
              <w:t xml:space="preserve">II    </w:t>
            </w:r>
            <w:r>
              <w:rPr>
                <w:rFonts w:ascii="Cormorant Garamond" w:hAnsi="Cormorant Garamond"/>
                <w:b/>
                <w:color w:val="1F2A38"/>
                <w:sz w:val="27"/>
              </w:rPr>
              <w:t>BPCO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9"/>
              </w:rPr>
              <w:t xml:space="preserve">III    </w:t>
            </w:r>
            <w:r>
              <w:rPr>
                <w:rFonts w:ascii="Cormorant Garamond" w:hAnsi="Cormorant Garamond"/>
                <w:b/>
                <w:color w:val="1F2A38"/>
                <w:sz w:val="27"/>
              </w:rPr>
              <w:t>Sémiologie et urgences respiratoires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9"/>
              </w:rPr>
              <w:t xml:space="preserve">IV    </w:t>
            </w:r>
            <w:r>
              <w:rPr>
                <w:rFonts w:ascii="Cormorant Garamond" w:hAnsi="Cormorant Garamond"/>
                <w:b/>
                <w:color w:val="1F2A38"/>
                <w:sz w:val="27"/>
              </w:rPr>
              <w:t>Épanchement pleural et pneumothorax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9"/>
              </w:rPr>
              <w:t xml:space="preserve">V    </w:t>
            </w:r>
            <w:r>
              <w:rPr>
                <w:rFonts w:ascii="Cormorant Garamond" w:hAnsi="Cormorant Garamond"/>
                <w:b/>
                <w:color w:val="1F2A38"/>
                <w:sz w:val="27"/>
              </w:rPr>
              <w:t>Imagerie et EFR</w:t>
            </w:r>
          </w:p>
          <w:p>
            <w:pPr>
              <w:spacing w:before="100" w:after="100"/>
            </w:pPr>
            <w:r>
              <w:rPr>
                <w:rFonts w:ascii="Playfair Display" w:hAnsi="Playfair Display"/>
                <w:b/>
                <w:color w:val="B5934A"/>
                <w:sz w:val="29"/>
              </w:rPr>
              <w:t xml:space="preserve">VI    </w:t>
            </w:r>
            <w:r>
              <w:rPr>
                <w:rFonts w:ascii="Cormorant Garamond" w:hAnsi="Cormorant Garamond"/>
                <w:b/>
                <w:color w:val="1F2A38"/>
                <w:sz w:val="27"/>
              </w:rPr>
              <w:t>Pathologies spécifiques</w:t>
            </w:r>
          </w:p>
          <w:p>
            <w:pPr>
              <w:pBdr>
                <w:bottom w:val="single" w:sz="4" w:space="4" w:color="1C2E49"/>
              </w:pBdr>
              <w:spacing w:before="520" w:after="120"/>
            </w:pPr>
            <w:r>
              <w:rPr>
                <w:rFonts w:ascii="Inter" w:hAnsi="Inter"/>
                <w:b/>
                <w:color w:val="1C2E49"/>
                <w:spacing w:val="50"/>
                <w:sz w:val="19"/>
              </w:rPr>
              <w:t>LÉGENDE</w:t>
            </w:r>
          </w:p>
          <w:p>
            <w:pPr>
              <w:spacing w:before="60"/>
            </w:pPr>
            <w:r>
              <w:rPr>
                <w:b/>
                <w:color w:val="B5934A"/>
                <w:sz w:val="22"/>
              </w:rPr>
              <w:t xml:space="preserve">★   </w:t>
            </w:r>
            <w:r>
              <w:rPr>
                <w:rFonts w:ascii="Inter" w:hAnsi="Inter"/>
                <w:color w:val="1F2A38"/>
                <w:sz w:val="19"/>
              </w:rPr>
              <w:t>Déjà tombé aux ECN</w:t>
            </w:r>
          </w:p>
          <w:p>
            <w:pPr>
              <w:spacing w:before="60"/>
            </w:pPr>
            <w:r>
              <w:rPr>
                <w:b/>
                <w:color w:val="1C2E49"/>
                <w:sz w:val="22"/>
              </w:rPr>
              <w:t xml:space="preserve">◆   </w:t>
            </w:r>
            <w:r>
              <w:rPr>
                <w:rFonts w:ascii="Inter" w:hAnsi="Inter"/>
                <w:color w:val="1F2A38"/>
                <w:sz w:val="19"/>
              </w:rPr>
              <w:t>Notion à haut rendement</w:t>
            </w:r>
          </w:p>
          <w:p>
            <w:pPr>
              <w:spacing w:before="60"/>
            </w:pPr>
            <w:r>
              <w:rPr>
                <w:b/>
                <w:color w:val="8C2F39"/>
                <w:sz w:val="22"/>
              </w:rPr>
              <w:t xml:space="preserve">⚠   </w:t>
            </w:r>
            <w:r>
              <w:rPr>
                <w:rFonts w:ascii="Inter" w:hAnsi="Inter"/>
                <w:color w:val="1F2A38"/>
                <w:sz w:val="19"/>
              </w:rPr>
              <w:t>Piège classique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Asthme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A.  Généralités et physiopathologie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Épidémiologie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Prévalence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adulte 5-7%, enfant 8%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Mortalité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~1 000 décès/an en France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FDR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ATCD familiaux asthme, infections virales, sensibilisation aux pneumallergènes, exposition au tabac, pollution intérieure (biocombustibles), polluants atmosphériques (diesel)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Définition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Asthme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maladie inflammatoire chronique des voies aériennes associant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Symptômes respiratoires paroxystiques (dyspnée, sifflements, oppression thoracique, toux)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Obstruction des voies aériennes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Variabilité des symptômes et de l'obstruction au cours du temps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Hyper-réactivité bronchique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bronchoconstriction exagérée lors exposition à divers stimuli (air sec, pollution)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Physiopathologie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Inflammation caractérisée par réaction immunitaire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Th2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Modifications structurales (remodelage)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Hyper-réactivité bronchique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Conséquence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obstruction des voies aériennes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Asthme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B.  Tableau clinique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Terrain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ATCD familiaux d'asthme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ATCD personnels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rhinite allergique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, rhino-sinusite chronique,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eczéma atopique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Souvent diagnostic antérieur de « bronchites à répétition »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Signes fonctionnels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Oppression thoracique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Sifflements expiratoires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transitoires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Dyspnée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Toux déclenchée par l'effort +/- sifflements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Symptômes de durée brève (quelques minutes à 20 min),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paroxystiques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récidivants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Épisodes d'exacerbations et AAG : dyspnée aiguë type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bradypnée expiratoire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, sibilants, amélioration sous bronchodilatateurs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19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Histoire de la maladie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Association de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plusieurs symptômes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Aggravation la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nuit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et au réveil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Caractère paroxystique et récidivant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Variabilité d'intensité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Déclenchement par : infections virales, exercice, allergènes, irritants, rire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Asthme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C.  Examens complémentaires et diagnostic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EFR — Spirométrie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Courbe débit-volume : aspect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concave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avec diminution de l'ensemble des débits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Diagnostic positif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TVO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VEMS/CVF &lt;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0,7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Réversibilité significative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après BDCA ou corticothérapie systémique 2 semaines :</w:t>
            </w:r>
          </w:p>
          <w:p>
            <w:pPr>
              <w:pStyle w:val="ListBullet3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Augmentation VEMS &gt;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200 mL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par rapport à la valeur initiale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ET</w:t>
            </w:r>
          </w:p>
          <w:p>
            <w:pPr>
              <w:pStyle w:val="ListBullet3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Augmentation &gt;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12%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par rapport à la valeur initiale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Réversibilité complète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normalisation VEMS/CVF &gt; 0,7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ET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normalisation VEMS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Test de provocation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Indications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suspicion d'asthme à l'interrogatoire MAIS absence de TVO à l'état basal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Hyper-réactivité bronchique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diminution VEMS &gt;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20%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après inhalation de métacholine ou stimulation par air sec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Piège : ne pas confondre réversibilité significative et complète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DEP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Débit maximal instantané mesuré lors d'une expiration forcée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Moins fiable que le VEMS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Utile : urgences, diagnostic asthme professionnel, auto-surveillance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RXT F+P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Indiquée lors de la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première consultation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et lors des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exacerbations graves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Non recommandée pour le suivi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But : éliminer les diagnostics différentiels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Bilan allergologique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Indications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bilan initial, contrôle non acquis malgré traitement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Par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prick-tests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vis-à-vis des pneumallergènes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Dosage IgE spécifiques si discordance clinique/prick-tests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Diagnostics différentiels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sans TVO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syndrome de toux des VAS, dysfonction des cordes vocales, syndrome d'hyperventilation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Diagnostics différentiels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avec TVO non réversible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BPCO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(ACOS), bronchectasies, mucoviscidose, dysplasie bronchopulmonaire, bronchiolite obstructive, corps étranger, trachéobronchomalacie, insuffisance cardiaque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Asthme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D.  Prise en charge au long cours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Facteurs favorisants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Rhinite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antiH1 +/- corticoïde local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Allergies respiratoires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éviction allergènes +/- immunothérapie spécifique (DEP &gt; 70%)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Irritants bronchiques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sevrage tabagique, éviction polluants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Médicaments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CI absolue BB-, CI AINS/aspirine si ATCD d'intolérance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Vaccinations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anti-grippale (tous asthmatiques), anti-pneumococcique si IRC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Facteurs psychologiques, RGO (recherche systématique), obésité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Paliers thérapeutiques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Palier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Traitement de fond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Traitement de crise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Aucun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BDCA à la demande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2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CSI faible dose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BDCA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3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CSI faible dose + </w:t>
                  </w: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BDLA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ou CSI moyenne/forte dose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BDCA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4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CSI moyenne/forte dose + BDLA + AL/théophylline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BDCA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5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Palier 4 + corticostéroïdes PO / </w:t>
                  </w: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anti-IgE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si asthme sévère non contrôlé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BDCA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Le traitement de fond dans l'asthme doit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TOUJOURS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comporter un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corticostéroïde inhalé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Mise en place immédiate sans attendre les résultats des examens complémentaires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Commencer en général par palier 2 (ou 3 si mal contrôlé)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19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Contrôle de l'asthme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Asthme contrôlé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symptômes contrôlés, exacerbations rares (&lt; 2 cures CTC/an), VEMS &gt; 80%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Contrôlé ≥ 3 mois : diminuer jusqu'à dose minimale efficace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Non contrôlé : majorer traitement (palier supérieur)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Réévaluation après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1 à 3 mois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19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Sévérité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Évaluée quand asthme contrôlé &gt; 6 mois avec dose minimale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Palier 1 →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intermittent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Palier 2 →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persistant léger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Palier 3 →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persistant modéré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Palier 4 →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persistant sévère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Palier 5 →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asthme sévère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Éducation thérapeutique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Plan d'action : reconnaissance exacerbation, modalités traitement, accès aux soins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4 étapes : diagnostic éducatif → contrat éducatif → activités éducatives → évaluation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Processus continu, réactualisé régulièrement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CI plongée sous-marine en scaphandre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Asthme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E.  Situations d'urgence : exacerbations et AAG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Définition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Exacerbation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augmentation progressive des symptômes sans retour à la normale et diminution progressive de la fonction respiratoire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FDR exacerbation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Symptômes non contrôlés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Absence de CSI (non-prescription, non-observance, mauvaise technique)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Utilisation excessive BDCA : &gt;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1 flacon/mois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VEMS &lt;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60%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Problèmes psychologiques/socio-économiques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Exposition tabac/allergènes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Comorbidités : obésité, rhinosinusite, allergie alimentaire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Éosinophilie sanguine/dans les crachats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Grossesse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ATCD intubation/hospitalisation USI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Classification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Signes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Exacerbation modérée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Exacerbation sévère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Parole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Phrases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Mots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Position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Assis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Penché en avant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Agitation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Non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Oui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FR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Augmentée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&gt; 30/min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Muscles accessoires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Non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Oui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FC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&gt; 100 bpm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&gt; 120 bpm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SpO2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&lt; 95% AA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&lt; 90% AA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DEP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&gt; 50% meilleure valeur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&lt; 50% meilleure valeur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Traitement exacerbation modérée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BDCA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B2-mimétiques inhalés : 4-10 bouffées chambre d'inhalation /20 min × 1h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En milieu médicalisé : nébulisation 5 mg sur 10-15 min /20 min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Corticothérapie PO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prednisolone/prednisone 5-7 jours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Adulte : 0,5-1 mg/kg/j (max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60 mg/j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Enfant : 2 mg/kg/j (max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40 mg/j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O2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objectif SpO2 93-95% (adulte), 94-98% (enfant)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Si aggravation/non amélioration après 1h → transfert USI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Traitement exacerbation sévère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Transfert médicalisé en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USI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O2 (objectif SpO2 93-95%)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BDCA B2-mimétiques +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anticholinergique (ipratropium)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nébulisés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Si échec : B2-mimétiques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injectables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Domicile : terbutaline 0,5 mg SC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SAMU/hôpital : salbutamol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IVSE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0,25-0,5 mg/h sous scope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Corticoïdes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IV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0,5-1 mg/kg/j (max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80 mg/j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Ventilation mécanique si signes de gravité extrême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Critères de gravité extrême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cyanose, respiration paradoxale, pauses respiratoires, silence auscultatoire, bradycardie, collapsus, troubles de conscience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Asthme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F.  Asthme de l'enfant &lt; 36 mois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Définition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Tout épisode dyspnéique avec râles sibilants, produit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au moins 3 fois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depuis la naissance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Diagnostic positif : symptômes récidivants à prédominance nocturne, normalité RXT, efficacité du traitement antiasthmatique, signes d'atopie personnels/familiaux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FDR décès par asthme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ATCD d'exacerbation sévère (intubation, USI)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Non-observance, mauvaise technique d'inhalation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Utilisation excessive de BDCA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Absence de CSI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Comorbidités psychiatriques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Problèmes socio-économiques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BPCO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A.  Généralités et facteurs de risque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Définition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BPCO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maladie respiratoire chronique définie par une obstruction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permanente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progressive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des voies aériennes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Prévalence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~7,5% de la population &gt; 40 ans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Incidence se stabilise chez l'homme, augmente chez la femme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FDR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Tabac+++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(&gt; 15 PA femme, &gt; 20 PA homme), cannabis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Exposition aéro-contaminants professionnels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Pollution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19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Entités cliniques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Bronchite chronique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(définition clinique) : toux productive quotidienne &gt;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3 mois/an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pendant &gt;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2 années consécutives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50% des fumeurs, peut être simple (sans TVO) ou obstructive (avec TVO = BPCO)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Emphysème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élargissement permanent des espaces aériens distaux avec destruction parois alvéolaires, sans fibrose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Centro-lobulaire ou pan-lobulaire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Radio : zones d'hypodensité (raréfaction parenchyme)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BPCO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B.  Tableau clinique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Signes fonctionnels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Dyspnée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initialement à l'effort, évaluée par échelle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mMRC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Toux, expectoration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Signes physiques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Stades croissants : ronchi → allongement temps expiratoire → diminution MV → distension thoracique (thorax en tonneau)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Signe de Hoover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diminution paradoxale du diamètre transversal thoracique inférieur à l'inspiration (distension sévère)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Posture du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tripode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assis, penché en avant, appui mains sur cuisses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Exacerbations : muscles respiratoires accessoires (SCM++), expiration abdominale active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Phénotypes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Blue bloater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Pink puffer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Prédominance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Voies aériennes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Emphysème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Morphotype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Corpulent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Maigre, distendu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Hypoxémie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Franche, cyanose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Modérée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ICD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Fréquente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Absente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BPCO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C.  Diagnostic positif : EFR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Spirométrie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TVO persistant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(non complètement réversible)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VEMS/CVF &lt; 0,7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après BD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Réversibilité significative possible dans la BPCO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Réversibilité complète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(VEMS/CVF &gt; 0,7 + normalisation VEMS) →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exclut la BPCO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19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Sévérité GOLD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Stade</w:t>
                  </w:r>
                </w:p>
              </w:tc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VEMS post-BD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GOLD 1 (léger)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≥ 80%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GOLD 2 (modéré)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50-79%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GOLD 3 (sévère)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30-49%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GOLD 4 (très sévère)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&lt; 30%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Pléthysmographie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Mesure volumes statiques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VR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, CRF, CPT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Distension pulmonaire : augmentation VR avec VR/CPT élevé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Transfert du CO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Reflète la surface d'échanges gazeux disponible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Pathologique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DLCO &lt; 70%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valeur prédite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Évalue la destruction alvéolaire (emphysème)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BPCO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D.  Évaluation et prise en charge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Bilan initial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EFR + score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GOLD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NFS (polyglobulie → IRC), ionogramme, créatinine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Bilan nutritionnel (dénutrition = mauvais pronostic)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GDS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recherche d'insuffisance respiratoire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RXT (pas d'intérêt pour le diagnostic positif, recherche cancer/anomalies)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TDM thoracique non systématique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ECG + ETT si signes cardiaques (cœur pulmonaire chronique)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Mesures générales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Sevrage tabagique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+++ : seule mesure interrompant la progression de l'obstruction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ALD si PaO2 &lt; 60 mmHg et/ou PaCO2 &gt; 50 mmHg ou VEMS &lt; 50%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Activité physique régulière, alimentation équilibrée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Vaccinations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Anti-grippale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tous les ans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Anti-pneumococcique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tous les 5 ans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Traitement pharmacologique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BDLA inhalés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B2-mimétiques LDA et/ou anticholinergiques LDA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Anticholinergiques LDA plus efficaces pour réduire les exacerbations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Traitements CDA « à la demande » si dyspnée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CSI seuls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corticothérapie orale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PAS indiqués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dans la BPCO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CSI en association avec BDLA si VEMS &lt; 70% + exacerbations fréquentes (&gt; 2/an)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Ne pas prescrire d'antitussifs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Ne jamais prescrire de CSI seul dans la BPCO (contrairement à l'asthme)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Ne jamais prescrire de corticothérapie orale au long cours dans la BPCO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19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Réhabilitation respiratoire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Recommandée dès le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stade II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si dyspnée/diminution tolérance exercice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Approche multidisciplinaire : optimisation traitement, éducation, kinésithérapie (drainage, renforcement musculaire, endurance), prise en charge psychosociale et nutritionnelle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Stade IV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Oxygénothérapie longue durée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si IRC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VNI nocturne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si SAS associé ou IRC hypercapnique grave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&lt; 65 ans : penser à la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transplantation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BPCO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E.  Exacerbations de BPCO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Définition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Événement aigu : aggravation &gt;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24h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des symptômes respiratoires → modification thérapeutique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Critères d'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Anthonisen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augmentation volume/purulence expectoration, augmentation dyspnée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Étiologie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Infectieuse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le plus souvent : H. influenzae, S. pneumoniae, Moraxella catarrhalis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Pseudomonas aeruginosa si VEMS &lt; 50% ou séjour hospitalier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Cause environnementale (pollution)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Non identifiée fréquemment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19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Traitement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Bronchodilatateurs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CDA inhalés (B2-mimétiques +/- anticholinergiques)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O2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objectif SpO2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88-92%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différent de l'asthme !)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ATB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si : expectoration purulente, BPCO très sévère (VEMS &lt; 30%), signes de gravité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Molécules : amoxicilline +/- acide clavulanique, pristinamycine (5-7 jours)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Corticothérapie systémique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Domicile : 2e intention si pas d'amélioration après 48h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Hôpital : &lt; 40 mg/j pendant max 5 jours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Kinésithérapie si encombrement, prophylaxie thrombose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VNI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en 1re intention si acidose respiratoire ; intubation si troubles de conscience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Objectif SpO2 dans la BPCO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88-92%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(et non 93-95% comme dans l'asthme)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Risque d'aggraver une hypercapnie si O2 trop généreux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Sémiologie et urgences respiratoires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A.  Douleur thoracique aiguë et chronique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Interrogatoire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ATCD familiaux/personnels, FDRCV, traitements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Analyse sémiologique de la douleur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Signes associés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Examens initiaux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RXT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face en inspiration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ECG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12 dérivations + V3R, V4R, V7, V8, V9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Si bradypnée/tachypnée ou SpO2 &lt; 95%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GDS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Selon orientation : troponine Ic, D-dimères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Urgences vitales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SCA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(1/3 des douleurs thoraciques aux urgences)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Embolie pulmonaire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Dissection aortique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Tamponnade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Rupture de l'œsophage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Pneumothorax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Douleurs rythmées par la respiration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Post-traumatiques (fractures de côtes)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Pneumonies infectieuses +/- pleurésie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Épanchement pleural, infarctus pulmonaire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Trachéobronchite aiguë : brûlure respiratoire, cortège viral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Atteintes musculo-squelettiques : reproductible à la palpation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Douleurs non rythmées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Causes cardiaques : angor d'effort, RA serré, FA, myocardiopathie obstructive, péricardite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Cocaïne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à rechercher systématiquement (SCA, PNO)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Zona thoracique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Affections digestives : RGO, spasmes œsophagiens, pancréatite, cholécystite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Douleurs psychogènes (1/4 des douleurs aux urgences) : diagnostic d'élimination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Sémiologie et urgences respiratoires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B.  Dyspnée aiguë et chronique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Interrogatoire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Chronologie : aiguë (heures/jours) vs chronique (semaines/mois)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Cycle respiratoire : inspiratoire vs expiratoire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Position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orthopnée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(IC, dysfonction diaphragme),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antépnée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platypnée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(MAV)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Échelle mMRC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Stade</w:t>
                  </w:r>
                </w:p>
              </w:tc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Description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0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Essoufflé pour effort important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Essoufflé en se dépêchant à plat / pente légère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2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Marche plus lentement / s'arrête à son pas à plat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3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S'arrête après 90 m à plat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4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Trop essoufflé pour quitter la maison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Signes de gravité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Détresse respiratoire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cyanose, sueurs, polypnée &gt; 30/min, tirage, respiration abdominale paradoxale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Hémodynamique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tachycardie &gt; 110/min, choc, PAS &lt; 90 mmHg, IVD aiguë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Neurologique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agitation, torpeur, asterixis, coma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19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Dyspnée aiguë — étiologies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Temps inspiratoire allongé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(obstruction VAS) : corps étranger, œdème de Quincke, laryngite sous-glottique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Temps expiratoire allongé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(atteinte bronchique) : exacerbation asthme/BPCO, OAP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Sans allongement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EP, pneumothorax, pneumonie, OAP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Dyspnée chronique — étiologies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Pulmonaires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BPCO, asthme, PID, pneumoconioses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Cardiaques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IC, constriction péricardique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HTP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Autres : anémie, acidose métabolique, causes neuro-musculaires, hyperventilation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Sémiologie et urgences respiratoires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C.  Hémoptysie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Définition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Saignement extériorisé (ou non) des voies respiratoires basses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Éliminer : hématémèse, épistaxis déglutie, saignement ORL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Étiologies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Cancer bronchique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+++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Tuberculose (active ou séquellaire)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Bronchectasies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Aspergillome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EP avec infarctus pulmonaire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Pneumonies nécrosantes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Corps étranger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Causes cardiovasculaires : RM, IC, MAV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19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Bilan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Scanner thoracique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injecté : recherche lésion responsable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Fibroscopie bronchique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localise le saignement, biopsies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NFS, bilan d'hémostase, groupe sanguin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PEC urgente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Hospitalisation, position demi-assise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O2, voie veineuse, bilan pré-transfusionnel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Si hémoptysie massive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artériographie bronchique + embolisation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Vasoconstricteurs IV (terlipressine)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Intubation sélective si détresse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Épanchement pleural et pneumothorax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A.  Épanchement pleural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Physiopathologie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Espace pleural : cavité virtuelle, pression négative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Production 5-20 cc/j de liquide pleural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Anomalie « mécanique » →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transsudat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Agression inflammatoire/infectieuse/néoplasique →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exsudat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Clinique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Dyspnée, douleur latéro-thoracique (majorée par respiration/toux)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Toux sèche au changement de position → caractère non cloisonné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Syndrome pleural liquidien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Abolition du MV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Matité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à la percussion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Abolition des vibrations vocales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Souffle pleurétique (doux, lointain, expiratoire)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Imagerie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RXT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opacité dense, homogène, non systématisée, ligne de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Damoiseau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(concave en haut et en dedans)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Échographie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image anéchogène, épanchements cloisonnés, guide ponctions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TDM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en urgence si EP/hémothorax suspecté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Ponction pleurale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Systématique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sauf si : &lt; 10 mm échographie, ou IC gauche suspectée (sauf si atypique ou résistant au traitement)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En urgence si : épanchement fébrile, suspicion hémothorax, mauvaise tolérance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Bord supérieur de la côte inférieure de l'EIC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RXT/échographie post-contrôle systématique (PNO iatrogène 3%)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Transsudat vs exsudat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Transsudat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Exsudat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Leucocytes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&lt; 1 000/µL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&gt; 1 000/µL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Protéines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&lt; 30 g/L (Light)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&gt; 30 g/L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PNN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Parapneumonique, EP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Lymphocytes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BK, cancers, sarcoïdose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Éosinophiles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Hémothorax, PNO, médicaments</w:t>
                  </w:r>
                </w:p>
              </w:tc>
            </w:tr>
          </w:tbl>
          <w:p/>
          <w:p>
            <w:pPr>
              <w:spacing w:after="80"/>
            </w:pP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Transsudats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ICG (bilatéral), cirrhose, SN, dialyse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Exsudats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cancers, infections, EP, tuberculose, collagénoses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Épanchement pleural et pneumothorax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B.  Pneumothorax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Définition et types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Présence d'air dans la cavité pleurale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PNO spontané primaire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sujet jeune, longiligne, sans pathologie pulmonaire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PNO spontané secondaire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sur poumon pathologique (BPCO, emphysème, fibrose)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PNO traumatique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fractures costales, iatrogène (ponction, ventilation)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Clinique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Douleur thoracique brutale, type « coup de poignard », latéralisée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Dyspnée variable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Syndrome pleural aérien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Abolition du MV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Tympanisme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à la percussion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Abolition des vibrations vocales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Imagerie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RXT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inspiration : hyperclarté avasculaire périphérique, ligne de rétraction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TDM si doute diagnostique ou PNO secondaire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PEC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PNO spontané primaire petit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(&lt; 2 cm) : surveillance, repos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PNO modéré/symptomatique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exsufflation à l'aiguille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PNO complet/récidivant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drainage thoracique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PNO suffocant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(compressif)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URGENCE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→ exsufflation immédiate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PNO compressif = urgence vitale → exsufflation sans attendre l'imagerie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Signes : détresse respiratoire + déviation trachée + turgescence jugulaire + tympanisme unilatéral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Imagerie et EFR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A.  Interprétation de la radiographie thoracique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Critères qualité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Face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debout, inspiration profonde, rayon postéro-antérieur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Vérifier : identité, date, centrage (épineuses entre clavicules), inspiration (6 arcs costaux antérieurs visibles), pénétration (rachis visible derrière cœur)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Cliché de profil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Profil gauche de préférence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Repères : cyphose dorsale, clarté rétro-sternale et rétro-cardiaque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Syndromes radiologiques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Syndrome alvéolaire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opacités floconneuses, confluentes, bronchogramme aérien, systématisé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Syndrome interstitiel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réticulations, lignes de Kerley, images en verre dépoli, rayon de miel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Syndrome pleural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ligne de Damoiseau (liquide), hyperclarté (air)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Syndrome médiastinal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élargissement médiastin, déplacement trachée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Atélectasie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opacité rétractile, déviation médiastin vers l'atélectasie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Imagerie et EFR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B.  EFR — Synthèse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TVO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VEMS/CVF &lt; 0,7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(rapport de Tiffeneau)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Causes : asthme, BPCO, bronchectasies, mucoviscidose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TVR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CPT &lt; 80%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de la valeur prédite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Causes : PID, pathologies neuro-musculaires, obésité, déformations thoraciques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Trouble mixte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Association TVO + TVR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Ex : BPCO évoluée avec composante restrictive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Pathologies spécifiques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A.  SAOS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Définition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SAOS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survenue pendant le sommeil d'épisodes récurrents d'obstruction complète (apnée) ou incomplète (hypopnée) des VAS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IAH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(index apnée-hypopnée)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Léger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5-14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/h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Modéré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15-29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/h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Sévère : ≥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30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/h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Clinique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Symptômes nocturnes : ronflements, apnées constatées, réveils avec sensation d'étouffement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Symptômes diurnes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somnolence diurne excessive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(échelle d'Epworth), céphalées matinales, troubles de concentration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Complications CV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HTA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++ (diastolique et résistante), troubles du rythme, AVC, IDM, insuffisance cardiaque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Diagnostic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Polysomnographie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(examen de référence) ou polygraphie ventilatoire nocturne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EFR et GDS normaux dans le SAOS isolé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Bilan des comorbidités : ECG, ETT, bilan métabolique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Traitement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PPC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(pression positive continue) : traitement de référence si IAH ≥ 15/h ou IAH 5-14/h avec symptômes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Orthèse d'avancée mandibulaire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si IAH entre 5 et 29/h ou refus/échec PPC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Mesures hygiéno-diététiques : perte de poids, éviction alcool/sédatifs le soir, position latérale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Chirurgie ORL dans certains cas (amygdalectomie, UPPP)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Pathologies spécifiques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B.  Tabagisme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Épidémiologie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1re cause de mortalité prématurée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évitable en France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~75 000 décès/an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FDR : cancer bronchique, BPCO, maladies cardiovasculaires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Lien établi troubles anxio-dépressifs et tabagisme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Évaluation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Test de Fagerström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évalue la dépendance nicotinique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Questions clés : délai première cigarette au réveil, nombre de cigarettes/jour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Évaluer la motivation : modèle de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Prochaska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(précontemplation → contemplation → préparation → action → maintien)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Sevrage tabagique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TNS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(traitement nicotinique substitutif) : patchs, gommes, pastilles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En 1re intention, peut être combiné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Varénicline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agoniste partiel récepteurs nicotiniques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Bupropion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antidépresseur, 2e intention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Accompagnement psychologique, TCC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Syndrome de sevrage : irritabilité, anxiété, troubles du sommeil, prise de poids, constipation, céphalées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Cigarette électronique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Non recommandée officiellement comme outil de sevrage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Peut être utilisée en réduction des risques si le patient le souhaite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Pathologies spécifiques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5"/>
              </w:rPr>
              <w:t>C.  Toux aiguë et chronique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19"/>
              </w:rPr>
              <w:t>Définitions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Toux aiguë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&lt; 3 semaines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Toux chronique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&gt;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8 semaines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Toux subaiguë : 3-8 semaines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Toux aiguë — étiologies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Infections VAS : rhinopharyngite, sinusite, laryngite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Infections VAI : bronchite aiguë, pneumonie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Exacerbation asthme/BPCO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EP, IC, pneumothorax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Corps étranger (enfant ++)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19"/>
              </w:rPr>
              <w:t xml:space="preserve"> Toux chronique — étiologies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3 causes principales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(80% des cas)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Rhinorrhée postérieure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(jetage postérieur)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Asthme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(toux-équivalent d'asthme)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B5934A"/>
                <w:sz w:val="19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RGO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Toux médicamenteuse : </w:t>
            </w:r>
            <w:r>
              <w:rPr>
                <w:rFonts w:ascii="Inter" w:hAnsi="Inter"/>
                <w:b/>
                <w:i w:val="0"/>
                <w:color w:val="8C2F39"/>
                <w:sz w:val="19"/>
              </w:rPr>
              <w:t>IEC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+++ (toux sèche, arrêt ≥ 4 semaines pour résolution)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>Autres : tabagisme, BPCO, cancer bronchique, PID, IC, coqueluche, tuberculose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Toujours rechercher IEC dans les traitements avant d'explorer une toux chronique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9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RXT systématique devant toute toux chronique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1C2E49"/>
        <w:spacing w:before="40" w:after="200"/>
      </w:pPr>
      <w:r>
        <w:rPr>
          <w:rFonts w:ascii="Playfair Display" w:hAnsi="Playfair Display"/>
          <w:b/>
          <w:color w:val="FFFFFF"/>
          <w:sz w:val="34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Précision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TVO (asthme et BPCO)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VEMS/CVF &lt;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0,7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Rapport de Tiffeneau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Réversibilité significative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&gt; 200 mL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ET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&gt; 12%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Après BD ou CTC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Hyper-réactivité bronchique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Chute VEMS &gt;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20%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Test à la métacholine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BDCA excessif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&gt;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1 flacon/mois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FDR exacerbation asthme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CTC PO exacerbation asthme adulte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0,5-1 mg/kg/j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Max 60 mg/j (7 jours)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CTC PO exacerbation asthme enfant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2 mg/kg/j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Max 40 mg/j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CTC IV exacerbation sévère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0,5-1 mg/kg/j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Max 80 mg/j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SpO2 cible asthme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93-95%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Adulte (94-98% enfant)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SpO2 cible BPCO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88-92%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Risque d'hypercapnie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Bronchite chronique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&gt; 3 mois/an, &gt; 2 ans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Définition clinique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DLCO pathologique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&lt;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70%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Destruction alvéolaire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O2 longue durée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PaO2 &lt;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60 mmHg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Ou PaCO2 &gt; 50 mmHg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SAOS sévère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IAH ≥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30/h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Indication PPC formelle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Toux chronique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&gt;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8 semaines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Définition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Ponction pleurale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&gt;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10 mm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écho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En dessous : abstention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PNO iatrogène post-ponction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3%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Contrôle systématique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Asthme vs BPCO — Comparaison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Critère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Asthme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BPCO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Âge de début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Souvent jeune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&gt; 40 ans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Tabac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Non obligatoire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Quasi-constant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TVO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Réversible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Persistant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VEMS/CVF après BD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Normalisation possible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Reste &lt; 0,7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CSI seul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Traitement de base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NON indiqué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O2 en urgence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SpO2 93-95%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SpO2 88-92%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Inflammation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Th2, éosinophiles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Neutrophiles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Paliers thérapeutiques de l'asthme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Palier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Traitement de fond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Crise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Aucun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BDCA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2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CSI faible dose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BDCA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CSI faible dose + BDLA ou CSI moyenne/forte dose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BDCA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4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CSI moyenne/forte + BDLA + AL/théophylline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BDCA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5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Palier 4 + CTC PO / Anti-IgE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BDCA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Stades GOLD de la BPCO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Stade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Sévérité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VEMS post-BD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GOLD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Léger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≥ 80%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GOLD 2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Modéré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50-79%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GOLD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Sévère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30-49%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GOLD 4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Très sévère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&lt; 30%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Épanchement pleural — Transsudat vs Exsudat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Critère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Transsudat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Exsudat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Protéines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&lt; 30 g/L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&gt; 30 g/L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LDH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Bas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Élevé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Leucocytes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&lt; 1 000/µL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&gt; 1 000/µL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Étiologies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ICG, cirrhose, SN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Cancers, infections, EP, BK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Orientation étiologique des dyspnées aiguës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Caractéristique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Étiologies principales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Inspiratoire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Obstruction VAS, cornage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Corps étranger, œdème de Quincke, laryngite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Expiratoire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Atteinte bronchique, sibilants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Asthme, BPCO, OAP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Sans allongement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Polypnée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EP, pneumothorax, pneumonie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tcBorders>
              <w:top w:val="single" w:sz="18" w:space="0" w:color="1C2E49"/>
              <w:left w:val="none"/>
              <w:bottom w:val="none"/>
              <w:right w:val="none"/>
            </w:tcBorders>
            <w:shd w:val="clear" w:color="auto" w:fill="EEF0F3"/>
          </w:tcPr>
          <w:p>
            <w:pPr>
              <w:spacing w:before="240"/>
              <w:jc w:val="center"/>
            </w:pPr>
            <w:r>
              <w:rPr>
                <w:rFonts w:ascii="Inter" w:hAnsi="Inter"/>
                <w:color w:val="B5934A"/>
                <w:spacing w:val="56"/>
                <w:sz w:val="17"/>
              </w:rPr>
              <w:t>RÉVISION EXPRESS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A38"/>
                <w:sz w:val="42"/>
              </w:rPr>
              <w:t>Fiche éclair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C2E49"/>
                <w:sz w:val="24"/>
              </w:rPr>
              <w:t>Pneumologie</w:t>
            </w:r>
          </w:p>
          <w:p>
            <w:pPr>
              <w:spacing w:before="80" w:after="120"/>
              <w:jc w:val="center"/>
            </w:pPr>
            <w:r>
              <w:rPr>
                <w:color w:val="B5934A"/>
                <w:sz w:val="12"/>
              </w:rPr>
              <w:t>━━━━━━━━━━━━━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Asthme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inflammation chronique Th2, TVO réversible, VEMS/CVF &lt; 0,7 avec réversibilité &gt; 200 mL et &gt; 12%. Traitement par paliers (toujours CSI). Exacerbation modérée : BDCA + CTC PO 5-7j. Sévère : USI + ipratropium + CTC IV. Cible SpO2 93-95%.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BPCO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TVO persistant post-BD. Tabac &gt; 20 PA. Stades GOLD (VEMS post-BD). Sevrage tabagique = seule mesure efficace. Pas de CSI seul. Exacerbation : BDCA + O2 cible 88-92% + ATB si purulent. Stade IV : O2 longue durée, VNI.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Douleur thoracique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5 urgences vitales (SCA, EP, dissection, tamponnade, rupture œsophage). ECG 18 dérivations + RXT + troponine/D-dimères.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Dyspnée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inspiratoire (VAS) vs expiratoire (bronches) vs sans allongement (EP, PNO). Échelle mMRC pour chronique. Signes de gravité : cyanose, tirage, respiration paradoxale.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Hémoptysie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scanner injecté + fibroscopie. Cancer &gt;&gt; BK &gt;&gt; bronchectasies. Massive → embolisation.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Épanchement pleural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matité + abolition MV/VV. Ponction systématique si &gt; 10 mm. Transsudat (ICG, cirrhose) vs exsudat (cancer, infection).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PNO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tympanisme + abolition MV/VV. Compressif = urgence vitale → exsufflation.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SAOS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IAH ≥ 5/h. HTA résistante. PPC si IAH ≥ 15 ou symptômes.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Tabac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: 1re cause mortalité prématurée. Fagerström + Prochaska. TNS en 1re intention.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19"/>
              </w:rPr>
              <w:t>Toux chronique</w:t>
            </w:r>
            <w:r>
              <w:rPr>
                <w:rFonts w:ascii="Inter" w:hAnsi="Inter"/>
                <w:b w:val="0"/>
                <w:i w:val="0"/>
                <w:color w:val="1F2A38"/>
                <w:sz w:val="19"/>
              </w:rPr>
              <w:t xml:space="preserve"> (&gt; 8 sem) : IEC &gt; rhinorrhée &gt; asthme &gt; RGO. RXT systématique.</w:t>
            </w:r>
          </w:p>
          <w:p>
            <w:pPr>
              <w:pBdr>
                <w:bottom w:val="single" w:sz="4" w:space="2" w:color="B5934A"/>
              </w:pBdr>
              <w:spacing w:before="120" w:after="60"/>
            </w:pPr>
            <w:r>
              <w:rPr>
                <w:rFonts w:ascii="Cormorant Garamond" w:hAnsi="Cormorant Garamond"/>
                <w:b/>
                <w:color w:val="1C2E49"/>
                <w:sz w:val="23"/>
              </w:rPr>
              <w:t>À retenir absolument</w:t>
            </w:r>
          </w:p>
          <w:p>
            <w:pPr>
              <w:spacing w:after="60"/>
              <w:ind w:left="283"/>
            </w:pPr>
            <w:r>
              <w:rPr>
                <w:color w:val="1C2E49"/>
                <w:sz w:val="18"/>
              </w:rPr>
              <w:t xml:space="preserve">•  </w:t>
            </w:r>
            <w:r>
              <w:rPr>
                <w:rFonts w:ascii="Inter" w:hAnsi="Inter"/>
                <w:b/>
                <w:i w:val="0"/>
                <w:color w:val="B5934A"/>
                <w:sz w:val="18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L'asthme est une maladie inflammatoire chronique avec TVO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réversible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; la BPCO a un TVO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persistant</w:t>
            </w:r>
          </w:p>
          <w:p>
            <w:pPr>
              <w:spacing w:after="60"/>
              <w:ind w:left="283"/>
            </w:pPr>
            <w:r>
              <w:rPr>
                <w:color w:val="1C2E49"/>
                <w:sz w:val="18"/>
              </w:rPr>
              <w:t xml:space="preserve">•  </w:t>
            </w:r>
            <w:r>
              <w:rPr>
                <w:rFonts w:ascii="Inter" w:hAnsi="Inter"/>
                <w:b/>
                <w:i w:val="0"/>
                <w:color w:val="B5934A"/>
                <w:sz w:val="18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Le traitement de fond de l'asthme comporte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toujours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un CSI ; les CSI seuls sont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contre-indiqués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dans la BPCO</w:t>
            </w:r>
          </w:p>
          <w:p>
            <w:pPr>
              <w:spacing w:after="60"/>
              <w:ind w:left="283"/>
            </w:pPr>
            <w:r>
              <w:rPr>
                <w:color w:val="1C2E49"/>
                <w:sz w:val="18"/>
              </w:rPr>
              <w:t xml:space="preserve">•  </w:t>
            </w:r>
            <w:r>
              <w:rPr>
                <w:rFonts w:ascii="Inter" w:hAnsi="Inter"/>
                <w:b/>
                <w:i w:val="0"/>
                <w:color w:val="B5934A"/>
                <w:sz w:val="18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Objectif SpO2 en urgence :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93-95%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(asthme) vs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88-92%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(BPCO)</w:t>
            </w:r>
          </w:p>
          <w:p>
            <w:pPr>
              <w:spacing w:after="60"/>
              <w:ind w:left="283"/>
            </w:pPr>
            <w:r>
              <w:rPr>
                <w:color w:val="1C2E49"/>
                <w:sz w:val="18"/>
              </w:rPr>
              <w:t xml:space="preserve">•  </w:t>
            </w:r>
            <w:r>
              <w:rPr>
                <w:rFonts w:ascii="Inter" w:hAnsi="Inter"/>
                <w:b/>
                <w:i w:val="0"/>
                <w:color w:val="B5934A"/>
                <w:sz w:val="18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La réversibilité complète du TVO (VEMS/CVF &gt; 0,7 + normalisation VEMS)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exclut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la BPCO</w:t>
            </w:r>
          </w:p>
          <w:p>
            <w:pPr>
              <w:spacing w:after="60"/>
              <w:ind w:left="283"/>
            </w:pPr>
            <w:r>
              <w:rPr>
                <w:color w:val="1C2E49"/>
                <w:sz w:val="18"/>
              </w:rPr>
              <w:t xml:space="preserve">•  </w:t>
            </w:r>
            <w:r>
              <w:rPr>
                <w:rFonts w:ascii="Inter" w:hAnsi="Inter"/>
                <w:b/>
                <w:i w:val="0"/>
                <w:color w:val="B5934A"/>
                <w:sz w:val="18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Devant toute toux chronique : rechercher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IEC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rhinorrhée postérieure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asthme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RGO</w:t>
            </w:r>
          </w:p>
          <w:p>
            <w:pPr>
              <w:spacing w:after="60"/>
              <w:ind w:left="283"/>
            </w:pPr>
            <w:r>
              <w:rPr>
                <w:color w:val="1C2E49"/>
                <w:sz w:val="18"/>
              </w:rPr>
              <w:t xml:space="preserve">•  </w:t>
            </w:r>
            <w:r>
              <w:rPr>
                <w:rFonts w:ascii="Inter" w:hAnsi="Inter"/>
                <w:b/>
                <w:i w:val="0"/>
                <w:color w:val="B5934A"/>
                <w:sz w:val="18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Le sevrage tabagique est la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seule mesure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ralentissant la progression de l'obstruction dans la BPCO</w:t>
            </w:r>
          </w:p>
          <w:p>
            <w:pPr>
              <w:spacing w:after="60"/>
              <w:ind w:left="283"/>
            </w:pPr>
            <w:r>
              <w:rPr>
                <w:color w:val="1C2E49"/>
                <w:sz w:val="18"/>
              </w:rPr>
              <w:t xml:space="preserve">•  </w:t>
            </w:r>
            <w:r>
              <w:rPr>
                <w:rFonts w:ascii="Inter" w:hAnsi="Inter"/>
                <w:b/>
                <w:i w:val="0"/>
                <w:color w:val="B5934A"/>
                <w:sz w:val="18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L'hémoptysie nécessite un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scanner injecté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et une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fibroscopie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; si massive →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embolisation</w:t>
            </w:r>
          </w:p>
          <w:p>
            <w:pPr>
              <w:spacing w:after="60"/>
              <w:ind w:left="283"/>
            </w:pPr>
            <w:r>
              <w:rPr>
                <w:color w:val="1C2E49"/>
                <w:sz w:val="18"/>
              </w:rPr>
              <w:t xml:space="preserve">•  </w:t>
            </w:r>
            <w:r>
              <w:rPr>
                <w:rFonts w:ascii="Inter" w:hAnsi="Inter"/>
                <w:b/>
                <w:i w:val="0"/>
                <w:color w:val="B5934A"/>
                <w:sz w:val="18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Syndrome pleural liquidien : abolition MV +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matité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+ abolition VV ; aérien : abolition MV +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tympanisme</w:t>
            </w:r>
          </w:p>
          <w:p>
            <w:pPr>
              <w:spacing w:after="60"/>
              <w:ind w:left="283"/>
            </w:pPr>
            <w:r>
              <w:rPr>
                <w:color w:val="1C2E49"/>
                <w:sz w:val="18"/>
              </w:rPr>
              <w:t xml:space="preserve">•  </w:t>
            </w:r>
            <w:r>
              <w:rPr>
                <w:rFonts w:ascii="Inter" w:hAnsi="Inter"/>
                <w:b/>
                <w:i w:val="0"/>
                <w:color w:val="B5934A"/>
                <w:sz w:val="18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Le SAOS se complique d'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HTA résistante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, troubles du rythme, AVC ; traitement de référence =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PPC</w:t>
            </w:r>
          </w:p>
          <w:p>
            <w:pPr>
              <w:spacing w:after="60"/>
              <w:ind w:left="283"/>
            </w:pPr>
            <w:r>
              <w:rPr>
                <w:color w:val="1C2E49"/>
                <w:sz w:val="18"/>
              </w:rPr>
              <w:t xml:space="preserve">•  </w:t>
            </w:r>
            <w:r>
              <w:rPr>
                <w:rFonts w:ascii="Inter" w:hAnsi="Inter"/>
                <w:b/>
                <w:i w:val="0"/>
                <w:color w:val="B5934A"/>
                <w:sz w:val="18"/>
              </w:rPr>
              <w:t>★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PNO compressif = </w:t>
            </w:r>
            <w:r>
              <w:rPr>
                <w:rFonts w:ascii="Inter" w:hAnsi="Inter"/>
                <w:b/>
                <w:i w:val="0"/>
                <w:color w:val="8C2F39"/>
                <w:sz w:val="18"/>
              </w:rPr>
              <w:t>urgence vitale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→ exsufflation immédiate sans attendre l'imagerie</w:t>
            </w:r>
          </w:p>
          <w:p>
            <w:pPr>
              <w:spacing w:before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Inter" w:hAnsi="Inter"/>
                <w:color w:val="8E99A8"/>
                <w:spacing w:val="36"/>
                <w:sz w:val="16"/>
              </w:rPr>
              <w:t>MAJOR ECN  ·  2025-2026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61" w:right="1020" w:bottom="1247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8E99A8"/>
        <w:spacing w:val="28"/>
        <w:sz w:val="15"/>
      </w:rPr>
      <w:t>MAJOR ECN  ·  2025-2026</w:t>
      <w:tab/>
    </w:r>
    <w:r>
      <w:rPr>
        <w:rFonts w:ascii="Inter" w:hAnsi="Inter"/>
        <w:b/>
        <w:color w:val="1C2E49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1C2E49"/>
        <w:sz w:val="17"/>
      </w:rPr>
      <w:t xml:space="preserve">  /  </w:t>
    </w:r>
    <w:r>
      <w:rPr>
        <w:rFonts w:ascii="Inter" w:hAnsi="Inter"/>
        <w:b/>
        <w:color w:val="1C2E49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top w:val="single" w:sz="6" w:space="4" w:color="1C2E49"/>
      </w:pBdr>
    </w:pPr>
    <w:r/>
    <w:r>
      <w:rPr>
        <w:rFonts w:ascii="Inter" w:hAnsi="Inter"/>
        <w:i/>
        <w:color w:val="8E99A8"/>
        <w:sz w:val="16"/>
      </w:rPr>
      <w:t>Pneumologie</w:t>
    </w: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MajorEcnWatermark" o:spid="_x0000_s2051" type="#_x0000_t75" o:allowincell="f" style="position:absolute;margin-left:0;margin-top:0;width:442.2pt;height:442.2pt;z-index:251659264;mso-position-horizontal:center;mso-position-horizontal-relative:page;mso-position-vertical:center;mso-position-vertical-relative:page">
          <v:imagedata r:id="rId1" o:title="Major ECN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60" w:lineRule="auto"/>
    </w:pPr>
    <w:rPr>
      <w:rFonts w:ascii="Inter" w:hAnsi="Inter"/>
      <w:color w:val="1F2A3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