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33"/>
        <w:gridCol w:w="4933"/>
      </w:tblGrid>
      <w:tr>
        <w:trPr>
          <w:trHeight w:val="14173" w:hRule="atLeast"/>
        </w:trPr>
        <w:tc>
          <w:tcPr>
            <w:tcW w:type="dxa" w:w="1361"/>
            <w:shd w:val="clear" w:color="auto" w:fill="E11D48"/>
          </w:tcPr>
          <w:p/>
        </w:tc>
        <w:tc>
          <w:tcPr>
            <w:tcW w:type="dxa" w:w="8504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z w:val="26"/>
                <w:spacing w:val="80"/>
              </w:rPr>
              <w:t>CARDIOLOGIE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Playfair Display" w:hAnsi="Playfair Display"/>
                <w:b/>
                <w:color w:val="1F2937"/>
                <w:sz w:val="68"/>
              </w:rPr>
              <w:t>Hypertension Artérielle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F2937"/>
                <w:sz w:val="32"/>
              </w:rPr>
              <w:t>Année 2025-2026</w:t>
            </w:r>
          </w:p>
          <w:p>
            <w:pPr>
              <w:jc w:val="center"/>
            </w:pPr>
            <w:r>
              <w:rPr>
                <w:rFonts w:ascii="Inter" w:hAnsi="Inter"/>
                <w:color w:val="9CA3AF"/>
                <w:sz w:val="18"/>
                <w:spacing w:val="40"/>
              </w:rPr>
              <w:t>ITEM 224</w:t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E11D48"/>
                <w:sz w:val="24"/>
              </w:rPr>
              <w:t>Item 224</w:t>
            </w:r>
          </w:p>
        </w:tc>
      </w:tr>
    </w:tbl>
    <w:p>
      <w:r>
        <w:br w:type="page"/>
      </w:r>
    </w:p>
    <w:p>
      <w:pPr>
        <w:spacing w:before="80"/>
        <w:jc w:val="center"/>
        <w:pBdr>
          <w:top w:val="single" w:sz="12" w:space="6" w:color="E11D48"/>
          <w:bottom w:val="single" w:sz="12" w:space="6" w:color="E11D48"/>
        </w:pBdr>
      </w:pPr>
      <w:r>
        <w:rPr>
          <w:rFonts w:ascii="Playfair Display" w:hAnsi="Playfair Display"/>
          <w:b/>
          <w:color w:val="1F2937"/>
          <w:sz w:val="48"/>
        </w:rPr>
        <w:t>Plan du cours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C9A961"/>
          <w:sz w:val="24"/>
        </w:rPr>
        <w:t>Cardiologie  ·  Hypertension Artérielle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I.  </w:t>
      </w:r>
      <w:r>
        <w:rPr>
          <w:rFonts w:ascii="Cormorant Garamond" w:hAnsi="Cormorant Garamond"/>
          <w:b/>
          <w:color w:val="1F2937"/>
          <w:sz w:val="27"/>
        </w:rPr>
        <w:t>Définition et épidémiologie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Cadre nosologique de l'HTA et poids de santé publique.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Définitions et seuils</w:t>
      </w:r>
      <w:r>
        <w:rPr>
          <w:rFonts w:ascii="Cormorant Garamond" w:hAnsi="Cormorant Garamond"/>
          <w:i/>
          <w:color w:val="9CA3AF"/>
          <w:sz w:val="20"/>
        </w:rPr>
        <w:t xml:space="preserve"> — Seuils tensionnels et grades.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Épidémiologie</w:t>
      </w:r>
      <w:r>
        <w:rPr>
          <w:rFonts w:ascii="Cormorant Garamond" w:hAnsi="Cormorant Garamond"/>
          <w:i/>
          <w:color w:val="9CA3AF"/>
          <w:sz w:val="20"/>
        </w:rPr>
        <w:t xml:space="preserve"> — Prévalence et facteurs de risque.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II.  </w:t>
      </w:r>
      <w:r>
        <w:rPr>
          <w:rFonts w:ascii="Cormorant Garamond" w:hAnsi="Cormorant Garamond"/>
          <w:b/>
          <w:color w:val="1F2937"/>
          <w:sz w:val="27"/>
        </w:rPr>
        <w:t>Diagnostic et bilan initial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Confirmation diagnostique et recherche du retentissement.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Mesure de la pression artérielle</w:t>
      </w:r>
      <w:r>
        <w:rPr>
          <w:rFonts w:ascii="Cormorant Garamond" w:hAnsi="Cormorant Garamond"/>
          <w:i/>
          <w:color w:val="9CA3AF"/>
          <w:sz w:val="20"/>
        </w:rPr>
        <w:t xml:space="preserve"> — Conditions de mesure et MAPA.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Bilan de retentissement</w:t>
      </w:r>
      <w:r>
        <w:rPr>
          <w:rFonts w:ascii="Cormorant Garamond" w:hAnsi="Cormorant Garamond"/>
          <w:i/>
          <w:color w:val="9CA3AF"/>
          <w:sz w:val="20"/>
        </w:rPr>
        <w:t xml:space="preserve"> — Atteinte des organes cibles.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III.  </w:t>
      </w:r>
      <w:r>
        <w:rPr>
          <w:rFonts w:ascii="Cormorant Garamond" w:hAnsi="Cormorant Garamond"/>
          <w:b/>
          <w:color w:val="1F2937"/>
          <w:sz w:val="27"/>
        </w:rPr>
        <w:t>Prise en charge thérapeutique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Mesures hygiéno-diététiques et traitement médicamenteux.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Mesures non médicamenteuses</w:t>
      </w:r>
      <w:r>
        <w:rPr>
          <w:rFonts w:ascii="Cormorant Garamond" w:hAnsi="Cormorant Garamond"/>
          <w:i/>
          <w:color w:val="9CA3AF"/>
          <w:sz w:val="20"/>
        </w:rPr>
        <w:t xml:space="preserve"> — Règles hygiéno-diététiques.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Traitement médicamenteux</w:t>
      </w:r>
      <w:r>
        <w:rPr>
          <w:rFonts w:ascii="Cormorant Garamond" w:hAnsi="Cormorant Garamond"/>
          <w:i/>
          <w:color w:val="9CA3AF"/>
          <w:sz w:val="20"/>
        </w:rPr>
        <w:t xml:space="preserve"> — Classes et stratégie d'association.</w:t>
      </w:r>
    </w:p>
    <w:p>
      <w:r>
        <w:br w:type="page"/>
      </w:r>
    </w:p>
    <w:p>
      <w:pPr>
        <w:spacing w:before="40" w:after="200"/>
        <w:shd w:val="clear" w:color="auto" w:fill="E11D48"/>
      </w:pPr>
      <w:r>
        <w:rPr>
          <w:rFonts w:ascii="Playfair Display" w:hAnsi="Playfair Display"/>
          <w:b/>
          <w:color w:val="FFFFFF"/>
          <w:sz w:val="32"/>
        </w:rPr>
        <w:t>I.  Définition et épidémiologie</w:t>
      </w:r>
    </w:p>
    <w:p>
      <w:pPr>
        <w:spacing w:before="160" w:after="80"/>
        <w:shd w:val="clear" w:color="auto" w:fill="FAF7F2"/>
        <w:pBdr>
          <w:left w:val="single" w:sz="18" w:space="6" w:color="C9A961"/>
        </w:pBdr>
      </w:pPr>
      <w:r>
        <w:rPr>
          <w:rFonts w:ascii="Cormorant Garamond" w:hAnsi="Cormorant Garamond"/>
          <w:b/>
          <w:color w:val="E11D48"/>
          <w:sz w:val="27"/>
        </w:rPr>
        <w:t xml:space="preserve">A.  </w:t>
      </w:r>
      <w:r>
        <w:rPr>
          <w:rFonts w:ascii="Cormorant Garamond" w:hAnsi="Cormorant Garamond"/>
          <w:b/>
          <w:color w:val="1F2937"/>
          <w:sz w:val="27"/>
        </w:rPr>
        <w:t>Définitions et seuils</w:t>
      </w:r>
    </w:p>
    <w:p>
      <w:pPr>
        <w:pStyle w:val="ListBullet"/>
        <w:spacing w:after="40"/>
      </w:pPr>
      <w:r>
        <w:rPr>
          <w:rFonts w:ascii="Inter" w:hAnsi="Inter"/>
          <w:b/>
          <w:i w:val="0"/>
          <w:color w:val="BE123C"/>
          <w:sz w:val="20"/>
        </w:rPr>
        <w:t>Hypertension artérielle (HTA)</w:t>
      </w:r>
      <w:r>
        <w:rPr>
          <w:rFonts w:ascii="Inter" w:hAnsi="Inter"/>
          <w:b w:val="0"/>
          <w:i w:val="0"/>
          <w:color w:val="1F2937"/>
          <w:sz w:val="20"/>
        </w:rPr>
        <w:t xml:space="preserve"> : pression artérielle systolique (</w:t>
      </w:r>
      <w:r>
        <w:rPr>
          <w:rFonts w:ascii="Inter" w:hAnsi="Inter"/>
          <w:b/>
          <w:i w:val="0"/>
          <w:color w:val="BE123C"/>
          <w:sz w:val="20"/>
        </w:rPr>
        <w:t>PAS</w:t>
      </w:r>
      <w:r>
        <w:rPr>
          <w:rFonts w:ascii="Inter" w:hAnsi="Inter"/>
          <w:b w:val="0"/>
          <w:i w:val="0"/>
          <w:color w:val="1F2937"/>
          <w:sz w:val="20"/>
        </w:rPr>
        <w:t xml:space="preserve">) ≥ </w:t>
      </w:r>
      <w:r>
        <w:rPr>
          <w:rFonts w:ascii="Inter" w:hAnsi="Inter"/>
          <w:b/>
          <w:i w:val="0"/>
          <w:color w:val="BE123C"/>
          <w:sz w:val="20"/>
        </w:rPr>
        <w:t>140 mmHg</w:t>
      </w:r>
      <w:r>
        <w:rPr>
          <w:rFonts w:ascii="Inter" w:hAnsi="Inter"/>
          <w:b w:val="0"/>
          <w:i w:val="0"/>
          <w:color w:val="1F2937"/>
          <w:sz w:val="20"/>
        </w:rPr>
        <w:t xml:space="preserve"> et/ou pression artérielle diastolique (</w:t>
      </w:r>
      <w:r>
        <w:rPr>
          <w:rFonts w:ascii="Inter" w:hAnsi="Inter"/>
          <w:b/>
          <w:i w:val="0"/>
          <w:color w:val="BE123C"/>
          <w:sz w:val="20"/>
        </w:rPr>
        <w:t>PAD</w:t>
      </w:r>
      <w:r>
        <w:rPr>
          <w:rFonts w:ascii="Inter" w:hAnsi="Inter"/>
          <w:b w:val="0"/>
          <w:i w:val="0"/>
          <w:color w:val="1F2937"/>
          <w:sz w:val="20"/>
        </w:rPr>
        <w:t xml:space="preserve">) ≥ </w:t>
      </w:r>
      <w:r>
        <w:rPr>
          <w:rFonts w:ascii="Inter" w:hAnsi="Inter"/>
          <w:b/>
          <w:i w:val="0"/>
          <w:color w:val="BE123C"/>
          <w:sz w:val="20"/>
        </w:rPr>
        <w:t>90 mmHg</w:t>
      </w:r>
      <w:r>
        <w:rPr>
          <w:rFonts w:ascii="Inter" w:hAnsi="Inter"/>
          <w:b w:val="0"/>
          <w:i w:val="0"/>
          <w:color w:val="1F2937"/>
          <w:sz w:val="20"/>
        </w:rPr>
        <w:t xml:space="preserve"> au cabinet.</w:t>
      </w:r>
    </w:p>
    <w:p>
      <w:pPr>
        <w:pStyle w:val="ListBullet2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 xml:space="preserve">Mesure confirmée à </w:t>
      </w:r>
      <w:r>
        <w:rPr>
          <w:rFonts w:ascii="Inter" w:hAnsi="Inter"/>
          <w:b/>
          <w:i w:val="0"/>
          <w:color w:val="BE123C"/>
          <w:sz w:val="20"/>
        </w:rPr>
        <w:t>deux consultations</w:t>
      </w:r>
      <w:r>
        <w:rPr>
          <w:rFonts w:ascii="Inter" w:hAnsi="Inter"/>
          <w:b w:val="0"/>
          <w:i w:val="0"/>
          <w:color w:val="1F2937"/>
          <w:sz w:val="20"/>
        </w:rPr>
        <w:t xml:space="preserve"> distinctes.</w:t>
      </w:r>
    </w:p>
    <w:p>
      <w:pPr>
        <w:pStyle w:val="ListBullet2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 xml:space="preserve">Seuils abaissés en automesure : </w:t>
      </w:r>
      <w:r>
        <w:rPr>
          <w:rFonts w:ascii="Inter" w:hAnsi="Inter"/>
          <w:b/>
          <w:i w:val="0"/>
          <w:color w:val="BE123C"/>
          <w:sz w:val="20"/>
        </w:rPr>
        <w:t>≥ 135/85 mmHg</w:t>
      </w:r>
      <w:r>
        <w:rPr>
          <w:rFonts w:ascii="Inter" w:hAnsi="Inter"/>
          <w:b w:val="0"/>
          <w:i w:val="0"/>
          <w:color w:val="1F2937"/>
          <w:sz w:val="20"/>
        </w:rPr>
        <w:t>.</w:t>
      </w:r>
    </w:p>
    <w:p>
      <w:pPr>
        <w:pStyle w:val="ListBullet"/>
        <w:spacing w:after="40"/>
      </w:pPr>
      <w:r>
        <w:rPr>
          <w:rFonts w:ascii="Inter" w:hAnsi="Inter"/>
          <w:b/>
          <w:i w:val="0"/>
          <w:color w:val="BE123C"/>
          <w:sz w:val="20"/>
        </w:rPr>
        <w:t>Grades de sévérité</w:t>
      </w:r>
      <w:r>
        <w:rPr>
          <w:rFonts w:ascii="Inter" w:hAnsi="Inter"/>
          <w:b w:val="0"/>
          <w:i w:val="0"/>
          <w:color w:val="1F2937"/>
          <w:sz w:val="20"/>
        </w:rPr>
        <w:t xml:space="preserve"> :</w:t>
      </w:r>
    </w:p>
    <w:p>
      <w:pPr>
        <w:pStyle w:val="ListBullet2"/>
        <w:spacing w:after="40"/>
      </w:pPr>
      <w:r>
        <w:rPr>
          <w:rFonts w:ascii="Inter" w:hAnsi="Inter"/>
          <w:b/>
          <w:i w:val="0"/>
          <w:color w:val="BE123C"/>
          <w:sz w:val="20"/>
        </w:rPr>
        <w:t>Grade 1</w:t>
      </w:r>
      <w:r>
        <w:rPr>
          <w:rFonts w:ascii="Inter" w:hAnsi="Inter"/>
          <w:b w:val="0"/>
          <w:i w:val="0"/>
          <w:color w:val="1F2937"/>
          <w:sz w:val="20"/>
        </w:rPr>
        <w:t xml:space="preserve"> : 140-159 / 90-99 mmHg.</w:t>
      </w:r>
    </w:p>
    <w:p>
      <w:pPr>
        <w:pStyle w:val="ListBullet2"/>
        <w:spacing w:after="40"/>
      </w:pPr>
      <w:r>
        <w:rPr>
          <w:rFonts w:ascii="Inter" w:hAnsi="Inter"/>
          <w:b/>
          <w:i w:val="0"/>
          <w:color w:val="BE123C"/>
          <w:sz w:val="20"/>
        </w:rPr>
        <w:t>Grade 2</w:t>
      </w:r>
      <w:r>
        <w:rPr>
          <w:rFonts w:ascii="Inter" w:hAnsi="Inter"/>
          <w:b w:val="0"/>
          <w:i w:val="0"/>
          <w:color w:val="1F2937"/>
          <w:sz w:val="20"/>
        </w:rPr>
        <w:t xml:space="preserve"> : 160-179 / 100-109 mmHg.</w:t>
      </w:r>
    </w:p>
    <w:p>
      <w:pPr>
        <w:pStyle w:val="ListBullet2"/>
        <w:spacing w:after="40"/>
      </w:pPr>
      <w:r>
        <w:rPr>
          <w:rFonts w:ascii="Inter" w:hAnsi="Inter"/>
          <w:b/>
          <w:i w:val="0"/>
          <w:color w:val="BE123C"/>
          <w:sz w:val="20"/>
        </w:rPr>
        <w:t>Grade 3</w:t>
      </w:r>
      <w:r>
        <w:rPr>
          <w:rFonts w:ascii="Inter" w:hAnsi="Inter"/>
          <w:b w:val="0"/>
          <w:i w:val="0"/>
          <w:color w:val="1F2937"/>
          <w:sz w:val="20"/>
        </w:rPr>
        <w:t xml:space="preserve"> : ≥ 180 / 110 mmHg.</w:t>
      </w:r>
    </w:p>
    <w:p>
      <w:pPr>
        <w:pStyle w:val="ListBullet"/>
        <w:spacing w:after="40"/>
      </w:pPr>
      <w:r>
        <w:rPr>
          <w:rFonts w:ascii="Inter" w:hAnsi="Inter"/>
          <w:b/>
          <w:i w:val="0"/>
          <w:color w:val="BE123C"/>
          <w:sz w:val="20"/>
        </w:rPr>
        <w:t>HTA blouse blanche</w:t>
      </w:r>
      <w:r>
        <w:rPr>
          <w:rFonts w:ascii="Inter" w:hAnsi="Inter"/>
          <w:b w:val="0"/>
          <w:i w:val="0"/>
          <w:color w:val="1F2937"/>
          <w:sz w:val="20"/>
        </w:rPr>
        <w:t xml:space="preserve"> : élévation tensionnelle limitée au cabinet médical, à confirmer par </w:t>
      </w:r>
      <w:r>
        <w:rPr>
          <w:rFonts w:ascii="Inter" w:hAnsi="Inter"/>
          <w:b/>
          <w:i w:val="0"/>
          <w:color w:val="BE123C"/>
          <w:sz w:val="20"/>
        </w:rPr>
        <w:t>MAPA</w:t>
      </w:r>
      <w:r>
        <w:rPr>
          <w:rFonts w:ascii="Inter" w:hAnsi="Inter"/>
          <w:b w:val="0"/>
          <w:i w:val="0"/>
          <w:color w:val="1F2937"/>
          <w:sz w:val="20"/>
        </w:rPr>
        <w:t xml:space="preserve"> ou </w:t>
      </w:r>
      <w:r>
        <w:rPr>
          <w:rFonts w:ascii="Inter" w:hAnsi="Inter"/>
          <w:b/>
          <w:i w:val="0"/>
          <w:color w:val="BE123C"/>
          <w:sz w:val="20"/>
        </w:rPr>
        <w:t>automesure</w:t>
      </w:r>
      <w:r>
        <w:rPr>
          <w:rFonts w:ascii="Inter" w:hAnsi="Inter"/>
          <w:b w:val="0"/>
          <w:i w:val="0"/>
          <w:color w:val="1F2937"/>
          <w:sz w:val="20"/>
        </w:rPr>
        <w:t>.</w:t>
      </w:r>
    </w:p>
    <w:p>
      <w:pPr>
        <w:spacing w:before="160" w:after="80"/>
        <w:shd w:val="clear" w:color="auto" w:fill="FAF7F2"/>
        <w:pBdr>
          <w:left w:val="single" w:sz="18" w:space="6" w:color="C9A961"/>
        </w:pBdr>
      </w:pPr>
      <w:r>
        <w:rPr>
          <w:rFonts w:ascii="Cormorant Garamond" w:hAnsi="Cormorant Garamond"/>
          <w:b/>
          <w:color w:val="E11D48"/>
          <w:sz w:val="27"/>
        </w:rPr>
        <w:t xml:space="preserve">B.  </w:t>
      </w:r>
      <w:r>
        <w:rPr>
          <w:rFonts w:ascii="Cormorant Garamond" w:hAnsi="Cormorant Garamond"/>
          <w:b/>
          <w:color w:val="1F2937"/>
          <w:sz w:val="27"/>
        </w:rPr>
        <w:t>Épidémiologie</w:t>
      </w:r>
    </w:p>
    <w:p>
      <w:pPr>
        <w:pStyle w:val="ListBullet"/>
        <w:spacing w:after="40"/>
      </w:pPr>
      <w:r>
        <w:rPr>
          <w:rFonts w:ascii="Inter" w:hAnsi="Inter"/>
          <w:b/>
          <w:i w:val="0"/>
          <w:color w:val="BE123C"/>
          <w:sz w:val="20"/>
        </w:rPr>
        <w:t>Prévalence</w:t>
      </w:r>
      <w:r>
        <w:rPr>
          <w:rFonts w:ascii="Inter" w:hAnsi="Inter"/>
          <w:b w:val="0"/>
          <w:i w:val="0"/>
          <w:color w:val="1F2937"/>
          <w:sz w:val="20"/>
        </w:rPr>
        <w:t xml:space="preserve"> : environ </w:t>
      </w:r>
      <w:r>
        <w:rPr>
          <w:rFonts w:ascii="Inter" w:hAnsi="Inter"/>
          <w:b/>
          <w:i w:val="0"/>
          <w:color w:val="BE123C"/>
          <w:sz w:val="20"/>
        </w:rPr>
        <w:t>30 %</w:t>
      </w:r>
      <w:r>
        <w:rPr>
          <w:rFonts w:ascii="Inter" w:hAnsi="Inter"/>
          <w:b w:val="0"/>
          <w:i w:val="0"/>
          <w:color w:val="1F2937"/>
          <w:sz w:val="20"/>
        </w:rPr>
        <w:t xml:space="preserve"> de la population adulte ; augmente avec l'âge.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>Premier motif de consultation en médecine générale.</w:t>
      </w:r>
    </w:p>
    <w:p>
      <w:pPr>
        <w:pStyle w:val="ListBullet"/>
        <w:spacing w:after="40"/>
      </w:pPr>
      <w:r>
        <w:rPr>
          <w:rFonts w:ascii="Inter" w:hAnsi="Inter"/>
          <w:b/>
          <w:i w:val="0"/>
          <w:color w:val="BE123C"/>
          <w:sz w:val="20"/>
        </w:rPr>
        <w:t>Facteurs de risque</w:t>
      </w:r>
      <w:r>
        <w:rPr>
          <w:rFonts w:ascii="Inter" w:hAnsi="Inter"/>
          <w:b w:val="0"/>
          <w:i w:val="0"/>
          <w:color w:val="1F2937"/>
          <w:sz w:val="20"/>
        </w:rPr>
        <w:t xml:space="preserve"> :</w:t>
      </w:r>
    </w:p>
    <w:p>
      <w:pPr>
        <w:pStyle w:val="ListBullet2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 xml:space="preserve">Non modifiables : </w:t>
      </w:r>
      <w:r>
        <w:rPr>
          <w:rFonts w:ascii="Inter" w:hAnsi="Inter"/>
          <w:b/>
          <w:i w:val="0"/>
          <w:color w:val="BE123C"/>
          <w:sz w:val="20"/>
        </w:rPr>
        <w:t>âge</w:t>
      </w:r>
      <w:r>
        <w:rPr>
          <w:rFonts w:ascii="Inter" w:hAnsi="Inter"/>
          <w:b w:val="0"/>
          <w:i w:val="0"/>
          <w:color w:val="1F2937"/>
          <w:sz w:val="20"/>
        </w:rPr>
        <w:t xml:space="preserve">, </w:t>
      </w:r>
      <w:r>
        <w:rPr>
          <w:rFonts w:ascii="Inter" w:hAnsi="Inter"/>
          <w:b/>
          <w:i w:val="0"/>
          <w:color w:val="BE123C"/>
          <w:sz w:val="20"/>
        </w:rPr>
        <w:t>sexe masculin</w:t>
      </w:r>
      <w:r>
        <w:rPr>
          <w:rFonts w:ascii="Inter" w:hAnsi="Inter"/>
          <w:b w:val="0"/>
          <w:i w:val="0"/>
          <w:color w:val="1F2937"/>
          <w:sz w:val="20"/>
        </w:rPr>
        <w:t>, hérédité.</w:t>
      </w:r>
    </w:p>
    <w:p>
      <w:pPr>
        <w:pStyle w:val="ListBullet2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 xml:space="preserve">Modifiables : </w:t>
      </w:r>
      <w:r>
        <w:rPr>
          <w:rFonts w:ascii="Inter" w:hAnsi="Inter"/>
          <w:b/>
          <w:i w:val="0"/>
          <w:color w:val="BE123C"/>
          <w:sz w:val="20"/>
        </w:rPr>
        <w:t>surpoids</w:t>
      </w:r>
      <w:r>
        <w:rPr>
          <w:rFonts w:ascii="Inter" w:hAnsi="Inter"/>
          <w:b w:val="0"/>
          <w:i w:val="0"/>
          <w:color w:val="1F2937"/>
          <w:sz w:val="20"/>
        </w:rPr>
        <w:t xml:space="preserve">, </w:t>
      </w:r>
      <w:r>
        <w:rPr>
          <w:rFonts w:ascii="Inter" w:hAnsi="Inter"/>
          <w:b/>
          <w:i w:val="0"/>
          <w:color w:val="BE123C"/>
          <w:sz w:val="20"/>
        </w:rPr>
        <w:t>sédentarité</w:t>
      </w:r>
      <w:r>
        <w:rPr>
          <w:rFonts w:ascii="Inter" w:hAnsi="Inter"/>
          <w:b w:val="0"/>
          <w:i w:val="0"/>
          <w:color w:val="1F2937"/>
          <w:sz w:val="20"/>
        </w:rPr>
        <w:t xml:space="preserve">, </w:t>
      </w:r>
      <w:r>
        <w:rPr>
          <w:rFonts w:ascii="Inter" w:hAnsi="Inter"/>
          <w:b/>
          <w:i w:val="0"/>
          <w:color w:val="BE123C"/>
          <w:sz w:val="20"/>
        </w:rPr>
        <w:t>consommation de sel</w:t>
      </w:r>
      <w:r>
        <w:rPr>
          <w:rFonts w:ascii="Inter" w:hAnsi="Inter"/>
          <w:b w:val="0"/>
          <w:i w:val="0"/>
          <w:color w:val="1F2937"/>
          <w:sz w:val="20"/>
        </w:rPr>
        <w:t xml:space="preserve">, </w:t>
      </w:r>
      <w:r>
        <w:rPr>
          <w:rFonts w:ascii="Inter" w:hAnsi="Inter"/>
          <w:b/>
          <w:i w:val="0"/>
          <w:color w:val="BE123C"/>
          <w:sz w:val="20"/>
        </w:rPr>
        <w:t>alcool</w:t>
      </w:r>
      <w:r>
        <w:rPr>
          <w:rFonts w:ascii="Inter" w:hAnsi="Inter"/>
          <w:b w:val="0"/>
          <w:i w:val="0"/>
          <w:color w:val="1F2937"/>
          <w:sz w:val="20"/>
        </w:rPr>
        <w:t>, tabac.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 xml:space="preserve">L'HTA est un facteur de risque </w:t>
      </w:r>
      <w:r>
        <w:rPr>
          <w:rFonts w:ascii="Inter" w:hAnsi="Inter"/>
          <w:b/>
          <w:i w:val="0"/>
          <w:color w:val="BE123C"/>
          <w:sz w:val="20"/>
        </w:rPr>
        <w:t>cardiovasculaire majeur</w:t>
      </w:r>
      <w:r>
        <w:rPr>
          <w:rFonts w:ascii="Inter" w:hAnsi="Inter"/>
          <w:b w:val="0"/>
          <w:i w:val="0"/>
          <w:color w:val="1F2937"/>
          <w:sz w:val="20"/>
        </w:rPr>
        <w:t xml:space="preserve"> : AVC, insuffisance cardiaque, coronaropathie, néphropathie.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AF7F2"/>
            <w:tcBorders>
              <w:top w:val="single" w:sz="4" w:color="E11D48" w:space="0"/>
              <w:left w:val="single" w:sz="24" w:color="E11D48" w:space="0"/>
              <w:bottom w:val="single" w:sz="4" w:color="E11D48" w:space="0"/>
              <w:right w:val="single" w:sz="4" w:color="E11D48" w:space="0"/>
            </w:tcBorders>
          </w:tcPr>
          <w:p>
            <w:r>
              <w:rPr>
                <w:rFonts w:ascii="Inter" w:hAnsi="Inter"/>
                <w:b/>
                <w:color w:val="E11D48"/>
                <w:sz w:val="21"/>
              </w:rPr>
              <w:t>🎯  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 diagnostic d'HTA repose sur des mesures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répétées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standardisées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. Une seule mesure élevée ne suffit jamais.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EE2E2"/>
            <w:tcBorders>
              <w:top w:val="single" w:sz="4" w:color="E11D48" w:space="0"/>
              <w:left w:val="single" w:sz="24" w:color="E11D48" w:space="0"/>
              <w:bottom w:val="single" w:sz="4" w:color="E11D48" w:space="0"/>
              <w:right w:val="single" w:sz="4" w:color="E11D48" w:space="0"/>
            </w:tcBorders>
          </w:tcPr>
          <w:p>
            <w:r>
              <w:rPr>
                <w:rFonts w:ascii="Inter" w:hAnsi="Inter"/>
                <w:b/>
                <w:color w:val="B91C1C"/>
                <w:sz w:val="21"/>
              </w:rPr>
              <w:t>⚠️  Piège ECN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Ne pas confondre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blouse blanche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(PA élevée au cabinet uniquement)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masquée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(PA normale au cabinet, élevée en ambulatoire) — pronostic différent.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40" w:after="200"/>
        <w:shd w:val="clear" w:color="auto" w:fill="E11D48"/>
      </w:pPr>
      <w:r>
        <w:rPr>
          <w:rFonts w:ascii="Playfair Display" w:hAnsi="Playfair Display"/>
          <w:b/>
          <w:color w:val="FFFFFF"/>
          <w:sz w:val="32"/>
        </w:rPr>
        <w:t>II.  Diagnostic et bilan initial</w:t>
      </w:r>
    </w:p>
    <w:p>
      <w:pPr>
        <w:spacing w:before="160" w:after="80"/>
        <w:shd w:val="clear" w:color="auto" w:fill="FAF7F2"/>
        <w:pBdr>
          <w:left w:val="single" w:sz="18" w:space="6" w:color="C9A961"/>
        </w:pBdr>
      </w:pPr>
      <w:r>
        <w:rPr>
          <w:rFonts w:ascii="Cormorant Garamond" w:hAnsi="Cormorant Garamond"/>
          <w:b/>
          <w:color w:val="E11D48"/>
          <w:sz w:val="27"/>
        </w:rPr>
        <w:t xml:space="preserve">A.  </w:t>
      </w:r>
      <w:r>
        <w:rPr>
          <w:rFonts w:ascii="Cormorant Garamond" w:hAnsi="Cormorant Garamond"/>
          <w:b/>
          <w:color w:val="1F2937"/>
          <w:sz w:val="27"/>
        </w:rPr>
        <w:t>Mesure de la pression artérielle</w:t>
      </w:r>
    </w:p>
    <w:p>
      <w:pPr>
        <w:pStyle w:val="ListBullet"/>
        <w:spacing w:after="40"/>
      </w:pPr>
      <w:r>
        <w:rPr>
          <w:rFonts w:ascii="Inter" w:hAnsi="Inter"/>
          <w:b/>
          <w:i w:val="0"/>
          <w:color w:val="BE123C"/>
          <w:sz w:val="20"/>
        </w:rPr>
        <w:t>Conditions de mesure</w:t>
      </w:r>
      <w:r>
        <w:rPr>
          <w:rFonts w:ascii="Inter" w:hAnsi="Inter"/>
          <w:b w:val="0"/>
          <w:i w:val="0"/>
          <w:color w:val="1F2937"/>
          <w:sz w:val="20"/>
        </w:rPr>
        <w:t xml:space="preserve"> :</w:t>
      </w:r>
    </w:p>
    <w:p>
      <w:pPr>
        <w:pStyle w:val="ListBullet2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 xml:space="preserve">Patient au </w:t>
      </w:r>
      <w:r>
        <w:rPr>
          <w:rFonts w:ascii="Inter" w:hAnsi="Inter"/>
          <w:b/>
          <w:i w:val="0"/>
          <w:color w:val="BE123C"/>
          <w:sz w:val="20"/>
        </w:rPr>
        <w:t>repos</w:t>
      </w:r>
      <w:r>
        <w:rPr>
          <w:rFonts w:ascii="Inter" w:hAnsi="Inter"/>
          <w:b w:val="0"/>
          <w:i w:val="0"/>
          <w:color w:val="1F2937"/>
          <w:sz w:val="20"/>
        </w:rPr>
        <w:t xml:space="preserve"> depuis 5 minutes, assis.</w:t>
      </w:r>
    </w:p>
    <w:p>
      <w:pPr>
        <w:pStyle w:val="ListBullet2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>Brassard adapté à la circonférence du bras.</w:t>
      </w:r>
    </w:p>
    <w:p>
      <w:pPr>
        <w:pStyle w:val="ListBullet2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 xml:space="preserve">Mesure aux </w:t>
      </w:r>
      <w:r>
        <w:rPr>
          <w:rFonts w:ascii="Inter" w:hAnsi="Inter"/>
          <w:b/>
          <w:i w:val="0"/>
          <w:color w:val="BE123C"/>
          <w:sz w:val="20"/>
        </w:rPr>
        <w:t>deux bras</w:t>
      </w:r>
      <w:r>
        <w:rPr>
          <w:rFonts w:ascii="Inter" w:hAnsi="Inter"/>
          <w:b w:val="0"/>
          <w:i w:val="0"/>
          <w:color w:val="1F2937"/>
          <w:sz w:val="20"/>
        </w:rPr>
        <w:t xml:space="preserve"> lors du bilan initial.</w:t>
      </w:r>
    </w:p>
    <w:p>
      <w:pPr>
        <w:pStyle w:val="ListBullet"/>
        <w:spacing w:after="40"/>
      </w:pPr>
      <w:r>
        <w:rPr>
          <w:rFonts w:ascii="Inter" w:hAnsi="Inter"/>
          <w:b/>
          <w:i w:val="0"/>
          <w:color w:val="BE123C"/>
          <w:sz w:val="20"/>
        </w:rPr>
        <w:t>MAPA</w:t>
      </w:r>
      <w:r>
        <w:rPr>
          <w:rFonts w:ascii="Inter" w:hAnsi="Inter"/>
          <w:b w:val="0"/>
          <w:i w:val="0"/>
          <w:color w:val="1F2937"/>
          <w:sz w:val="20"/>
        </w:rPr>
        <w:t xml:space="preserve"> (mesure ambulatoire sur 24 h) : référence pour confirmer le diagnostic et dépister l'</w:t>
      </w:r>
      <w:r>
        <w:rPr>
          <w:rFonts w:ascii="Inter" w:hAnsi="Inter"/>
          <w:b/>
          <w:i w:val="0"/>
          <w:color w:val="BE123C"/>
          <w:sz w:val="20"/>
        </w:rPr>
        <w:t>HTA masquée</w:t>
      </w:r>
      <w:r>
        <w:rPr>
          <w:rFonts w:ascii="Inter" w:hAnsi="Inter"/>
          <w:b w:val="0"/>
          <w:i w:val="0"/>
          <w:color w:val="1F2937"/>
          <w:sz w:val="20"/>
        </w:rPr>
        <w:t>.</w:t>
      </w:r>
    </w:p>
    <w:p>
      <w:pPr>
        <w:pStyle w:val="ListBullet"/>
        <w:spacing w:after="40"/>
      </w:pPr>
      <w:r>
        <w:rPr>
          <w:rFonts w:ascii="Inter" w:hAnsi="Inter"/>
          <w:b/>
          <w:i w:val="0"/>
          <w:color w:val="BE123C"/>
          <w:sz w:val="20"/>
        </w:rPr>
        <w:t>Automesure</w:t>
      </w:r>
      <w:r>
        <w:rPr>
          <w:rFonts w:ascii="Inter" w:hAnsi="Inter"/>
          <w:b w:val="0"/>
          <w:i w:val="0"/>
          <w:color w:val="1F2937"/>
          <w:sz w:val="20"/>
        </w:rPr>
        <w:t xml:space="preserve"> : 3 mesures matin et soir, 3 jours de suite (</w:t>
      </w:r>
      <w:r>
        <w:rPr>
          <w:rFonts w:ascii="Inter" w:hAnsi="Inter"/>
          <w:b/>
          <w:i w:val="0"/>
          <w:color w:val="BE123C"/>
          <w:sz w:val="20"/>
        </w:rPr>
        <w:t>règle des 3</w:t>
      </w:r>
      <w:r>
        <w:rPr>
          <w:rFonts w:ascii="Inter" w:hAnsi="Inter"/>
          <w:b w:val="0"/>
          <w:i w:val="0"/>
          <w:color w:val="1F2937"/>
          <w:sz w:val="20"/>
        </w:rPr>
        <w:t>).</w:t>
      </w:r>
    </w:p>
    <w:p>
      <w:pPr>
        <w:spacing w:before="160" w:after="80"/>
        <w:shd w:val="clear" w:color="auto" w:fill="FAF7F2"/>
        <w:pBdr>
          <w:left w:val="single" w:sz="18" w:space="6" w:color="C9A961"/>
        </w:pBdr>
      </w:pPr>
      <w:r>
        <w:rPr>
          <w:rFonts w:ascii="Cormorant Garamond" w:hAnsi="Cormorant Garamond"/>
          <w:b/>
          <w:color w:val="E11D48"/>
          <w:sz w:val="27"/>
        </w:rPr>
        <w:t xml:space="preserve">B.  </w:t>
      </w:r>
      <w:r>
        <w:rPr>
          <w:rFonts w:ascii="Cormorant Garamond" w:hAnsi="Cormorant Garamond"/>
          <w:b/>
          <w:color w:val="1F2937"/>
          <w:sz w:val="27"/>
        </w:rPr>
        <w:t>Bilan de retentissement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 xml:space="preserve">Recherche d'une </w:t>
      </w:r>
      <w:r>
        <w:rPr>
          <w:rFonts w:ascii="Inter" w:hAnsi="Inter"/>
          <w:b/>
          <w:i w:val="0"/>
          <w:color w:val="BE123C"/>
          <w:sz w:val="20"/>
        </w:rPr>
        <w:t>atteinte des organes cibles</w:t>
      </w:r>
      <w:r>
        <w:rPr>
          <w:rFonts w:ascii="Inter" w:hAnsi="Inter"/>
          <w:b w:val="0"/>
          <w:i w:val="0"/>
          <w:color w:val="1F2937"/>
          <w:sz w:val="20"/>
        </w:rPr>
        <w:t xml:space="preserve"> :</w:t>
      </w:r>
    </w:p>
    <w:p>
      <w:pPr>
        <w:pStyle w:val="ListBullet2"/>
        <w:spacing w:after="40"/>
      </w:pPr>
      <w:r>
        <w:rPr>
          <w:rFonts w:ascii="Inter" w:hAnsi="Inter"/>
          <w:b/>
          <w:i w:val="0"/>
          <w:color w:val="BE123C"/>
          <w:sz w:val="20"/>
        </w:rPr>
        <w:t>Cœur</w:t>
      </w:r>
      <w:r>
        <w:rPr>
          <w:rFonts w:ascii="Inter" w:hAnsi="Inter"/>
          <w:b w:val="0"/>
          <w:i w:val="0"/>
          <w:color w:val="1F2937"/>
          <w:sz w:val="20"/>
        </w:rPr>
        <w:t xml:space="preserve"> : ECG, hypertrophie ventriculaire gauche.</w:t>
      </w:r>
    </w:p>
    <w:p>
      <w:pPr>
        <w:pStyle w:val="ListBullet2"/>
        <w:spacing w:after="40"/>
      </w:pPr>
      <w:r>
        <w:rPr>
          <w:rFonts w:ascii="Inter" w:hAnsi="Inter"/>
          <w:b/>
          <w:i w:val="0"/>
          <w:color w:val="BE123C"/>
          <w:sz w:val="20"/>
        </w:rPr>
        <w:t>Rein</w:t>
      </w:r>
      <w:r>
        <w:rPr>
          <w:rFonts w:ascii="Inter" w:hAnsi="Inter"/>
          <w:b w:val="0"/>
          <w:i w:val="0"/>
          <w:color w:val="1F2937"/>
          <w:sz w:val="20"/>
        </w:rPr>
        <w:t xml:space="preserve"> : créatininémie, </w:t>
      </w:r>
      <w:r>
        <w:rPr>
          <w:rFonts w:ascii="Inter" w:hAnsi="Inter"/>
          <w:b/>
          <w:i w:val="0"/>
          <w:color w:val="BE123C"/>
          <w:sz w:val="20"/>
        </w:rPr>
        <w:t>DFG</w:t>
      </w:r>
      <w:r>
        <w:rPr>
          <w:rFonts w:ascii="Inter" w:hAnsi="Inter"/>
          <w:b w:val="0"/>
          <w:i w:val="0"/>
          <w:color w:val="1F2937"/>
          <w:sz w:val="20"/>
        </w:rPr>
        <w:t>, protéinurie.</w:t>
      </w:r>
    </w:p>
    <w:p>
      <w:pPr>
        <w:pStyle w:val="ListBullet2"/>
        <w:spacing w:after="40"/>
      </w:pPr>
      <w:r>
        <w:rPr>
          <w:rFonts w:ascii="Inter" w:hAnsi="Inter"/>
          <w:b/>
          <w:i w:val="0"/>
          <w:color w:val="BE123C"/>
          <w:sz w:val="20"/>
        </w:rPr>
        <w:t>Œil</w:t>
      </w:r>
      <w:r>
        <w:rPr>
          <w:rFonts w:ascii="Inter" w:hAnsi="Inter"/>
          <w:b w:val="0"/>
          <w:i w:val="0"/>
          <w:color w:val="1F2937"/>
          <w:sz w:val="20"/>
        </w:rPr>
        <w:t xml:space="preserve"> : rétinopathie hypertensive si HTA sévère.</w:t>
      </w:r>
    </w:p>
    <w:p>
      <w:pPr>
        <w:pStyle w:val="ListBullet"/>
        <w:spacing w:after="40"/>
      </w:pPr>
      <w:r>
        <w:rPr>
          <w:rFonts w:ascii="Inter" w:hAnsi="Inter"/>
          <w:b/>
          <w:i w:val="0"/>
          <w:color w:val="BE123C"/>
          <w:sz w:val="20"/>
        </w:rPr>
        <w:t>Bilan biologique minimal</w:t>
      </w:r>
      <w:r>
        <w:rPr>
          <w:rFonts w:ascii="Inter" w:hAnsi="Inter"/>
          <w:b w:val="0"/>
          <w:i w:val="0"/>
          <w:color w:val="1F2937"/>
          <w:sz w:val="20"/>
        </w:rPr>
        <w:t xml:space="preserve"> : kaliémie, glycémie à jeun, bilan lipidique, créatininémie.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 xml:space="preserve">Recherche d'une </w:t>
      </w:r>
      <w:r>
        <w:rPr>
          <w:rFonts w:ascii="Inter" w:hAnsi="Inter"/>
          <w:b/>
          <w:i w:val="0"/>
          <w:color w:val="BE123C"/>
          <w:sz w:val="20"/>
        </w:rPr>
        <w:t>HTA secondaire</w:t>
      </w:r>
      <w:r>
        <w:rPr>
          <w:rFonts w:ascii="Inter" w:hAnsi="Inter"/>
          <w:b w:val="0"/>
          <w:i w:val="0"/>
          <w:color w:val="1F2937"/>
          <w:sz w:val="20"/>
        </w:rPr>
        <w:t xml:space="preserve"> si HTA résistante, sujet jeune ou signes d'orientation.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F4F6"/>
            <w:tcBorders>
              <w:top w:val="single" w:sz="4" w:color="9CA3AF" w:space="0"/>
              <w:left w:val="single" w:sz="24" w:color="9CA3AF" w:space="0"/>
              <w:bottom w:val="single" w:sz="4" w:color="9CA3AF" w:space="0"/>
              <w:right w:val="single" w:sz="4" w:color="9CA3AF" w:space="0"/>
            </w:tcBorders>
          </w:tcPr>
          <w:p>
            <w:r>
              <w:rPr>
                <w:rFonts w:ascii="Inter" w:hAnsi="Inter"/>
                <w:b/>
                <w:color w:val="4B5563"/>
                <w:sz w:val="21"/>
              </w:rPr>
              <w:t>🔑  Mots-clés tombés</w:t>
            </w:r>
          </w:p>
          <w:p>
            <w:pPr>
              <w:pStyle w:val="ListBullet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MAPA</w:t>
            </w:r>
          </w:p>
          <w:p>
            <w:pPr>
              <w:pStyle w:val="ListBullet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Hypertrophie ventriculaire gauche</w:t>
            </w:r>
          </w:p>
          <w:p>
            <w:pPr>
              <w:pStyle w:val="ListBullet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Organes cibles</w:t>
            </w:r>
          </w:p>
          <w:p>
            <w:pPr>
              <w:pStyle w:val="ListBullet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HTA secondaire</w:t>
            </w:r>
          </w:p>
          <w:p>
            <w:pPr>
              <w:pStyle w:val="ListBullet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Protéinurie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40" w:after="200"/>
        <w:shd w:val="clear" w:color="auto" w:fill="E11D48"/>
      </w:pPr>
      <w:r>
        <w:rPr>
          <w:rFonts w:ascii="Playfair Display" w:hAnsi="Playfair Display"/>
          <w:b/>
          <w:color w:val="FFFFFF"/>
          <w:sz w:val="32"/>
        </w:rPr>
        <w:t>III.  Prise en charge thérapeutique</w:t>
      </w:r>
    </w:p>
    <w:p>
      <w:pPr>
        <w:spacing w:before="160" w:after="80"/>
        <w:shd w:val="clear" w:color="auto" w:fill="FAF7F2"/>
        <w:pBdr>
          <w:left w:val="single" w:sz="18" w:space="6" w:color="C9A961"/>
        </w:pBdr>
      </w:pPr>
      <w:r>
        <w:rPr>
          <w:rFonts w:ascii="Cormorant Garamond" w:hAnsi="Cormorant Garamond"/>
          <w:b/>
          <w:color w:val="E11D48"/>
          <w:sz w:val="27"/>
        </w:rPr>
        <w:t xml:space="preserve">A.  </w:t>
      </w:r>
      <w:r>
        <w:rPr>
          <w:rFonts w:ascii="Cormorant Garamond" w:hAnsi="Cormorant Garamond"/>
          <w:b/>
          <w:color w:val="1F2937"/>
          <w:sz w:val="27"/>
        </w:rPr>
        <w:t>Mesures non médicamenteuses</w:t>
      </w:r>
    </w:p>
    <w:p>
      <w:pPr>
        <w:pStyle w:val="ListBullet"/>
        <w:spacing w:after="40"/>
      </w:pPr>
      <w:r>
        <w:rPr>
          <w:rFonts w:ascii="Inter" w:hAnsi="Inter"/>
          <w:b/>
          <w:i w:val="0"/>
          <w:color w:val="BE123C"/>
          <w:sz w:val="20"/>
        </w:rPr>
        <w:t>Règles hygiéno-diététiques</w:t>
      </w:r>
      <w:r>
        <w:rPr>
          <w:rFonts w:ascii="Inter" w:hAnsi="Inter"/>
          <w:b w:val="0"/>
          <w:i w:val="0"/>
          <w:color w:val="1F2937"/>
          <w:sz w:val="20"/>
        </w:rPr>
        <w:t>, systématiques :</w:t>
      </w:r>
    </w:p>
    <w:p>
      <w:pPr>
        <w:pStyle w:val="ListBullet2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 xml:space="preserve">Réduction des apports en </w:t>
      </w:r>
      <w:r>
        <w:rPr>
          <w:rFonts w:ascii="Inter" w:hAnsi="Inter"/>
          <w:b/>
          <w:i w:val="0"/>
          <w:color w:val="BE123C"/>
          <w:sz w:val="20"/>
        </w:rPr>
        <w:t>sel</w:t>
      </w:r>
      <w:r>
        <w:rPr>
          <w:rFonts w:ascii="Inter" w:hAnsi="Inter"/>
          <w:b w:val="0"/>
          <w:i w:val="0"/>
          <w:color w:val="1F2937"/>
          <w:sz w:val="20"/>
        </w:rPr>
        <w:t xml:space="preserve"> (&lt; 6 g/j).</w:t>
      </w:r>
    </w:p>
    <w:p>
      <w:pPr>
        <w:pStyle w:val="ListBullet2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>Perte de poids en cas de surpoids.</w:t>
      </w:r>
    </w:p>
    <w:p>
      <w:pPr>
        <w:pStyle w:val="ListBullet2"/>
        <w:spacing w:after="40"/>
      </w:pPr>
      <w:r>
        <w:rPr>
          <w:rFonts w:ascii="Inter" w:hAnsi="Inter"/>
          <w:b/>
          <w:i w:val="0"/>
          <w:color w:val="BE123C"/>
          <w:sz w:val="20"/>
        </w:rPr>
        <w:t>Activité physique</w:t>
      </w:r>
      <w:r>
        <w:rPr>
          <w:rFonts w:ascii="Inter" w:hAnsi="Inter"/>
          <w:b w:val="0"/>
          <w:i w:val="0"/>
          <w:color w:val="1F2937"/>
          <w:sz w:val="20"/>
        </w:rPr>
        <w:t xml:space="preserve"> régulière (30 min/j).</w:t>
      </w:r>
    </w:p>
    <w:p>
      <w:pPr>
        <w:pStyle w:val="ListBullet2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>Limitation de l'</w:t>
      </w:r>
      <w:r>
        <w:rPr>
          <w:rFonts w:ascii="Inter" w:hAnsi="Inter"/>
          <w:b/>
          <w:i w:val="0"/>
          <w:color w:val="BE123C"/>
          <w:sz w:val="20"/>
        </w:rPr>
        <w:t>alcool</w:t>
      </w:r>
      <w:r>
        <w:rPr>
          <w:rFonts w:ascii="Inter" w:hAnsi="Inter"/>
          <w:b w:val="0"/>
          <w:i w:val="0"/>
          <w:color w:val="1F2937"/>
          <w:sz w:val="20"/>
        </w:rPr>
        <w:t xml:space="preserve">, arrêt du </w:t>
      </w:r>
      <w:r>
        <w:rPr>
          <w:rFonts w:ascii="Inter" w:hAnsi="Inter"/>
          <w:b/>
          <w:i w:val="0"/>
          <w:color w:val="BE123C"/>
          <w:sz w:val="20"/>
        </w:rPr>
        <w:t>tabac</w:t>
      </w:r>
      <w:r>
        <w:rPr>
          <w:rFonts w:ascii="Inter" w:hAnsi="Inter"/>
          <w:b w:val="0"/>
          <w:i w:val="0"/>
          <w:color w:val="1F2937"/>
          <w:sz w:val="20"/>
        </w:rPr>
        <w:t>.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>Toujours associées au traitement médicamenteux.</w:t>
      </w:r>
    </w:p>
    <w:p>
      <w:pPr>
        <w:spacing w:before="160" w:after="80"/>
        <w:shd w:val="clear" w:color="auto" w:fill="FAF7F2"/>
        <w:pBdr>
          <w:left w:val="single" w:sz="18" w:space="6" w:color="C9A961"/>
        </w:pBdr>
      </w:pPr>
      <w:r>
        <w:rPr>
          <w:rFonts w:ascii="Cormorant Garamond" w:hAnsi="Cormorant Garamond"/>
          <w:b/>
          <w:color w:val="E11D48"/>
          <w:sz w:val="27"/>
        </w:rPr>
        <w:t xml:space="preserve">B.  </w:t>
      </w:r>
      <w:r>
        <w:rPr>
          <w:rFonts w:ascii="Cormorant Garamond" w:hAnsi="Cormorant Garamond"/>
          <w:b/>
          <w:color w:val="1F2937"/>
          <w:sz w:val="27"/>
        </w:rPr>
        <w:t>Traitement médicamenteux</w:t>
      </w:r>
    </w:p>
    <w:p>
      <w:pPr>
        <w:pStyle w:val="ListBullet"/>
        <w:spacing w:after="40"/>
      </w:pPr>
      <w:r>
        <w:rPr>
          <w:rFonts w:ascii="Inter" w:hAnsi="Inter"/>
          <w:b/>
          <w:i w:val="0"/>
          <w:color w:val="BE123C"/>
          <w:sz w:val="20"/>
        </w:rPr>
        <w:t>Cinq classes</w:t>
      </w:r>
      <w:r>
        <w:rPr>
          <w:rFonts w:ascii="Inter" w:hAnsi="Inter"/>
          <w:b w:val="0"/>
          <w:i w:val="0"/>
          <w:color w:val="1F2937"/>
          <w:sz w:val="20"/>
        </w:rPr>
        <w:t xml:space="preserve"> de première intention :</w:t>
      </w:r>
    </w:p>
    <w:p>
      <w:pPr>
        <w:pStyle w:val="ListBullet2"/>
        <w:spacing w:after="40"/>
      </w:pPr>
      <w:r>
        <w:rPr>
          <w:rFonts w:ascii="Inter" w:hAnsi="Inter"/>
          <w:b/>
          <w:i w:val="0"/>
          <w:color w:val="BE123C"/>
          <w:sz w:val="20"/>
        </w:rPr>
        <w:t>IEC</w:t>
      </w:r>
      <w:r>
        <w:rPr>
          <w:rFonts w:ascii="Inter" w:hAnsi="Inter"/>
          <w:b w:val="0"/>
          <w:i w:val="0"/>
          <w:color w:val="1F2937"/>
          <w:sz w:val="20"/>
        </w:rPr>
        <w:t xml:space="preserve"> et </w:t>
      </w:r>
      <w:r>
        <w:rPr>
          <w:rFonts w:ascii="Inter" w:hAnsi="Inter"/>
          <w:b/>
          <w:i w:val="0"/>
          <w:color w:val="BE123C"/>
          <w:sz w:val="20"/>
        </w:rPr>
        <w:t>ARA II</w:t>
      </w:r>
      <w:r>
        <w:rPr>
          <w:rFonts w:ascii="Inter" w:hAnsi="Inter"/>
          <w:b w:val="0"/>
          <w:i w:val="0"/>
          <w:color w:val="1F2937"/>
          <w:sz w:val="20"/>
        </w:rPr>
        <w:t xml:space="preserve"> : bloqueurs du système rénine-angiotensine.</w:t>
      </w:r>
    </w:p>
    <w:p>
      <w:pPr>
        <w:pStyle w:val="ListBullet2"/>
        <w:spacing w:after="40"/>
      </w:pPr>
      <w:r>
        <w:rPr>
          <w:rFonts w:ascii="Inter" w:hAnsi="Inter"/>
          <w:b/>
          <w:i w:val="0"/>
          <w:color w:val="BE123C"/>
          <w:sz w:val="20"/>
        </w:rPr>
        <w:t>Inhibiteurs calciques</w:t>
      </w:r>
      <w:r>
        <w:rPr>
          <w:rFonts w:ascii="Inter" w:hAnsi="Inter"/>
          <w:b w:val="0"/>
          <w:i w:val="0"/>
          <w:color w:val="1F2937"/>
          <w:sz w:val="20"/>
        </w:rPr>
        <w:t>.</w:t>
      </w:r>
    </w:p>
    <w:p>
      <w:pPr>
        <w:pStyle w:val="ListBullet2"/>
        <w:spacing w:after="40"/>
      </w:pPr>
      <w:r>
        <w:rPr>
          <w:rFonts w:ascii="Inter" w:hAnsi="Inter"/>
          <w:b/>
          <w:i w:val="0"/>
          <w:color w:val="BE123C"/>
          <w:sz w:val="20"/>
        </w:rPr>
        <w:t>Diurétiques thiazidiques</w:t>
      </w:r>
      <w:r>
        <w:rPr>
          <w:rFonts w:ascii="Inter" w:hAnsi="Inter"/>
          <w:b w:val="0"/>
          <w:i w:val="0"/>
          <w:color w:val="1F2937"/>
          <w:sz w:val="20"/>
        </w:rPr>
        <w:t>.</w:t>
      </w:r>
    </w:p>
    <w:p>
      <w:pPr>
        <w:pStyle w:val="ListBullet2"/>
        <w:spacing w:after="40"/>
      </w:pPr>
      <w:r>
        <w:rPr>
          <w:rFonts w:ascii="Inter" w:hAnsi="Inter"/>
          <w:b/>
          <w:i w:val="0"/>
          <w:color w:val="BE123C"/>
          <w:sz w:val="20"/>
        </w:rPr>
        <w:t>Bêtabloquants</w:t>
      </w:r>
      <w:r>
        <w:rPr>
          <w:rFonts w:ascii="Inter" w:hAnsi="Inter"/>
          <w:b w:val="0"/>
          <w:i w:val="0"/>
          <w:color w:val="1F2937"/>
          <w:sz w:val="20"/>
        </w:rPr>
        <w:t xml:space="preserve"> (indications spécifiques).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 xml:space="preserve">Stratégie : </w:t>
      </w:r>
      <w:r>
        <w:rPr>
          <w:rFonts w:ascii="Inter" w:hAnsi="Inter"/>
          <w:b/>
          <w:i w:val="0"/>
          <w:color w:val="BE123C"/>
          <w:sz w:val="20"/>
        </w:rPr>
        <w:t>bithérapie d'emblée</w:t>
      </w:r>
      <w:r>
        <w:rPr>
          <w:rFonts w:ascii="Inter" w:hAnsi="Inter"/>
          <w:b w:val="0"/>
          <w:i w:val="0"/>
          <w:color w:val="1F2937"/>
          <w:sz w:val="20"/>
        </w:rPr>
        <w:t xml:space="preserve"> souvent recommandée, en privilégiant les </w:t>
      </w:r>
      <w:r>
        <w:rPr>
          <w:rFonts w:ascii="Inter" w:hAnsi="Inter"/>
          <w:b/>
          <w:i w:val="0"/>
          <w:color w:val="BE123C"/>
          <w:sz w:val="20"/>
        </w:rPr>
        <w:t>associations fixes</w:t>
      </w:r>
      <w:r>
        <w:rPr>
          <w:rFonts w:ascii="Inter" w:hAnsi="Inter"/>
          <w:b w:val="0"/>
          <w:i w:val="0"/>
          <w:color w:val="1F2937"/>
          <w:sz w:val="20"/>
        </w:rPr>
        <w:t>.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937"/>
          <w:sz w:val="20"/>
        </w:rPr>
        <w:t xml:space="preserve">Objectif tensionnel : </w:t>
      </w:r>
      <w:r>
        <w:rPr>
          <w:rFonts w:ascii="Inter" w:hAnsi="Inter"/>
          <w:b/>
          <w:i w:val="0"/>
          <w:color w:val="BE123C"/>
          <w:sz w:val="20"/>
        </w:rPr>
        <w:t>&lt; 140/90 mmHg</w:t>
      </w:r>
      <w:r>
        <w:rPr>
          <w:rFonts w:ascii="Inter" w:hAnsi="Inter"/>
          <w:b w:val="0"/>
          <w:i w:val="0"/>
          <w:color w:val="1F2937"/>
          <w:sz w:val="20"/>
        </w:rPr>
        <w:t xml:space="preserve">, voire </w:t>
      </w:r>
      <w:r>
        <w:rPr>
          <w:rFonts w:ascii="Inter" w:hAnsi="Inter"/>
          <w:b/>
          <w:i w:val="0"/>
          <w:color w:val="BE123C"/>
          <w:sz w:val="20"/>
        </w:rPr>
        <w:t>&lt; 130/80 mmHg</w:t>
      </w:r>
      <w:r>
        <w:rPr>
          <w:rFonts w:ascii="Inter" w:hAnsi="Inter"/>
          <w:b w:val="0"/>
          <w:i w:val="0"/>
          <w:color w:val="1F2937"/>
          <w:sz w:val="20"/>
        </w:rPr>
        <w:t xml:space="preserve"> si bien toléré.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BF6E8"/>
            <w:tcBorders>
              <w:top w:val="single" w:sz="4" w:color="C9A961" w:space="0"/>
              <w:left w:val="single" w:sz="24" w:color="C9A961" w:space="0"/>
              <w:bottom w:val="single" w:sz="4" w:color="C9A961" w:space="0"/>
              <w:right w:val="single" w:sz="4" w:color="C9A961" w:space="0"/>
            </w:tcBorders>
          </w:tcPr>
          <w:p>
            <w:r>
              <w:rPr>
                <w:rFonts w:ascii="Inter" w:hAnsi="Inter"/>
                <w:b/>
                <w:color w:val="9A7B33"/>
                <w:sz w:val="21"/>
              </w:rPr>
              <w:t>💡  Astuce mnémotechnique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5 classes — moyen mnémotechnique «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A-B-C-D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»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RA II / IEC,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êtabloquants,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alciques,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iurétiques.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40" w:after="200"/>
        <w:shd w:val="clear" w:color="auto" w:fill="E11D48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Grades de sévérité de l'HTA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Grade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PAS (mmHg)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PAD (mmHg)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1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140-159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90-99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2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160-179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100-109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3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≥ 180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≥ 110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Classes thérapeutiques de première intention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Classe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Indication préférentielle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IEC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Ramipril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Diabète, insuffisance cardiaque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ARA II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Losartan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Intolérance aux IEC (toux)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Inhibiteur calcique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Amlodipine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Sujet âgé, sujet noir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Diurétique thiazidique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Hydrochlorothiazide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Sujet âgé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Bêtabloquant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Bisoprolol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Coronaropathie associée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400"/>
        <w:jc w:val="center"/>
      </w:pPr>
      <w:r>
        <w:rPr>
          <w:rFonts w:ascii="Inter" w:hAnsi="Inter"/>
          <w:color w:val="C9A961"/>
          <w:sz w:val="19"/>
          <w:spacing w:val="60"/>
        </w:rPr>
        <w:t>L'ESSENTIEL</w:t>
      </w:r>
    </w:p>
    <w:p>
      <w:pPr>
        <w:jc w:val="center"/>
      </w:pPr>
      <w:r>
        <w:rPr>
          <w:rFonts w:ascii="Playfair Display" w:hAnsi="Playfair Display"/>
          <w:b/>
          <w:color w:val="1F2937"/>
          <w:sz w:val="52"/>
        </w:rPr>
        <w:t>À retenir absolument</w:t>
      </w:r>
    </w:p>
    <w:p>
      <w:pPr>
        <w:spacing w:after="280"/>
        <w:jc w:val="center"/>
      </w:pPr>
      <w:r>
        <w:rPr>
          <w:rFonts w:ascii="Cormorant Garamond" w:hAnsi="Cormorant Garamond"/>
          <w:i/>
          <w:color w:val="E11D48"/>
          <w:sz w:val="26"/>
        </w:rPr>
        <w:t>Hypertension Artérielle</w:t>
      </w:r>
    </w:p>
    <w:p>
      <w:pPr>
        <w:pStyle w:val="ListBullet"/>
        <w:spacing w:after="120"/>
      </w:pPr>
      <w:r>
        <w:rPr>
          <w:rFonts w:ascii="Inter" w:hAnsi="Inter"/>
          <w:b w:val="0"/>
          <w:i w:val="0"/>
          <w:color w:val="1F2937"/>
          <w:sz w:val="22"/>
        </w:rPr>
        <w:t>L'</w:t>
      </w:r>
      <w:r>
        <w:rPr>
          <w:rFonts w:ascii="Inter" w:hAnsi="Inter"/>
          <w:b/>
          <w:i w:val="0"/>
          <w:color w:val="BE123C"/>
          <w:sz w:val="22"/>
        </w:rPr>
        <w:t>HTA</w:t>
      </w:r>
      <w:r>
        <w:rPr>
          <w:rFonts w:ascii="Inter" w:hAnsi="Inter"/>
          <w:b w:val="0"/>
          <w:i w:val="0"/>
          <w:color w:val="1F2937"/>
          <w:sz w:val="22"/>
        </w:rPr>
        <w:t xml:space="preserve"> est définie par une PA </w:t>
      </w:r>
      <w:r>
        <w:rPr>
          <w:rFonts w:ascii="Inter" w:hAnsi="Inter"/>
          <w:b/>
          <w:i w:val="0"/>
          <w:color w:val="BE123C"/>
          <w:sz w:val="22"/>
        </w:rPr>
        <w:t>≥ 140/90 mmHg</w:t>
      </w:r>
      <w:r>
        <w:rPr>
          <w:rFonts w:ascii="Inter" w:hAnsi="Inter"/>
          <w:b w:val="0"/>
          <w:i w:val="0"/>
          <w:color w:val="1F2937"/>
          <w:sz w:val="22"/>
        </w:rPr>
        <w:t xml:space="preserve"> au cabinet, confirmée sur des mesures répétées.</w:t>
      </w:r>
    </w:p>
    <w:p>
      <w:pPr>
        <w:pStyle w:val="ListBullet"/>
        <w:spacing w:after="120"/>
      </w:pPr>
      <w:r>
        <w:rPr>
          <w:rFonts w:ascii="Inter" w:hAnsi="Inter"/>
          <w:b w:val="0"/>
          <w:i w:val="0"/>
          <w:color w:val="1F2937"/>
          <w:sz w:val="22"/>
        </w:rPr>
        <w:t xml:space="preserve">La </w:t>
      </w:r>
      <w:r>
        <w:rPr>
          <w:rFonts w:ascii="Inter" w:hAnsi="Inter"/>
          <w:b/>
          <w:i w:val="0"/>
          <w:color w:val="BE123C"/>
          <w:sz w:val="22"/>
        </w:rPr>
        <w:t>MAPA</w:t>
      </w:r>
      <w:r>
        <w:rPr>
          <w:rFonts w:ascii="Inter" w:hAnsi="Inter"/>
          <w:b w:val="0"/>
          <w:i w:val="0"/>
          <w:color w:val="1F2937"/>
          <w:sz w:val="22"/>
        </w:rPr>
        <w:t xml:space="preserve"> et l'</w:t>
      </w:r>
      <w:r>
        <w:rPr>
          <w:rFonts w:ascii="Inter" w:hAnsi="Inter"/>
          <w:b/>
          <w:i w:val="0"/>
          <w:color w:val="BE123C"/>
          <w:sz w:val="22"/>
        </w:rPr>
        <w:t>automesure</w:t>
      </w:r>
      <w:r>
        <w:rPr>
          <w:rFonts w:ascii="Inter" w:hAnsi="Inter"/>
          <w:b w:val="0"/>
          <w:i w:val="0"/>
          <w:color w:val="1F2937"/>
          <w:sz w:val="22"/>
        </w:rPr>
        <w:t xml:space="preserve"> confirment le diagnostic et dépistent l'HTA blouse blanche et l'HTA masquée.</w:t>
      </w:r>
    </w:p>
    <w:p>
      <w:pPr>
        <w:pStyle w:val="ListBullet"/>
        <w:spacing w:after="120"/>
      </w:pPr>
      <w:r>
        <w:rPr>
          <w:rFonts w:ascii="Inter" w:hAnsi="Inter"/>
          <w:b w:val="0"/>
          <w:i w:val="0"/>
          <w:color w:val="1F2937"/>
          <w:sz w:val="22"/>
        </w:rPr>
        <w:t xml:space="preserve">Le bilan initial recherche systématiquement une </w:t>
      </w:r>
      <w:r>
        <w:rPr>
          <w:rFonts w:ascii="Inter" w:hAnsi="Inter"/>
          <w:b/>
          <w:i w:val="0"/>
          <w:color w:val="BE123C"/>
          <w:sz w:val="22"/>
        </w:rPr>
        <w:t>atteinte des organes cibles</w:t>
      </w:r>
      <w:r>
        <w:rPr>
          <w:rFonts w:ascii="Inter" w:hAnsi="Inter"/>
          <w:b w:val="0"/>
          <w:i w:val="0"/>
          <w:color w:val="1F2937"/>
          <w:sz w:val="22"/>
        </w:rPr>
        <w:t xml:space="preserve"> et une </w:t>
      </w:r>
      <w:r>
        <w:rPr>
          <w:rFonts w:ascii="Inter" w:hAnsi="Inter"/>
          <w:b/>
          <w:i w:val="0"/>
          <w:color w:val="BE123C"/>
          <w:sz w:val="22"/>
        </w:rPr>
        <w:t>HTA secondaire</w:t>
      </w:r>
      <w:r>
        <w:rPr>
          <w:rFonts w:ascii="Inter" w:hAnsi="Inter"/>
          <w:b w:val="0"/>
          <w:i w:val="0"/>
          <w:color w:val="1F2937"/>
          <w:sz w:val="22"/>
        </w:rPr>
        <w:t>.</w:t>
      </w:r>
    </w:p>
    <w:p>
      <w:pPr>
        <w:pStyle w:val="ListBullet"/>
        <w:spacing w:after="120"/>
      </w:pPr>
      <w:r>
        <w:rPr>
          <w:rFonts w:ascii="Inter" w:hAnsi="Inter"/>
          <w:b w:val="0"/>
          <w:i w:val="0"/>
          <w:color w:val="1F2937"/>
          <w:sz w:val="22"/>
        </w:rPr>
        <w:t xml:space="preserve">Les </w:t>
      </w:r>
      <w:r>
        <w:rPr>
          <w:rFonts w:ascii="Inter" w:hAnsi="Inter"/>
          <w:b/>
          <w:i w:val="0"/>
          <w:color w:val="BE123C"/>
          <w:sz w:val="22"/>
        </w:rPr>
        <w:t>règles hygiéno-diététiques</w:t>
      </w:r>
      <w:r>
        <w:rPr>
          <w:rFonts w:ascii="Inter" w:hAnsi="Inter"/>
          <w:b w:val="0"/>
          <w:i w:val="0"/>
          <w:color w:val="1F2937"/>
          <w:sz w:val="22"/>
        </w:rPr>
        <w:t xml:space="preserve"> sont la base du traitement, toujours associées aux médicaments.</w:t>
      </w:r>
    </w:p>
    <w:p>
      <w:pPr>
        <w:pStyle w:val="ListBullet"/>
        <w:spacing w:after="120"/>
      </w:pPr>
      <w:r>
        <w:rPr>
          <w:rFonts w:ascii="Inter" w:hAnsi="Inter"/>
          <w:b w:val="0"/>
          <w:i w:val="0"/>
          <w:color w:val="1F2937"/>
          <w:sz w:val="22"/>
        </w:rPr>
        <w:t xml:space="preserve">Cinq classes de première intention ; la </w:t>
      </w:r>
      <w:r>
        <w:rPr>
          <w:rFonts w:ascii="Inter" w:hAnsi="Inter"/>
          <w:b/>
          <w:i w:val="0"/>
          <w:color w:val="BE123C"/>
          <w:sz w:val="22"/>
        </w:rPr>
        <w:t>bithérapie</w:t>
      </w:r>
      <w:r>
        <w:rPr>
          <w:rFonts w:ascii="Inter" w:hAnsi="Inter"/>
          <w:b w:val="0"/>
          <w:i w:val="0"/>
          <w:color w:val="1F2937"/>
          <w:sz w:val="22"/>
        </w:rPr>
        <w:t xml:space="preserve"> est souvent instaurée d'emblée.</w:t>
      </w:r>
    </w:p>
    <w:p>
      <w:pPr>
        <w:pStyle w:val="ListBullet"/>
        <w:spacing w:after="120"/>
      </w:pPr>
      <w:r>
        <w:rPr>
          <w:rFonts w:ascii="Inter" w:hAnsi="Inter"/>
          <w:b w:val="0"/>
          <w:i w:val="0"/>
          <w:color w:val="1F2937"/>
          <w:sz w:val="22"/>
        </w:rPr>
        <w:t xml:space="preserve">L'objectif tensionnel est </w:t>
      </w:r>
      <w:r>
        <w:rPr>
          <w:rFonts w:ascii="Inter" w:hAnsi="Inter"/>
          <w:b/>
          <w:i w:val="0"/>
          <w:color w:val="BE123C"/>
          <w:sz w:val="22"/>
        </w:rPr>
        <w:t>&lt; 140/90 mmHg</w:t>
      </w:r>
      <w:r>
        <w:rPr>
          <w:rFonts w:ascii="Inter" w:hAnsi="Inter"/>
          <w:b w:val="0"/>
          <w:i w:val="0"/>
          <w:color w:val="1F2937"/>
          <w:sz w:val="22"/>
        </w:rPr>
        <w:t xml:space="preserve">, idéalement </w:t>
      </w:r>
      <w:r>
        <w:rPr>
          <w:rFonts w:ascii="Inter" w:hAnsi="Inter"/>
          <w:b/>
          <w:i w:val="0"/>
          <w:color w:val="BE123C"/>
          <w:sz w:val="22"/>
        </w:rPr>
        <w:t>&lt; 130/80 mmHg</w:t>
      </w:r>
      <w:r>
        <w:rPr>
          <w:rFonts w:ascii="Inter" w:hAnsi="Inter"/>
          <w:b w:val="0"/>
          <w:i w:val="0"/>
          <w:color w:val="1F2937"/>
          <w:sz w:val="22"/>
        </w:rPr>
        <w:t xml:space="preserve"> si la tolérance le permet.</w:t>
      </w:r>
    </w:p>
    <w:p>
      <w:pPr>
        <w:spacing w:before="400"/>
        <w:jc w:val="center"/>
      </w:pPr>
      <w:r>
        <w:drawing>
          <wp:inline xmlns:a="http://schemas.openxmlformats.org/drawingml/2006/main" xmlns:pic="http://schemas.openxmlformats.org/drawingml/2006/picture">
            <wp:extent cx="864000" cy="4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9CA3AF"/>
          <w:sz w:val="17"/>
          <w:spacing w:val="36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nter" w:hAnsi="Inter"/>
        <w:color w:val="9CA3AF"/>
        <w:sz w:val="16"/>
        <w:spacing w:val="24"/>
      </w:rPr>
      <w:t>MAJOR ECN  ·  2025-2026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pBdr>
        <w:bottom w:val="single" w:sz="6" w:space="4" w:color="E11D48"/>
      </w:pBdr>
    </w:pPr>
    <w:r/>
    <w:r>
      <w:rPr>
        <w:rFonts w:ascii="Inter" w:hAnsi="Inter"/>
        <w:color w:val="9CA3AF"/>
        <w:sz w:val="16"/>
      </w:rPr>
      <w:fldChar w:fldCharType="begin"/>
      <w:instrText xml:space="preserve">PAGE</w:instrText>
      <w:fldChar w:fldCharType="end"/>
    </w:r>
    <w:r>
      <w:rPr>
        <w:rFonts w:ascii="Inter" w:hAnsi="Inter"/>
        <w:i/>
        <w:color w:val="9CA3AF"/>
        <w:sz w:val="16"/>
      </w:rPr>
      <w:tab/>
      <w:t>Hypertension Artérielle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