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14173" w:hRule="atLeast"/>
        </w:trPr>
        <w:tc>
          <w:tcPr>
            <w:tcW w:type="dxa" w:w="1361"/>
            <w:shd w:val="clear" w:color="auto" w:fill="E11D48"/>
          </w:tcPr>
          <w:p/>
        </w:tc>
        <w:tc>
          <w:tcPr>
            <w:tcW w:type="dxa" w:w="8504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ajor_ec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28"/>
              </w:rPr>
            </w:r>
          </w:p>
          <w:p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C9A961"/>
                <w:spacing w:val="80"/>
                <w:sz w:val="26"/>
              </w:rPr>
              <w:t>CARDIOLOGIE</w:t>
            </w:r>
          </w:p>
          <w:p>
            <w:pPr>
              <w:jc w:val="center"/>
            </w:pPr>
            <w:r>
              <w:rPr>
                <w:rFonts w:ascii="Cormorant Garamond" w:hAnsi="Cormorant Garamond"/>
                <w:color w:val="C9A961"/>
                <w:sz w:val="24"/>
              </w:rPr>
              <w:t>— · —</w:t>
            </w:r>
          </w:p>
          <w:p>
            <w:pPr>
              <w:jc w:val="center"/>
            </w:pPr>
            <w:r>
              <w:rPr>
                <w:rFonts w:ascii="Playfair Display" w:hAnsi="Playfair Display"/>
                <w:b/>
                <w:color w:val="1F2937"/>
                <w:sz w:val="68"/>
              </w:rPr>
              <w:t>Hypertension Artérielle</w:t>
            </w:r>
          </w:p>
          <w:p>
            <w:pPr>
              <w:jc w:val="center"/>
            </w:pPr>
            <w:r>
              <w:rPr>
                <w:rFonts w:ascii="Cormorant Garamond" w:hAnsi="Cormorant Garamond"/>
                <w:color w:val="C9A961"/>
                <w:sz w:val="24"/>
              </w:rPr>
              <w:t>— · —</w:t>
            </w:r>
          </w:p>
          <w:p>
            <w:pPr>
              <w:jc w:val="center"/>
            </w:pPr>
            <w:r>
              <w:rPr>
                <w:rFonts w:ascii="Cormorant Garamond" w:hAnsi="Cormorant Garamond"/>
                <w:i/>
                <w:color w:val="1F2937"/>
                <w:sz w:val="32"/>
              </w:rPr>
              <w:t>Année 2025-2026</w:t>
            </w:r>
          </w:p>
          <w:p>
            <w:pPr>
              <w:jc w:val="center"/>
            </w:pPr>
            <w:r>
              <w:rPr>
                <w:rFonts w:ascii="Inter" w:hAnsi="Inter"/>
                <w:color w:val="9CA3AF"/>
                <w:spacing w:val="40"/>
                <w:sz w:val="18"/>
              </w:rPr>
              <w:t>ITEM 224</w:t>
            </w:r>
          </w:p>
          <w:p>
            <w:r>
              <w:rPr>
                <w:sz w:val="28"/>
              </w:rPr>
            </w:r>
          </w:p>
          <w:p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rFonts w:ascii="Cormorant Garamond" w:hAnsi="Cormorant Garamond"/>
                <w:i/>
                <w:color w:val="E11D48"/>
                <w:sz w:val="24"/>
              </w:rPr>
              <w:t>Item 224</w:t>
            </w:r>
          </w:p>
          <w:p>
            <w:r>
              <w:rPr>
                <w:sz w:val="28"/>
              </w:rPr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C9A961"/>
                <w:spacing w:val="44"/>
                <w:sz w:val="18"/>
              </w:rPr>
              <w:t>LÉGENDE</w:t>
            </w:r>
          </w:p>
          <w:p>
            <w:pPr>
              <w:spacing w:after="40"/>
              <w:jc w:val="center"/>
            </w:pPr>
            <w:r>
              <w:rPr>
                <w:b/>
                <w:color w:val="C9A961"/>
                <w:sz w:val="22"/>
              </w:rPr>
              <w:t xml:space="preserve">★  </w:t>
            </w:r>
            <w:r>
              <w:rPr>
                <w:rFonts w:ascii="Inter" w:hAnsi="Inter"/>
                <w:color w:val="1F2937"/>
                <w:sz w:val="18"/>
              </w:rPr>
              <w:t>Déjà tombé aux ECN</w:t>
            </w:r>
          </w:p>
          <w:p>
            <w:pPr>
              <w:spacing w:after="40"/>
              <w:jc w:val="center"/>
            </w:pPr>
            <w:r>
              <w:rPr>
                <w:b/>
                <w:color w:val="E11D48"/>
                <w:sz w:val="22"/>
              </w:rPr>
              <w:t xml:space="preserve">◆  </w:t>
            </w:r>
            <w:r>
              <w:rPr>
                <w:rFonts w:ascii="Inter" w:hAnsi="Inter"/>
                <w:color w:val="1F2937"/>
                <w:sz w:val="18"/>
              </w:rPr>
              <w:t>Notion à haut rendement</w:t>
            </w:r>
          </w:p>
          <w:p>
            <w:pPr>
              <w:spacing w:after="40"/>
              <w:jc w:val="center"/>
            </w:pPr>
            <w:r>
              <w:rPr>
                <w:b/>
                <w:color w:val="B91C1C"/>
                <w:sz w:val="22"/>
              </w:rPr>
              <w:t xml:space="preserve">⚠  </w:t>
            </w:r>
            <w:r>
              <w:rPr>
                <w:rFonts w:ascii="Inter" w:hAnsi="Inter"/>
                <w:color w:val="1F2937"/>
                <w:sz w:val="18"/>
              </w:rPr>
              <w:t>Piège classique</w:t>
            </w:r>
          </w:p>
        </w:tc>
      </w:tr>
    </w:tbl>
    <w:p>
      <w:r>
        <w:br w:type="page"/>
      </w:r>
    </w:p>
    <w:p>
      <w:pPr>
        <w:pBdr>
          <w:top w:val="single" w:sz="12" w:space="6" w:color="E11D48"/>
          <w:bottom w:val="single" w:sz="12" w:space="6" w:color="E11D48"/>
        </w:pBdr>
        <w:spacing w:before="80"/>
        <w:jc w:val="center"/>
      </w:pPr>
      <w:r>
        <w:rPr>
          <w:rFonts w:ascii="Playfair Display" w:hAnsi="Playfair Display"/>
          <w:b/>
          <w:color w:val="1F2937"/>
          <w:sz w:val="46"/>
        </w:rPr>
        <w:t>Fiche signalétique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FAF7F2"/>
          </w:tcPr>
          <w:p>
            <w:pPr>
              <w:jc w:val="center"/>
            </w:pPr>
            <w:r>
              <w:rPr>
                <w:rFonts w:ascii="Inter" w:hAnsi="Inter"/>
                <w:b/>
                <w:color w:val="9CA3AF"/>
                <w:sz w:val="15"/>
              </w:rPr>
              <w:t>ITEM ECN</w:t>
            </w:r>
          </w:p>
        </w:tc>
        <w:tc>
          <w:tcPr>
            <w:tcW w:type="dxa" w:w="2466"/>
            <w:shd w:val="clear" w:color="auto" w:fill="FAF7F2"/>
          </w:tcPr>
          <w:p>
            <w:pPr>
              <w:jc w:val="center"/>
            </w:pPr>
            <w:r>
              <w:rPr>
                <w:rFonts w:ascii="Inter" w:hAnsi="Inter"/>
                <w:b/>
                <w:color w:val="9CA3AF"/>
                <w:sz w:val="15"/>
              </w:rPr>
              <w:t>MATIÈRE</w:t>
            </w:r>
          </w:p>
        </w:tc>
        <w:tc>
          <w:tcPr>
            <w:tcW w:type="dxa" w:w="2466"/>
            <w:shd w:val="clear" w:color="auto" w:fill="FAF7F2"/>
          </w:tcPr>
          <w:p>
            <w:pPr>
              <w:jc w:val="center"/>
            </w:pPr>
            <w:r>
              <w:rPr>
                <w:rFonts w:ascii="Inter" w:hAnsi="Inter"/>
                <w:b/>
                <w:color w:val="9CA3AF"/>
                <w:sz w:val="15"/>
              </w:rPr>
              <w:t>LECTURE ESTIMÉE</w:t>
            </w:r>
          </w:p>
        </w:tc>
        <w:tc>
          <w:tcPr>
            <w:tcW w:type="dxa" w:w="2466"/>
            <w:shd w:val="clear" w:color="auto" w:fill="FAF7F2"/>
          </w:tcPr>
          <w:p>
            <w:pPr>
              <w:jc w:val="center"/>
            </w:pPr>
            <w:r>
              <w:rPr>
                <w:rFonts w:ascii="Inter" w:hAnsi="Inter"/>
                <w:b/>
                <w:color w:val="9CA3AF"/>
                <w:sz w:val="15"/>
              </w:rPr>
              <w:t>ANNÉE</w:t>
            </w:r>
          </w:p>
        </w:tc>
      </w:tr>
      <w:tr>
        <w:tc>
          <w:tcPr>
            <w:tcW w:type="dxa" w:w="2466"/>
            <w:shd w:val="clear" w:color="auto" w:fill="FAF7F2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color w:val="E11D48"/>
                <w:sz w:val="24"/>
              </w:rPr>
              <w:t>Item 224</w:t>
            </w:r>
          </w:p>
        </w:tc>
        <w:tc>
          <w:tcPr>
            <w:tcW w:type="dxa" w:w="2466"/>
            <w:shd w:val="clear" w:color="auto" w:fill="FAF7F2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color w:val="E11D48"/>
                <w:sz w:val="24"/>
              </w:rPr>
              <w:t>Cardiologie</w:t>
            </w:r>
          </w:p>
        </w:tc>
        <w:tc>
          <w:tcPr>
            <w:tcW w:type="dxa" w:w="2466"/>
            <w:shd w:val="clear" w:color="auto" w:fill="FAF7F2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color w:val="E11D48"/>
                <w:sz w:val="24"/>
              </w:rPr>
              <w:t>≈ 12 min</w:t>
            </w:r>
          </w:p>
        </w:tc>
        <w:tc>
          <w:tcPr>
            <w:tcW w:type="dxa" w:w="2466"/>
            <w:shd w:val="clear" w:color="auto" w:fill="FAF7F2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color w:val="E11D48"/>
                <w:sz w:val="24"/>
              </w:rPr>
              <w:t>2025-2026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space="0" w:color="C9A961"/>
              <w:left w:val="single" w:sz="22" w:space="0" w:color="C9A961"/>
              <w:bottom w:val="single" w:sz="4" w:space="0" w:color="C9A961"/>
              <w:right w:val="single" w:sz="4" w:space="0" w:color="C9A961"/>
            </w:tcBorders>
            <w:shd w:val="clear" w:color="auto" w:fill="FFFBF4"/>
          </w:tcPr>
          <w:p>
            <w:pPr>
              <w:spacing w:before="80"/>
            </w:pPr>
            <w:r>
              <w:rPr>
                <w:rFonts w:ascii="Inter" w:hAnsi="Inter"/>
                <w:b/>
                <w:color w:val="9A7B33"/>
                <w:spacing w:val="28"/>
                <w:sz w:val="16"/>
              </w:rPr>
              <w:t>VIGNETTE CLINIQUE</w:t>
            </w:r>
          </w:p>
          <w:p>
            <w:pPr>
              <w:spacing w:after="80"/>
            </w:pPr>
            <w:r>
              <w:rPr>
                <w:rFonts w:ascii="Cormorant Garamond" w:hAnsi="Cormorant Garamond"/>
                <w:i/>
                <w:color w:val="1F2937"/>
                <w:sz w:val="23"/>
              </w:rPr>
              <w:t>Un homme de 58 ans, sans antécédent, consulte pour un bilan systématique. La pression artérielle mesurée est de 158/96 mmHg, confirmée à deux reprises. Il est asymptomatique. Comment confirmer le diagnostic, évaluer le retentissement et instaurer la prise en charge ?</w:t>
            </w:r>
          </w:p>
        </w:tc>
      </w:tr>
    </w:tbl>
    <w:p>
      <w:pPr>
        <w:pBdr>
          <w:bottom w:val="single" w:sz="4" w:space="4" w:color="C9A961"/>
        </w:pBdr>
        <w:spacing w:before="180" w:after="40"/>
      </w:pPr>
      <w:r>
        <w:rPr>
          <w:rFonts w:ascii="Cormorant Garamond" w:hAnsi="Cormorant Garamond"/>
          <w:b/>
          <w:color w:val="E11D48"/>
          <w:sz w:val="26"/>
        </w:rPr>
        <w:t>Objectifs d'apprentissage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937"/>
          <w:sz w:val="21"/>
        </w:rPr>
        <w:t>Définir l'HTA et connaître ses seuils diagnostiques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937"/>
          <w:sz w:val="21"/>
        </w:rPr>
        <w:t>Conduire le bilan initial et rechercher le retentissement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937"/>
          <w:sz w:val="21"/>
        </w:rPr>
        <w:t>Hiérarchiser la prise en charge thérapeutique</w:t>
      </w:r>
    </w:p>
    <w:p>
      <w:pPr>
        <w:pBdr>
          <w:bottom w:val="single" w:sz="4" w:space="4" w:color="C9A961"/>
        </w:pBdr>
        <w:spacing w:before="180" w:after="40"/>
      </w:pPr>
      <w:r>
        <w:rPr>
          <w:rFonts w:ascii="Cormorant Garamond" w:hAnsi="Cormorant Garamond"/>
          <w:b/>
          <w:color w:val="E11D48"/>
          <w:sz w:val="26"/>
        </w:rPr>
        <w:t>Prérequis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937"/>
          <w:sz w:val="21"/>
        </w:rPr>
        <w:t>Régulation de la pression artérielle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937"/>
          <w:sz w:val="21"/>
        </w:rPr>
        <w:t>Système rénine-angiotensine-aldostérone</w:t>
      </w:r>
    </w:p>
    <w:p>
      <w:pPr>
        <w:pBdr>
          <w:bottom w:val="single" w:sz="4" w:space="4" w:color="C9A961"/>
        </w:pBdr>
        <w:spacing w:before="180" w:after="40"/>
      </w:pPr>
      <w:r>
        <w:rPr>
          <w:rFonts w:ascii="Cormorant Garamond" w:hAnsi="Cormorant Garamond"/>
          <w:b/>
          <w:color w:val="E11D48"/>
          <w:sz w:val="26"/>
        </w:rPr>
        <w:t>Items &amp; cours liés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937"/>
          <w:sz w:val="21"/>
        </w:rPr>
        <w:t>Item 222 — Facteurs de risque cardiovasculaire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937"/>
          <w:sz w:val="21"/>
        </w:rPr>
        <w:t>Item 232 — Insuffisance cardiaque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937"/>
          <w:sz w:val="21"/>
        </w:rPr>
        <w:t>Item 264 — Néphropathie vasculaire</w:t>
      </w:r>
    </w:p>
    <w:p>
      <w:pPr>
        <w:pBdr>
          <w:bottom w:val="single" w:sz="4" w:space="4" w:color="C9A961"/>
        </w:pBdr>
        <w:spacing w:before="180" w:after="40"/>
      </w:pPr>
      <w:r>
        <w:rPr>
          <w:rFonts w:ascii="Cormorant Garamond" w:hAnsi="Cormorant Garamond"/>
          <w:b/>
          <w:color w:val="E11D48"/>
          <w:sz w:val="26"/>
        </w:rPr>
        <w:t>Mots-clés</w:t>
      </w:r>
    </w:p>
    <w:p>
      <w:r>
        <w:rPr>
          <w:rFonts w:ascii="Inter" w:hAnsi="Inter"/>
          <w:color w:val="1F2937"/>
          <w:sz w:val="20"/>
        </w:rPr>
        <w:t>HTA   ·   PAS / PAD   ·   MAPA   ·   Automesure   ·   Organes cibles   ·   IEC   ·   ARA II   ·   Bithérapie   ·   HTA secondaire</w:t>
      </w:r>
    </w:p>
    <w:p>
      <w:r>
        <w:br w:type="page"/>
      </w:r>
    </w:p>
    <w:p>
      <w:pPr>
        <w:pBdr>
          <w:top w:val="single" w:sz="12" w:space="6" w:color="E11D48"/>
          <w:bottom w:val="single" w:sz="12" w:space="6" w:color="E11D48"/>
        </w:pBdr>
        <w:spacing w:before="80"/>
        <w:jc w:val="center"/>
      </w:pPr>
      <w:r>
        <w:rPr>
          <w:rFonts w:ascii="Playfair Display" w:hAnsi="Playfair Display"/>
          <w:b/>
          <w:color w:val="1F2937"/>
          <w:sz w:val="46"/>
        </w:rPr>
        <w:t>Plan du cours</w:t>
      </w:r>
    </w:p>
    <w:p>
      <w:pPr>
        <w:spacing w:after="240"/>
        <w:jc w:val="center"/>
      </w:pPr>
      <w:r>
        <w:rPr>
          <w:rFonts w:ascii="Cormorant Garamond" w:hAnsi="Cormorant Garamond"/>
          <w:i/>
          <w:color w:val="C9A961"/>
          <w:sz w:val="24"/>
        </w:rPr>
        <w:t>Cardiologie  ·  Hypertension Artérielle</w:t>
      </w:r>
    </w:p>
    <w:p>
      <w:pPr>
        <w:spacing w:before="160"/>
      </w:pPr>
      <w:r>
        <w:rPr>
          <w:rFonts w:ascii="Playfair Display" w:hAnsi="Playfair Display"/>
          <w:b/>
          <w:color w:val="E11D48"/>
          <w:sz w:val="28"/>
        </w:rPr>
        <w:t xml:space="preserve">I.  </w:t>
      </w:r>
      <w:r>
        <w:rPr>
          <w:rFonts w:ascii="Cormorant Garamond" w:hAnsi="Cormorant Garamond"/>
          <w:b/>
          <w:color w:val="1F2937"/>
          <w:sz w:val="27"/>
        </w:rPr>
        <w:t>Définition et épidémiologie</w:t>
      </w:r>
    </w:p>
    <w:p>
      <w:pPr>
        <w:ind w:left="454"/>
      </w:pPr>
      <w:r>
        <w:rPr>
          <w:rFonts w:ascii="Cormorant Garamond" w:hAnsi="Cormorant Garamond"/>
          <w:i/>
          <w:color w:val="9CA3AF"/>
          <w:sz w:val="21"/>
        </w:rPr>
        <w:t>Cadre nosologique et poids de santé publique.</w:t>
      </w:r>
    </w:p>
    <w:p>
      <w:pPr>
        <w:ind w:left="567"/>
      </w:pPr>
      <w:r>
        <w:rPr>
          <w:b/>
          <w:color w:val="C9A961"/>
          <w:sz w:val="21"/>
        </w:rPr>
        <w:t xml:space="preserve">A.  </w:t>
      </w:r>
      <w:r>
        <w:rPr>
          <w:b/>
          <w:sz w:val="21"/>
        </w:rPr>
        <w:t>Définitions et seuils</w:t>
      </w:r>
      <w:r>
        <w:rPr>
          <w:rFonts w:ascii="Cormorant Garamond" w:hAnsi="Cormorant Garamond"/>
          <w:i/>
          <w:color w:val="9CA3AF"/>
          <w:sz w:val="20"/>
        </w:rPr>
        <w:t xml:space="preserve"> — Seuils et grades.</w:t>
      </w:r>
    </w:p>
    <w:p>
      <w:pPr>
        <w:ind w:left="567"/>
      </w:pPr>
      <w:r>
        <w:rPr>
          <w:b/>
          <w:color w:val="C9A961"/>
          <w:sz w:val="21"/>
        </w:rPr>
        <w:t xml:space="preserve">B.  </w:t>
      </w:r>
      <w:r>
        <w:rPr>
          <w:b/>
          <w:sz w:val="21"/>
        </w:rPr>
        <w:t>Épidémiologie</w:t>
      </w:r>
      <w:r>
        <w:rPr>
          <w:rFonts w:ascii="Cormorant Garamond" w:hAnsi="Cormorant Garamond"/>
          <w:i/>
          <w:color w:val="9CA3AF"/>
          <w:sz w:val="20"/>
        </w:rPr>
        <w:t xml:space="preserve"> — Prévalence et FdR.</w:t>
      </w:r>
    </w:p>
    <w:p>
      <w:pPr>
        <w:spacing w:before="160"/>
      </w:pPr>
      <w:r>
        <w:rPr>
          <w:rFonts w:ascii="Playfair Display" w:hAnsi="Playfair Display"/>
          <w:b/>
          <w:color w:val="E11D48"/>
          <w:sz w:val="28"/>
        </w:rPr>
        <w:t xml:space="preserve">II.  </w:t>
      </w:r>
      <w:r>
        <w:rPr>
          <w:rFonts w:ascii="Cormorant Garamond" w:hAnsi="Cormorant Garamond"/>
          <w:b/>
          <w:color w:val="1F2937"/>
          <w:sz w:val="27"/>
        </w:rPr>
        <w:t>Diagnostic et bilan initial</w:t>
      </w:r>
    </w:p>
    <w:p>
      <w:pPr>
        <w:ind w:left="454"/>
      </w:pPr>
      <w:r>
        <w:rPr>
          <w:rFonts w:ascii="Cormorant Garamond" w:hAnsi="Cormorant Garamond"/>
          <w:i/>
          <w:color w:val="9CA3AF"/>
          <w:sz w:val="21"/>
        </w:rPr>
        <w:t>Confirmation et recherche du retentissement.</w:t>
      </w:r>
    </w:p>
    <w:p>
      <w:pPr>
        <w:ind w:left="567"/>
      </w:pPr>
      <w:r>
        <w:rPr>
          <w:b/>
          <w:color w:val="C9A961"/>
          <w:sz w:val="21"/>
        </w:rPr>
        <w:t xml:space="preserve">A.  </w:t>
      </w:r>
      <w:r>
        <w:rPr>
          <w:b/>
          <w:sz w:val="21"/>
        </w:rPr>
        <w:t>Mesure de la PA</w:t>
      </w:r>
      <w:r>
        <w:rPr>
          <w:rFonts w:ascii="Cormorant Garamond" w:hAnsi="Cormorant Garamond"/>
          <w:i/>
          <w:color w:val="9CA3AF"/>
          <w:sz w:val="20"/>
        </w:rPr>
        <w:t xml:space="preserve"> — Conditions et MAPA.</w:t>
      </w:r>
    </w:p>
    <w:p>
      <w:pPr>
        <w:ind w:left="567"/>
      </w:pPr>
      <w:r>
        <w:rPr>
          <w:b/>
          <w:color w:val="C9A961"/>
          <w:sz w:val="21"/>
        </w:rPr>
        <w:t xml:space="preserve">B.  </w:t>
      </w:r>
      <w:r>
        <w:rPr>
          <w:b/>
          <w:sz w:val="21"/>
        </w:rPr>
        <w:t>Bilan de retentissement</w:t>
      </w:r>
      <w:r>
        <w:rPr>
          <w:rFonts w:ascii="Cormorant Garamond" w:hAnsi="Cormorant Garamond"/>
          <w:i/>
          <w:color w:val="9CA3AF"/>
          <w:sz w:val="20"/>
        </w:rPr>
        <w:t xml:space="preserve"> — Organes cibles.</w:t>
      </w:r>
    </w:p>
    <w:p>
      <w:pPr>
        <w:spacing w:before="160"/>
      </w:pPr>
      <w:r>
        <w:rPr>
          <w:rFonts w:ascii="Playfair Display" w:hAnsi="Playfair Display"/>
          <w:b/>
          <w:color w:val="E11D48"/>
          <w:sz w:val="28"/>
        </w:rPr>
        <w:t xml:space="preserve">III.  </w:t>
      </w:r>
      <w:r>
        <w:rPr>
          <w:rFonts w:ascii="Cormorant Garamond" w:hAnsi="Cormorant Garamond"/>
          <w:b/>
          <w:color w:val="1F2937"/>
          <w:sz w:val="27"/>
        </w:rPr>
        <w:t>Prise en charge thérapeutique</w:t>
      </w:r>
    </w:p>
    <w:p>
      <w:pPr>
        <w:ind w:left="454"/>
      </w:pPr>
      <w:r>
        <w:rPr>
          <w:rFonts w:ascii="Cormorant Garamond" w:hAnsi="Cormorant Garamond"/>
          <w:i/>
          <w:color w:val="9CA3AF"/>
          <w:sz w:val="21"/>
        </w:rPr>
        <w:t>Mesures hygiéno-diététiques et médicaments.</w:t>
      </w:r>
    </w:p>
    <w:p>
      <w:pPr>
        <w:ind w:left="567"/>
      </w:pPr>
      <w:r>
        <w:rPr>
          <w:b/>
          <w:color w:val="C9A961"/>
          <w:sz w:val="21"/>
        </w:rPr>
        <w:t xml:space="preserve">A.  </w:t>
      </w:r>
      <w:r>
        <w:rPr>
          <w:b/>
          <w:sz w:val="21"/>
        </w:rPr>
        <w:t>Mesures non médicamenteuses</w:t>
      </w:r>
      <w:r>
        <w:rPr>
          <w:rFonts w:ascii="Cormorant Garamond" w:hAnsi="Cormorant Garamond"/>
          <w:i/>
          <w:color w:val="9CA3AF"/>
          <w:sz w:val="20"/>
        </w:rPr>
        <w:t xml:space="preserve"> — RHD.</w:t>
      </w:r>
    </w:p>
    <w:p>
      <w:pPr>
        <w:ind w:left="567"/>
      </w:pPr>
      <w:r>
        <w:rPr>
          <w:b/>
          <w:color w:val="C9A961"/>
          <w:sz w:val="21"/>
        </w:rPr>
        <w:t xml:space="preserve">B.  </w:t>
      </w:r>
      <w:r>
        <w:rPr>
          <w:b/>
          <w:sz w:val="21"/>
        </w:rPr>
        <w:t>Traitement médicamenteux</w:t>
      </w:r>
      <w:r>
        <w:rPr>
          <w:rFonts w:ascii="Cormorant Garamond" w:hAnsi="Cormorant Garamond"/>
          <w:i/>
          <w:color w:val="9CA3AF"/>
          <w:sz w:val="20"/>
        </w:rPr>
        <w:t xml:space="preserve"> — Classes.</w:t>
      </w:r>
    </w:p>
    <w:p>
      <w:r>
        <w:br w:type="page"/>
      </w:r>
    </w:p>
    <w:p>
      <w:pPr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I.  Définition et épidémiologie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A.  Définitions et seuils</w:t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64748B"/>
                <w:spacing w:val="18"/>
                <w:sz w:val="14"/>
              </w:rPr>
              <w:t>GÉNÉRALITÉS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Définition de l'HTA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HTA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PAS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≥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140 mmHg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et/ou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PAD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≥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90 mmHg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au cabinet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diagnostic confirmé sur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deux consultations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automesure : seuil abaissé à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≥ 135/85 mmHg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Grades de sévérité</w:t>
            </w:r>
          </w:p>
        </w:tc>
        <w:tc>
          <w:tcPr>
            <w:tcW w:type="dxa" w:w="7201"/>
            <w:vAlign w:val="top"/>
          </w:tcPr>
          <w:tbl>
            <w:tblPr>
              <w:tblW w:type="auto" w:w="0"/>
              <w:jc w:val="center"/>
              <w:tblBorders>
                <w:top w:val="single" w:sz="4" w:space="0" w:color="9CA3AF"/>
                <w:left w:val="single" w:sz="4" w:space="0" w:color="9CA3AF"/>
                <w:bottom w:val="single" w:sz="4" w:space="0" w:color="9CA3AF"/>
                <w:right w:val="single" w:sz="4" w:space="0" w:color="9CA3AF"/>
                <w:insideH w:val="single" w:sz="4" w:space="0" w:color="9CA3AF"/>
                <w:insideV w:val="single" w:sz="4" w:space="0" w:color="9CA3AF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Grade</w:t>
                  </w:r>
                </w:p>
              </w:tc>
              <w:tc>
                <w:tcPr>
                  <w:tcW w:type="dxa" w:w="24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PAS (mmHg)</w:t>
                  </w:r>
                </w:p>
              </w:tc>
              <w:tc>
                <w:tcPr>
                  <w:tcW w:type="dxa" w:w="24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PAD (mmHg)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Grade 1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140-159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90-99</w:t>
                  </w:r>
                </w:p>
              </w:tc>
            </w:tr>
            <w:tr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Grade 2</w:t>
                  </w:r>
                </w:p>
              </w:tc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160-179</w:t>
                  </w:r>
                </w:p>
              </w:tc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100-109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Grade 3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≥ 180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≥ 110</w:t>
                  </w:r>
                </w:p>
              </w:tc>
            </w:tr>
          </w:tbl>
          <w:p/>
          <w:p>
            <w:pPr>
              <w:spacing w:after="80"/>
            </w:pPr>
          </w:p>
        </w:tc>
      </w:tr>
      <w:tr>
        <w:tc>
          <w:tcPr>
            <w:tcW w:type="dxa" w:w="9865"/>
            <w:gridSpan w:val="2"/>
            <w:tcBorders>
              <w:top w:val="single" w:sz="4" w:space="0" w:color="B91C1C"/>
              <w:left w:val="single" w:sz="22" w:space="0" w:color="B91C1C"/>
              <w:bottom w:val="single" w:sz="4" w:space="0" w:color="B91C1C"/>
              <w:right w:val="single" w:sz="4" w:space="0" w:color="B91C1C"/>
            </w:tcBorders>
            <w:shd w:val="clear" w:color="auto" w:fill="FDEDEC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B91C1C"/>
                <w:spacing w:val="14"/>
                <w:sz w:val="16"/>
              </w:rPr>
              <w:t>PIÈGE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Ne pas confondre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HTA blouse blanche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(PA élevée au cabinet uniquement) et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HTA masquée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(PA normale au cabinet, élevée en ambulatoire) : le pronostic diffère.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B.  Épidémiologie</w:t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64748B"/>
                <w:spacing w:val="18"/>
                <w:sz w:val="14"/>
              </w:rPr>
              <w:t>GÉNÉRALITÉS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Prévalence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environ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30 %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la population adulte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augmente avec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âge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premier motif de consultation en médecine générale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Facteurs de risque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Non modifiables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âge, sexe masculin, hérédité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Modifiables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surpoids, sédentarité,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sel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alcool, tabac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E11D48"/>
              <w:left w:val="single" w:sz="22" w:space="0" w:color="E11D48"/>
              <w:bottom w:val="single" w:sz="4" w:space="0" w:color="E11D48"/>
              <w:right w:val="single" w:sz="4" w:space="0" w:color="E11D48"/>
            </w:tcBorders>
            <w:shd w:val="clear" w:color="auto" w:fill="FAF7F2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E11D48"/>
                <w:spacing w:val="14"/>
                <w:sz w:val="16"/>
              </w:rPr>
              <w:t>À RETENIR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L'HTA est un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facteur de risque cardiovasculaire majeur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AVC, insuffisance cardiaque, coronaropathie, néphropathie.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II.  Diagnostic et bilan initial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A.  Mesure de la pression artérielle</w:t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1D4ED8"/>
                <w:spacing w:val="18"/>
                <w:sz w:val="14"/>
              </w:rPr>
              <w:t>DIAGNOSTIC &amp; EXAMENS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Conditions de mesure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patient au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repos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depuis 5 minutes, assis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brassard adapté à la circonférence du bras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mesure aux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deux bras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lors du bilan initial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MAPA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mesure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ambulatoire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de la PA sur 24 h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examen de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référence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pour confirmer le diagnostic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dépiste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HTA masquée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9A7B33"/>
              <w:left w:val="single" w:sz="22" w:space="0" w:color="9A7B33"/>
              <w:bottom w:val="single" w:sz="4" w:space="0" w:color="9A7B33"/>
              <w:right w:val="single" w:sz="4" w:space="0" w:color="9A7B33"/>
            </w:tcBorders>
            <w:shd w:val="clear" w:color="auto" w:fill="FBF6E8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9A7B33"/>
                <w:spacing w:val="14"/>
                <w:sz w:val="16"/>
              </w:rPr>
              <w:t>MOYEN MNÉMOTECHNIQUE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Automesure —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règle des 3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3 mesures matin et soir, 3 jours de suite.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B.  Bilan de retentissement</w:t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B45309"/>
                <w:spacing w:val="18"/>
                <w:sz w:val="14"/>
              </w:rPr>
              <w:t>CLINIQUE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Organes cibles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Cœur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ECG, hypertrophie ventriculaire gauche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Rein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créatininémie,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DFG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, protéinurie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Œil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rétinopathie hypertensive si HTA sévère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Bilan biologique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kaliémie, glycémie à jeun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bilan lipidique, créatininémie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B91C1C"/>
              <w:left w:val="single" w:sz="22" w:space="0" w:color="B91C1C"/>
              <w:bottom w:val="single" w:sz="4" w:space="0" w:color="B91C1C"/>
              <w:right w:val="single" w:sz="4" w:space="0" w:color="B91C1C"/>
            </w:tcBorders>
            <w:shd w:val="clear" w:color="auto" w:fill="FDEDEC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B91C1C"/>
                <w:spacing w:val="14"/>
                <w:sz w:val="16"/>
              </w:rPr>
              <w:t>PIÈGE</w:t>
            </w:r>
          </w:p>
          <w:p>
            <w:r>
              <w:rPr>
                <w:rFonts w:ascii="Inter" w:hAnsi="Inter"/>
                <w:b/>
                <w:i w:val="0"/>
                <w:color w:val="B91C1C"/>
                <w:sz w:val="20"/>
              </w:rPr>
              <w:t>⚠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Rechercher une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HTA secondaire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si HTA résistante, sujet jeune ou signes d'orientation.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III.  Prise en charge thérapeutique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III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A.  Mesures non médicamenteuses</w:t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15803D"/>
                <w:spacing w:val="18"/>
                <w:sz w:val="14"/>
              </w:rPr>
              <w:t>PRISE EN CHARGE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1F2937"/>
                <w:sz w:val="20"/>
              </w:rPr>
              <w:t>Règles hygiéno-diététiques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réduction des apports en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sel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(&lt; 6 g/j)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perte de poids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en cas de surpoids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activité physique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régulière (30 min/j)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limitation de l'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alcool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arrêt du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tabac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3"/>
            <w:shd w:val="clear" w:color="auto" w:fill="E11D48"/>
            <w:vAlign w:val="center"/>
          </w:tcPr>
          <w:p>
            <w:pPr>
              <w:jc w:val="center"/>
            </w:pPr>
            <w:r>
              <w:rPr>
                <w:rFonts w:ascii="Cormorant Garamond" w:hAnsi="Cormorant Garamond"/>
                <w:b/>
                <w:i/>
                <w:color w:val="FFFFFF"/>
                <w:sz w:val="26"/>
              </w:rPr>
              <w:t>III</w:t>
            </w:r>
          </w:p>
        </w:tc>
        <w:tc>
          <w:tcPr>
            <w:tcW w:type="dxa" w:w="7201"/>
            <w:shd w:val="clear" w:color="auto" w:fill="FCE7EC"/>
            <w:vAlign w:val="center"/>
          </w:tcPr>
          <w:p>
            <w:pPr>
              <w:jc w:val="center"/>
            </w:pPr>
            <w:r>
              <w:rPr>
                <w:rFonts w:ascii="Playfair Display" w:hAnsi="Playfair Display"/>
                <w:b/>
                <w:color w:val="9F1239"/>
                <w:sz w:val="26"/>
              </w:rPr>
              <w:t>B.  Traitement médicamenteux</w:t>
            </w:r>
          </w:p>
          <w:p>
            <w:pPr>
              <w:jc w:val="center"/>
            </w:pPr>
            <w:r>
              <w:rPr>
                <w:rFonts w:ascii="Inter" w:hAnsi="Inter"/>
                <w:b/>
                <w:color w:val="15803D"/>
                <w:spacing w:val="18"/>
                <w:sz w:val="14"/>
              </w:rPr>
              <w:t>PRISE EN CHARGE</w:t>
            </w: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C9A961"/>
                <w:sz w:val="20"/>
              </w:rPr>
              <w:t>★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Classes de 1re intention</w:t>
            </w:r>
          </w:p>
        </w:tc>
        <w:tc>
          <w:tcPr>
            <w:tcW w:type="dxa" w:w="7201"/>
            <w:vAlign w:val="top"/>
          </w:tcPr>
          <w:tbl>
            <w:tblPr>
              <w:tblW w:type="auto" w:w="0"/>
              <w:jc w:val="center"/>
              <w:tblBorders>
                <w:top w:val="single" w:sz="4" w:space="0" w:color="9CA3AF"/>
                <w:left w:val="single" w:sz="4" w:space="0" w:color="9CA3AF"/>
                <w:bottom w:val="single" w:sz="4" w:space="0" w:color="9CA3AF"/>
                <w:right w:val="single" w:sz="4" w:space="0" w:color="9CA3AF"/>
                <w:insideH w:val="single" w:sz="4" w:space="0" w:color="9CA3AF"/>
                <w:insideV w:val="single" w:sz="4" w:space="0" w:color="9CA3AF"/>
              </w:tblBorders>
              <w:tblLayout w:type="autofit"/>
              <w:tblLook w:firstColumn="1" w:firstRow="1" w:lastColumn="0" w:lastRow="0" w:noHBand="0" w:noVBand="1" w:val="04A0"/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Classe</w:t>
                  </w:r>
                </w:p>
              </w:tc>
              <w:tc>
                <w:tcPr>
                  <w:tcW w:type="dxa" w:w="24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Exemple</w:t>
                  </w:r>
                </w:p>
              </w:tc>
              <w:tc>
                <w:tcPr>
                  <w:tcW w:type="dxa" w:w="2400"/>
                  <w:shd w:val="clear" w:color="auto" w:fill="FAF7F2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1F2937"/>
                      <w:sz w:val="18"/>
                    </w:rPr>
                    <w:t>Indication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IEC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Ramipril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Diabète, IC</w:t>
                  </w:r>
                </w:p>
              </w:tc>
            </w:tr>
            <w:tr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ARA II</w:t>
                  </w:r>
                </w:p>
              </w:tc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Losartan</w:t>
                  </w:r>
                </w:p>
              </w:tc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Intolérance aux IEC</w:t>
                  </w:r>
                </w:p>
              </w:tc>
            </w:tr>
            <w:tr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I. calcique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Amlodipine</w:t>
                  </w:r>
                </w:p>
              </w:tc>
              <w:tc>
                <w:tcPr>
                  <w:tcW w:type="dxa" w:w="2400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Sujet âgé</w:t>
                  </w:r>
                </w:p>
              </w:tc>
            </w:tr>
            <w:tr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/>
                      <w:i w:val="0"/>
                      <w:color w:val="BE123C"/>
                      <w:sz w:val="18"/>
                    </w:rPr>
                    <w:t>Diurétique</w:t>
                  </w:r>
                </w:p>
              </w:tc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HCTZ</w:t>
                  </w:r>
                </w:p>
              </w:tc>
              <w:tc>
                <w:tcPr>
                  <w:tcW w:type="dxa" w:w="2400"/>
                  <w:shd w:val="clear" w:color="auto" w:fill="FCFBF7"/>
                </w:tcPr>
                <w:p>
                  <w:pPr>
                    <w:spacing w:after="40"/>
                  </w:pPr>
                  <w:r>
                    <w:rPr>
                      <w:rFonts w:ascii="Inter" w:hAnsi="Inter"/>
                      <w:b w:val="0"/>
                      <w:i w:val="0"/>
                      <w:color w:val="1F2937"/>
                      <w:sz w:val="18"/>
                    </w:rPr>
                    <w:t>Sujet âgé</w:t>
                  </w:r>
                </w:p>
              </w:tc>
            </w:tr>
          </w:tbl>
          <w:p/>
          <w:p>
            <w:pPr>
              <w:spacing w:after="80"/>
            </w:pPr>
          </w:p>
        </w:tc>
      </w:tr>
      <w:tr>
        <w:tc>
          <w:tcPr>
            <w:tcW w:type="dxa" w:w="2663"/>
            <w:shd w:val="clear" w:color="auto" w:fill="FAF7F2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i w:val="0"/>
                <w:color w:val="E11D48"/>
                <w:sz w:val="20"/>
              </w:rPr>
              <w:t>◆</w:t>
            </w:r>
            <w:r>
              <w:rPr>
                <w:rFonts w:ascii="Inter" w:hAnsi="Inter"/>
                <w:b/>
                <w:i w:val="0"/>
                <w:color w:val="1F2937"/>
                <w:sz w:val="20"/>
              </w:rPr>
              <w:t xml:space="preserve"> Stratégie</w:t>
            </w:r>
          </w:p>
        </w:tc>
        <w:tc>
          <w:tcPr>
            <w:tcW w:type="dxa" w:w="7201"/>
            <w:vAlign w:val="top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20"/>
              </w:rPr>
              <w:t>bithérapie d'emblée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souvent recommandée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privilégier les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associations fixes</w:t>
            </w:r>
          </w:p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objectif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&lt; 140/90 mmHg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, voire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&lt; 130/80 mmHg</w:t>
            </w:r>
          </w:p>
        </w:tc>
      </w:tr>
      <w:tr>
        <w:tc>
          <w:tcPr>
            <w:tcW w:type="dxa" w:w="9865"/>
            <w:gridSpan w:val="2"/>
            <w:tcBorders>
              <w:top w:val="single" w:sz="4" w:space="0" w:color="9A7B33"/>
              <w:left w:val="single" w:sz="22" w:space="0" w:color="9A7B33"/>
              <w:bottom w:val="single" w:sz="4" w:space="0" w:color="9A7B33"/>
              <w:right w:val="single" w:sz="4" w:space="0" w:color="9A7B33"/>
            </w:tcBorders>
            <w:shd w:val="clear" w:color="auto" w:fill="FBF6E8"/>
            <w:vAlign w:val="top"/>
          </w:tcPr>
          <w:p>
            <w:pPr>
              <w:spacing w:before="40"/>
            </w:pPr>
            <w:r>
              <w:rPr>
                <w:rFonts w:ascii="Inter" w:hAnsi="Inter"/>
                <w:b/>
                <w:color w:val="9A7B33"/>
                <w:spacing w:val="14"/>
                <w:sz w:val="16"/>
              </w:rPr>
              <w:t>MOYEN MNÉMOTECHNIQUE</w:t>
            </w:r>
          </w:p>
          <w:p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Les 5 classes — moyen mnémotechnique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« A-B-C-D »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: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RA II / IEC,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B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êtabloquants,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C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alciques,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D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iurétiques.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Algorithmes décisionnels</w:t>
      </w: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Démarche diagnostique devant une PA élevée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tcBorders>
              <w:top w:val="single" w:sz="4" w:space="0" w:color="E11D48"/>
              <w:left w:val="single" w:sz="22" w:space="0" w:color="E11D48"/>
              <w:bottom w:val="single" w:sz="4" w:space="0" w:color="E11D48"/>
              <w:right w:val="single" w:sz="4" w:space="0" w:color="E11D48"/>
            </w:tcBorders>
            <w:shd w:val="clear" w:color="auto" w:fill="FAF7F2"/>
          </w:tcPr>
          <w:p>
            <w:pPr>
              <w:pStyle w:val="ListBullet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>PA ≥ 140/90 mmHg au cabinet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OUI → confirmer par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MAPA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ou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automesure</w:t>
            </w:r>
          </w:p>
          <w:p>
            <w:pPr>
              <w:pStyle w:val="ListBullet3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MAPA ≥ 135/85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HTA confirmée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bilan + traitement</w:t>
            </w:r>
          </w:p>
          <w:p>
            <w:pPr>
              <w:pStyle w:val="ListBullet3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MAPA &lt; 135/85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HTA blouse blanche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surveillance</w:t>
            </w:r>
          </w:p>
          <w:p>
            <w:pPr>
              <w:pStyle w:val="ListBullet2"/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NON → </w:t>
            </w:r>
            <w:r>
              <w:rPr>
                <w:rFonts w:ascii="Inter" w:hAnsi="Inter"/>
                <w:b/>
                <w:i w:val="0"/>
                <w:color w:val="BE123C"/>
                <w:sz w:val="20"/>
              </w:rPr>
              <w:t>pas d'HTA</w:t>
            </w:r>
            <w:r>
              <w:rPr>
                <w:rFonts w:ascii="Inter" w:hAnsi="Inter"/>
                <w:b w:val="0"/>
                <w:i w:val="0"/>
                <w:color w:val="1F2937"/>
                <w:sz w:val="20"/>
              </w:rPr>
              <w:t xml:space="preserve"> → contrôle annuel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hd w:val="clear" w:color="auto" w:fill="E11D48"/>
        <w:spacing w:before="40" w:after="200"/>
      </w:pPr>
      <w:r>
        <w:rPr>
          <w:rFonts w:ascii="Playfair Display" w:hAnsi="Playfair Display"/>
          <w:b/>
          <w:color w:val="FFFFFF"/>
          <w:sz w:val="32"/>
        </w:rPr>
        <w:t>Synthèse — Tableaux de révision</w:t>
      </w: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Chiffres-clés à connaître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Paramètre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Valeur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Précision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Seuil HTA au cabinet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140/90 mmHg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sur 2 consultations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Seuil en automesure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135/85 mmHg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règle des 3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Apports en sel conseillés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&lt; 6 g/j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mesure hygiéno-diététique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Objectif tensionnel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&lt; 140/90 mmHg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voire &lt; 130/80 si toléré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Prévalence de l'HTA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≈ 30 %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population adulte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Grades de sévérité de l'HTA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Grade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PAS (mmHg)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PAD (mmHg)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Grade 1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140-159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90-99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Grade 2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160-179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100-109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Grade 3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≥ 180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≥ 110</w:t>
            </w:r>
          </w:p>
        </w:tc>
      </w:tr>
    </w:tbl>
    <w:p>
      <w:pPr>
        <w:spacing w:after="80"/>
      </w:pPr>
    </w:p>
    <w:p>
      <w:pPr>
        <w:spacing w:before="160"/>
      </w:pPr>
      <w:r>
        <w:rPr>
          <w:rFonts w:ascii="Cormorant Garamond" w:hAnsi="Cormorant Garamond"/>
          <w:b/>
          <w:color w:val="E11D48"/>
          <w:sz w:val="26"/>
        </w:rPr>
        <w:t>Classes thérapeutiques de première intention</w:t>
      </w:r>
    </w:p>
    <w:tbl>
      <w:tblPr>
        <w:tblW w:type="auto" w:w="0"/>
        <w:jc w:val="center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Classe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Exemple</w:t>
            </w:r>
          </w:p>
        </w:tc>
        <w:tc>
          <w:tcPr>
            <w:tcW w:type="dxa" w:w="3289"/>
            <w:shd w:val="clear" w:color="auto" w:fill="E11D48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FFFFFF"/>
                <w:sz w:val="18"/>
              </w:rPr>
              <w:t>Indication préférentielle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IEC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Ramipril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Diabète, insuffisance cardiaque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ARA II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Losartan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Intolérance aux IEC (toux)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Inhibiteur calcique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Amlodipine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Sujet âgé</w:t>
            </w:r>
          </w:p>
        </w:tc>
      </w:tr>
      <w:tr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Diurétique thiazidique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HCTZ</w:t>
            </w:r>
          </w:p>
        </w:tc>
        <w:tc>
          <w:tcPr>
            <w:tcW w:type="dxa" w:w="3289"/>
            <w:shd w:val="clear" w:color="auto" w:fill="FAF7F2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Sujet âgé</w:t>
            </w:r>
          </w:p>
        </w:tc>
      </w:tr>
      <w:tr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/>
                <w:i w:val="0"/>
                <w:color w:val="BE123C"/>
                <w:sz w:val="18"/>
              </w:rPr>
              <w:t>Bêtabloquant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Bisoprolol</w:t>
            </w:r>
          </w:p>
        </w:tc>
        <w:tc>
          <w:tcPr>
            <w:tcW w:type="dxa" w:w="3289"/>
          </w:tcPr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937"/>
                <w:sz w:val="18"/>
              </w:rPr>
              <w:t>Coronaropathie associée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/>
        <w:jc w:val="center"/>
      </w:pPr>
      <w:r>
        <w:rPr>
          <w:rFonts w:ascii="Inter" w:hAnsi="Inter"/>
          <w:color w:val="C9A961"/>
          <w:spacing w:val="56"/>
          <w:sz w:val="18"/>
        </w:rPr>
        <w:t>RÉVISION EXPRESS</w:t>
      </w:r>
    </w:p>
    <w:p>
      <w:pPr>
        <w:jc w:val="center"/>
      </w:pPr>
      <w:r>
        <w:rPr>
          <w:rFonts w:ascii="Playfair Display" w:hAnsi="Playfair Display"/>
          <w:b/>
          <w:color w:val="1F2937"/>
          <w:sz w:val="52"/>
        </w:rPr>
        <w:t>Fiche éclair</w:t>
      </w:r>
    </w:p>
    <w:p>
      <w:pPr>
        <w:spacing w:after="240"/>
        <w:jc w:val="center"/>
      </w:pPr>
      <w:r>
        <w:rPr>
          <w:rFonts w:ascii="Cormorant Garamond" w:hAnsi="Cormorant Garamond"/>
          <w:i/>
          <w:color w:val="E11D48"/>
          <w:sz w:val="26"/>
        </w:rPr>
        <w:t>Hypertension Artérielle</w:t>
      </w:r>
    </w:p>
    <w:p>
      <w:r>
        <w:rPr>
          <w:rFonts w:ascii="Inter" w:hAnsi="Inter"/>
          <w:b/>
          <w:i w:val="0"/>
          <w:color w:val="BE123C"/>
          <w:sz w:val="20"/>
        </w:rPr>
        <w:t>Définition</w:t>
      </w:r>
      <w:r>
        <w:rPr>
          <w:rFonts w:ascii="Inter" w:hAnsi="Inter"/>
          <w:b w:val="0"/>
          <w:i w:val="0"/>
          <w:color w:val="1F2937"/>
          <w:sz w:val="20"/>
        </w:rPr>
        <w:t xml:space="preserve"> : PA ≥ 140/90 mmHg au cabinet (135/85 en automesure), confirmée sur 2 consultations.</w:t>
      </w:r>
    </w:p>
    <w:p>
      <w:r>
        <w:rPr>
          <w:rFonts w:ascii="Inter" w:hAnsi="Inter"/>
          <w:b/>
          <w:i w:val="0"/>
          <w:color w:val="BE123C"/>
          <w:sz w:val="20"/>
        </w:rPr>
        <w:t>Diagnostic</w:t>
      </w:r>
      <w:r>
        <w:rPr>
          <w:rFonts w:ascii="Inter" w:hAnsi="Inter"/>
          <w:b w:val="0"/>
          <w:i w:val="0"/>
          <w:color w:val="1F2937"/>
          <w:sz w:val="20"/>
        </w:rPr>
        <w:t xml:space="preserve"> : MAPA = examen de référence ; rechercher HTA blouse blanche et HTA masquée.</w:t>
      </w:r>
    </w:p>
    <w:p>
      <w:r>
        <w:rPr>
          <w:rFonts w:ascii="Inter" w:hAnsi="Inter"/>
          <w:b/>
          <w:i w:val="0"/>
          <w:color w:val="BE123C"/>
          <w:sz w:val="20"/>
        </w:rPr>
        <w:t>Bilan</w:t>
      </w:r>
      <w:r>
        <w:rPr>
          <w:rFonts w:ascii="Inter" w:hAnsi="Inter"/>
          <w:b w:val="0"/>
          <w:i w:val="0"/>
          <w:color w:val="1F2937"/>
          <w:sz w:val="20"/>
        </w:rPr>
        <w:t xml:space="preserve"> : organes cibles (cœur, rein, œil) + bilan biologique minimal ; évoquer une HTA secondaire si résistance ou sujet jeune.</w:t>
      </w:r>
    </w:p>
    <w:p>
      <w:r>
        <w:rPr>
          <w:rFonts w:ascii="Inter" w:hAnsi="Inter"/>
          <w:b/>
          <w:i w:val="0"/>
          <w:color w:val="BE123C"/>
          <w:sz w:val="20"/>
        </w:rPr>
        <w:t>Traitement</w:t>
      </w:r>
      <w:r>
        <w:rPr>
          <w:rFonts w:ascii="Inter" w:hAnsi="Inter"/>
          <w:b w:val="0"/>
          <w:i w:val="0"/>
          <w:color w:val="1F2937"/>
          <w:sz w:val="20"/>
        </w:rPr>
        <w:t xml:space="preserve"> : RHD systématiques + 5 classes (IEC, ARA II, calciques, diurétiques, bêtabloquants) ; bithérapie d'emblée fréquente ; objectif &lt; 140/90 mmHg.</w:t>
      </w:r>
    </w:p>
    <w:p>
      <w:pPr>
        <w:pBdr>
          <w:bottom w:val="single" w:sz="4" w:space="4" w:color="C9A961"/>
        </w:pBdr>
        <w:spacing w:before="180" w:after="40"/>
      </w:pPr>
      <w:r>
        <w:rPr>
          <w:rFonts w:ascii="Cormorant Garamond" w:hAnsi="Cormorant Garamond"/>
          <w:b/>
          <w:color w:val="E11D48"/>
          <w:sz w:val="26"/>
        </w:rPr>
        <w:t>À retenir absolument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>L'</w:t>
      </w:r>
      <w:r>
        <w:rPr>
          <w:rFonts w:ascii="Inter" w:hAnsi="Inter"/>
          <w:b/>
          <w:i w:val="0"/>
          <w:color w:val="BE123C"/>
          <w:sz w:val="21"/>
        </w:rPr>
        <w:t>HTA</w:t>
      </w:r>
      <w:r>
        <w:rPr>
          <w:rFonts w:ascii="Inter" w:hAnsi="Inter"/>
          <w:b w:val="0"/>
          <w:i w:val="0"/>
          <w:color w:val="1F2937"/>
          <w:sz w:val="21"/>
        </w:rPr>
        <w:t xml:space="preserve"> est définie par une PA </w:t>
      </w:r>
      <w:r>
        <w:rPr>
          <w:rFonts w:ascii="Inter" w:hAnsi="Inter"/>
          <w:b/>
          <w:i w:val="0"/>
          <w:color w:val="BE123C"/>
          <w:sz w:val="21"/>
        </w:rPr>
        <w:t>≥ 140/90 mmHg</w:t>
      </w:r>
      <w:r>
        <w:rPr>
          <w:rFonts w:ascii="Inter" w:hAnsi="Inter"/>
          <w:b w:val="0"/>
          <w:i w:val="0"/>
          <w:color w:val="1F2937"/>
          <w:sz w:val="21"/>
        </w:rPr>
        <w:t xml:space="preserve"> au cabinet, confirmée sur des mesures répétées.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La </w:t>
      </w:r>
      <w:r>
        <w:rPr>
          <w:rFonts w:ascii="Inter" w:hAnsi="Inter"/>
          <w:b/>
          <w:i w:val="0"/>
          <w:color w:val="BE123C"/>
          <w:sz w:val="21"/>
        </w:rPr>
        <w:t>MAPA</w:t>
      </w:r>
      <w:r>
        <w:rPr>
          <w:rFonts w:ascii="Inter" w:hAnsi="Inter"/>
          <w:b w:val="0"/>
          <w:i w:val="0"/>
          <w:color w:val="1F2937"/>
          <w:sz w:val="21"/>
        </w:rPr>
        <w:t xml:space="preserve"> et l'</w:t>
      </w:r>
      <w:r>
        <w:rPr>
          <w:rFonts w:ascii="Inter" w:hAnsi="Inter"/>
          <w:b/>
          <w:i w:val="0"/>
          <w:color w:val="BE123C"/>
          <w:sz w:val="21"/>
        </w:rPr>
        <w:t>automesure</w:t>
      </w:r>
      <w:r>
        <w:rPr>
          <w:rFonts w:ascii="Inter" w:hAnsi="Inter"/>
          <w:b w:val="0"/>
          <w:i w:val="0"/>
          <w:color w:val="1F2937"/>
          <w:sz w:val="21"/>
        </w:rPr>
        <w:t xml:space="preserve"> confirment le diagnostic et dépistent l'HTA blouse blanche et l'HTA masquée.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Le bilan initial recherche une </w:t>
      </w:r>
      <w:r>
        <w:rPr>
          <w:rFonts w:ascii="Inter" w:hAnsi="Inter"/>
          <w:b/>
          <w:i w:val="0"/>
          <w:color w:val="BE123C"/>
          <w:sz w:val="21"/>
        </w:rPr>
        <w:t>atteinte des organes cibles</w:t>
      </w:r>
      <w:r>
        <w:rPr>
          <w:rFonts w:ascii="Inter" w:hAnsi="Inter"/>
          <w:b w:val="0"/>
          <w:i w:val="0"/>
          <w:color w:val="1F2937"/>
          <w:sz w:val="21"/>
        </w:rPr>
        <w:t xml:space="preserve"> et une </w:t>
      </w:r>
      <w:r>
        <w:rPr>
          <w:rFonts w:ascii="Inter" w:hAnsi="Inter"/>
          <w:b/>
          <w:i w:val="0"/>
          <w:color w:val="BE123C"/>
          <w:sz w:val="21"/>
        </w:rPr>
        <w:t>HTA secondaire</w:t>
      </w:r>
      <w:r>
        <w:rPr>
          <w:rFonts w:ascii="Inter" w:hAnsi="Inter"/>
          <w:b w:val="0"/>
          <w:i w:val="0"/>
          <w:color w:val="1F2937"/>
          <w:sz w:val="21"/>
        </w:rPr>
        <w:t>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Les </w:t>
      </w:r>
      <w:r>
        <w:rPr>
          <w:rFonts w:ascii="Inter" w:hAnsi="Inter"/>
          <w:b/>
          <w:i w:val="0"/>
          <w:color w:val="BE123C"/>
          <w:sz w:val="21"/>
        </w:rPr>
        <w:t>règles hygiéno-diététiques</w:t>
      </w:r>
      <w:r>
        <w:rPr>
          <w:rFonts w:ascii="Inter" w:hAnsi="Inter"/>
          <w:b w:val="0"/>
          <w:i w:val="0"/>
          <w:color w:val="1F2937"/>
          <w:sz w:val="21"/>
        </w:rPr>
        <w:t xml:space="preserve"> sont la base du traitement.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Cinq classes de 1re intention ; la </w:t>
      </w:r>
      <w:r>
        <w:rPr>
          <w:rFonts w:ascii="Inter" w:hAnsi="Inter"/>
          <w:b/>
          <w:i w:val="0"/>
          <w:color w:val="BE123C"/>
          <w:sz w:val="21"/>
        </w:rPr>
        <w:t>bithérapie</w:t>
      </w:r>
      <w:r>
        <w:rPr>
          <w:rFonts w:ascii="Inter" w:hAnsi="Inter"/>
          <w:b w:val="0"/>
          <w:i w:val="0"/>
          <w:color w:val="1F2937"/>
          <w:sz w:val="21"/>
        </w:rPr>
        <w:t xml:space="preserve"> est souvent d'emblée.</w:t>
      </w:r>
    </w:p>
    <w:p>
      <w:pPr>
        <w:pStyle w:val="ListBullet"/>
        <w:spacing w:after="80"/>
      </w:pPr>
      <w:r>
        <w:rPr>
          <w:rFonts w:ascii="Inter" w:hAnsi="Inter"/>
          <w:b w:val="0"/>
          <w:i w:val="0"/>
          <w:color w:val="1F2937"/>
          <w:sz w:val="21"/>
        </w:rPr>
        <w:t xml:space="preserve">Objectif : </w:t>
      </w:r>
      <w:r>
        <w:rPr>
          <w:rFonts w:ascii="Inter" w:hAnsi="Inter"/>
          <w:b/>
          <w:i w:val="0"/>
          <w:color w:val="BE123C"/>
          <w:sz w:val="21"/>
        </w:rPr>
        <w:t>&lt; 140/90 mmHg</w:t>
      </w:r>
      <w:r>
        <w:rPr>
          <w:rFonts w:ascii="Inter" w:hAnsi="Inter"/>
          <w:b w:val="0"/>
          <w:i w:val="0"/>
          <w:color w:val="1F2937"/>
          <w:sz w:val="21"/>
        </w:rPr>
        <w:t xml:space="preserve">, idéalement </w:t>
      </w:r>
      <w:r>
        <w:rPr>
          <w:rFonts w:ascii="Inter" w:hAnsi="Inter"/>
          <w:b/>
          <w:i w:val="0"/>
          <w:color w:val="BE123C"/>
          <w:sz w:val="21"/>
        </w:rPr>
        <w:t>&lt; 130/80 mmHg</w:t>
      </w:r>
      <w:r>
        <w:rPr>
          <w:rFonts w:ascii="Inter" w:hAnsi="Inter"/>
          <w:b w:val="0"/>
          <w:i w:val="0"/>
          <w:color w:val="1F2937"/>
          <w:sz w:val="21"/>
        </w:rPr>
        <w:t xml:space="preserve"> si toléré.</w:t>
      </w:r>
    </w:p>
    <w:p>
      <w:pPr>
        <w:spacing w:before="320"/>
        <w:jc w:val="center"/>
      </w:pPr>
      <w:r>
        <w:drawing>
          <wp:inline xmlns:a="http://schemas.openxmlformats.org/drawingml/2006/main" xmlns:pic="http://schemas.openxmlformats.org/drawingml/2006/picture">
            <wp:extent cx="792000" cy="3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ajor_e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nter" w:hAnsi="Inter"/>
          <w:color w:val="9CA3AF"/>
          <w:spacing w:val="36"/>
          <w:sz w:val="17"/>
        </w:rPr>
        <w:t>MAJOR ECN  ·  2025-2026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020" w:bottom="1020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Inter" w:hAnsi="Inter"/>
        <w:color w:val="9CA3AF"/>
        <w:spacing w:val="24"/>
        <w:sz w:val="16"/>
      </w:rPr>
      <w:t>MAJOR ECN  ·  2025-2026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E11D48"/>
      </w:pBdr>
      <w:tabs>
        <w:tab w:pos="9865" w:val="right"/>
      </w:tabs>
    </w:pPr>
    <w:r/>
    <w:r>
      <w:rPr>
        <w:rFonts w:ascii="Inter" w:hAnsi="Inter"/>
        <w:color w:val="9CA3AF"/>
        <w:sz w:val="16"/>
      </w:rPr>
      <w:fldChar w:fldCharType="begin"/>
      <w:instrText xml:space="preserve">PAGE</w:instrText>
      <w:fldChar w:fldCharType="end"/>
    </w:r>
    <w:r>
      <w:rPr>
        <w:rFonts w:ascii="Inter" w:hAnsi="Inter"/>
        <w:i/>
        <w:color w:val="9CA3AF"/>
        <w:sz w:val="16"/>
      </w:rPr>
      <w:tab/>
      <w:t>Hypertension Artérielle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Inter" w:hAnsi="Inter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