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9CA3AF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Cadre nosologique et poids de santé publique.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9CA3AF"/>
          <w:sz w:val="20"/>
        </w:rPr>
        <w:t xml:space="preserve"> — Seuils et grades.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9CA3AF"/>
          <w:sz w:val="20"/>
        </w:rPr>
        <w:t xml:space="preserve"> — Prévalence et FdR.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Confirmation et recherche du retentissement.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 de la PA</w:t>
      </w:r>
      <w:r>
        <w:rPr>
          <w:rFonts w:ascii="Cormorant Garamond" w:hAnsi="Cormorant Garamond"/>
          <w:i/>
          <w:color w:val="9CA3AF"/>
          <w:sz w:val="20"/>
        </w:rPr>
        <w:t xml:space="preserve"> — Conditions et MAPA.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9CA3AF"/>
          <w:sz w:val="20"/>
        </w:rPr>
        <w:t xml:space="preserve"> — Organes cibles.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Mesures hygiéno-diététiques et médicaments.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9CA3AF"/>
          <w:sz w:val="20"/>
        </w:rPr>
        <w:t xml:space="preserve"> — RHD.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9CA3AF"/>
          <w:sz w:val="20"/>
        </w:rPr>
        <w:t xml:space="preserve"> — Classes.</w:t>
      </w: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I.  Définition et épidémiologie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Définitions et seuils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≥ 135/85 mmHg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PAD (mmHg)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90-99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100-109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1 — Étapes de la démarche diagnostique devant une pression artérielle élevée.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normale au cabinet, élevée en ambulatoire) : le pronostic diffère.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Épidémiologie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premier motif de consultation en médecine générale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alcool, tabac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II.  Diagnostic et bilan initial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 de la pression artérielle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lors du bilan initial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Bilan de retentissement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rétinopathie hypertensive si HTA sévère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bilan lipidique, créatininémie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2 — Principaux organes cibles atteints par l'hypertension artérielle.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si HTA résistante, sujet jeune ou signes d'orientation.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III.  Prise en charge thérapeutique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Mesures non médicamenteuses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Traitement médicamenteux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Indication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Diabète, 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Intolérance aux IEC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130/80 mmHg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sur 2 consultations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règle des 3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mesure hygiéno-diététique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voire &lt; 130/80 si toléré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90-99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100-109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Diabète, insuffisance cardiaque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Intolérance aux IEC (toux)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HCTZ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E11D48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BE123C"/>
          <w:sz w:val="20"/>
        </w:rPr>
        <w:t>Définition</w:t>
      </w:r>
      <w:r>
        <w:rPr>
          <w:rFonts w:ascii="Inter" w:hAnsi="Inter"/>
          <w:b w:val="0"/>
          <w:i w:val="0"/>
          <w:color w:val="1F2937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BE123C"/>
          <w:sz w:val="20"/>
        </w:rPr>
        <w:t>Diagnostic</w:t>
      </w:r>
      <w:r>
        <w:rPr>
          <w:rFonts w:ascii="Inter" w:hAnsi="Inter"/>
          <w:b w:val="0"/>
          <w:i w:val="0"/>
          <w:color w:val="1F2937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BE123C"/>
          <w:sz w:val="20"/>
        </w:rPr>
        <w:t>Bilan</w:t>
      </w:r>
      <w:r>
        <w:rPr>
          <w:rFonts w:ascii="Inter" w:hAnsi="Inter"/>
          <w:b w:val="0"/>
          <w:i w:val="0"/>
          <w:color w:val="1F2937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BE123C"/>
          <w:sz w:val="20"/>
        </w:rPr>
        <w:t>Traitement</w:t>
      </w:r>
      <w:r>
        <w:rPr>
          <w:rFonts w:ascii="Inter" w:hAnsi="Inter"/>
          <w:b w:val="0"/>
          <w:i w:val="0"/>
          <w:color w:val="1F2937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E11D48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HTA</w:t>
      </w:r>
      <w:r>
        <w:rPr>
          <w:rFonts w:ascii="Inter" w:hAnsi="Inter"/>
          <w:b w:val="0"/>
          <w:i w:val="0"/>
          <w:color w:val="1F2937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BE123C"/>
          <w:sz w:val="21"/>
        </w:rPr>
        <w:t>≥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MAPA</w:t>
      </w:r>
      <w:r>
        <w:rPr>
          <w:rFonts w:ascii="Inter" w:hAnsi="Inter"/>
          <w:b w:val="0"/>
          <w:i w:val="0"/>
          <w:color w:val="1F2937"/>
          <w:sz w:val="21"/>
        </w:rPr>
        <w:t xml:space="preserve"> et l'</w:t>
      </w:r>
      <w:r>
        <w:rPr>
          <w:rFonts w:ascii="Inter" w:hAnsi="Inter"/>
          <w:b/>
          <w:i w:val="0"/>
          <w:color w:val="BE123C"/>
          <w:sz w:val="21"/>
        </w:rPr>
        <w:t>automesure</w:t>
      </w:r>
      <w:r>
        <w:rPr>
          <w:rFonts w:ascii="Inter" w:hAnsi="Inter"/>
          <w:b w:val="0"/>
          <w:i w:val="0"/>
          <w:color w:val="1F2937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BE123C"/>
          <w:sz w:val="21"/>
        </w:rPr>
        <w:t>atteinte des organes cibles</w:t>
      </w:r>
      <w:r>
        <w:rPr>
          <w:rFonts w:ascii="Inter" w:hAnsi="Inter"/>
          <w:b w:val="0"/>
          <w:i w:val="0"/>
          <w:color w:val="1F2937"/>
          <w:sz w:val="21"/>
        </w:rPr>
        <w:t xml:space="preserve"> et une </w:t>
      </w:r>
      <w:r>
        <w:rPr>
          <w:rFonts w:ascii="Inter" w:hAnsi="Inter"/>
          <w:b/>
          <w:i w:val="0"/>
          <w:color w:val="BE123C"/>
          <w:sz w:val="21"/>
        </w:rPr>
        <w:t>HTA secondaire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règles hygiéno-diététiques</w:t>
      </w:r>
      <w:r>
        <w:rPr>
          <w:rFonts w:ascii="Inter" w:hAnsi="Inter"/>
          <w:b w:val="0"/>
          <w:i w:val="0"/>
          <w:color w:val="1F2937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BE123C"/>
          <w:sz w:val="21"/>
        </w:rPr>
        <w:t>bithérapie</w:t>
      </w:r>
      <w:r>
        <w:rPr>
          <w:rFonts w:ascii="Inter" w:hAnsi="Inter"/>
          <w:b w:val="0"/>
          <w:i w:val="0"/>
          <w:color w:val="1F2937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Objectif : </w:t>
      </w:r>
      <w:r>
        <w:rPr>
          <w:rFonts w:ascii="Inter" w:hAnsi="Inter"/>
          <w:b/>
          <w:i w:val="0"/>
          <w:color w:val="BE123C"/>
          <w:sz w:val="21"/>
        </w:rPr>
        <w:t>&lt;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, idéalement </w:t>
      </w:r>
      <w:r>
        <w:rPr>
          <w:rFonts w:ascii="Inter" w:hAnsi="Inter"/>
          <w:b/>
          <w:i w:val="0"/>
          <w:color w:val="BE123C"/>
          <w:sz w:val="21"/>
        </w:rPr>
        <w:t>&lt; 130/80 mmHg</w:t>
      </w:r>
      <w:r>
        <w:rPr>
          <w:rFonts w:ascii="Inter" w:hAnsi="Inter"/>
          <w:b w:val="0"/>
          <w:i w:val="0"/>
          <w:color w:val="1F2937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9CA3AF"/>
        <w:spacing w:val="24"/>
        <w:sz w:val="16"/>
      </w:rPr>
      <w:t>MAJOR ECN  ·  2025-2026</w:t>
      <w:tab/>
    </w:r>
    <w:r>
      <w:rPr>
        <w:rFonts w:ascii="Inter" w:hAnsi="Inter"/>
        <w:b/>
        <w:color w:val="E11D48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E11D48"/>
        <w:sz w:val="17"/>
      </w:rPr>
      <w:t xml:space="preserve">  /  </w:t>
    </w:r>
    <w:r>
      <w:rPr>
        <w:rFonts w:ascii="Inter" w:hAnsi="Inter"/>
        <w:b/>
        <w:color w:val="E11D48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</w:pPr>
    <w:r/>
    <w:r>
      <w:rPr>
        <w:rFonts w:ascii="Inter" w:hAnsi="Inter"/>
        <w:i/>
        <w:color w:val="9CA3AF"/>
        <w:sz w:val="16"/>
      </w:rPr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