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HÉMATOLOGIE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Hématopoïèse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Hématologie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Hématologie  ·  Hématopoïèse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Organisation du tissu hématopoïétique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Sites de l'hématopoïèse, moelle osseuse et organes lymphoïdes.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Moelle osseuse hématopoïétique</w:t>
      </w:r>
      <w:r>
        <w:rPr>
          <w:rFonts w:ascii="Cormorant Garamond" w:hAnsi="Cormorant Garamond"/>
          <w:i/>
          <w:color w:val="9CA3AF"/>
          <w:sz w:val="20"/>
        </w:rPr>
        <w:t xml:space="preserve"> — Localisation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Organes lymphoïdes</w:t>
      </w:r>
      <w:r>
        <w:rPr>
          <w:rFonts w:ascii="Cormorant Garamond" w:hAnsi="Cormorant Garamond"/>
          <w:i/>
          <w:color w:val="9CA3AF"/>
          <w:sz w:val="20"/>
        </w:rPr>
        <w:t xml:space="preserve"> — Organes centraux et périphériques.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Cellules souches et cascade hématopoïétique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Cellules souches et compartiments de différenciation.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Cellules souches hématopoïétiques</w:t>
      </w:r>
      <w:r>
        <w:rPr>
          <w:rFonts w:ascii="Cormorant Garamond" w:hAnsi="Cormorant Garamond"/>
          <w:i/>
          <w:color w:val="9CA3AF"/>
          <w:sz w:val="20"/>
        </w:rPr>
        <w:t xml:space="preserve"> — Définition, propriétés, marqueurs.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Les trois compartiments de la cascade</w:t>
      </w:r>
      <w:r>
        <w:rPr>
          <w:rFonts w:ascii="Cormorant Garamond" w:hAnsi="Cormorant Garamond"/>
          <w:i/>
          <w:color w:val="9CA3AF"/>
          <w:sz w:val="20"/>
        </w:rPr>
        <w:t xml:space="preserve"> — Progéniteurs, précurseurs, cellules matures.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Régulation de l'hématopoïèse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Facteurs de croissance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Facteurs de croissance hématopoïétiques</w:t>
      </w:r>
      <w:r>
        <w:rPr>
          <w:rFonts w:ascii="Cormorant Garamond" w:hAnsi="Cormorant Garamond"/>
          <w:i/>
          <w:color w:val="9CA3AF"/>
          <w:sz w:val="20"/>
        </w:rPr>
        <w:t xml:space="preserve"> — Facteurs de différenciation et facteurs amont.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Microenvironnement et régulation cellulaire</w:t>
      </w:r>
      <w:r>
        <w:rPr>
          <w:rFonts w:ascii="Cormorant Garamond" w:hAnsi="Cormorant Garamond"/>
          <w:i/>
          <w:color w:val="9CA3AF"/>
          <w:sz w:val="20"/>
        </w:rPr>
        <w:t xml:space="preserve"> — Hypoxie et îlot érythroblastique.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IV.  </w:t>
      </w:r>
      <w:r>
        <w:rPr>
          <w:rFonts w:ascii="Cormorant Garamond" w:hAnsi="Cormorant Garamond"/>
          <w:b/>
          <w:color w:val="1F2937"/>
          <w:sz w:val="27"/>
        </w:rPr>
        <w:t>Lignée érythrocytaire et hémoglobine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Érythropoïèse, structure de l'hématie et hémolyse.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Érythropoïèse</w:t>
      </w:r>
      <w:r>
        <w:rPr>
          <w:rFonts w:ascii="Cormorant Garamond" w:hAnsi="Cormorant Garamond"/>
          <w:i/>
          <w:color w:val="9CA3AF"/>
          <w:sz w:val="20"/>
        </w:rPr>
        <w:t xml:space="preserve"> — Cascade et réticulocyte.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Structure de l'hématie et hémoglobine</w:t>
      </w:r>
      <w:r>
        <w:rPr>
          <w:rFonts w:ascii="Cormorant Garamond" w:hAnsi="Cormorant Garamond"/>
          <w:i/>
          <w:color w:val="9CA3AF"/>
          <w:sz w:val="20"/>
        </w:rPr>
        <w:t xml:space="preserve"> — Membrane, cytosquelette, hémoglobine.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Métabolisme et hémolyse de l'hématie</w:t>
      </w:r>
      <w:r>
        <w:rPr>
          <w:rFonts w:ascii="Cormorant Garamond" w:hAnsi="Cormorant Garamond"/>
          <w:i/>
          <w:color w:val="9CA3AF"/>
          <w:sz w:val="20"/>
        </w:rPr>
        <w:t xml:space="preserve"> — Glycolyse, durée de vie, hémolyse.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V.  </w:t>
      </w:r>
      <w:r>
        <w:rPr>
          <w:rFonts w:ascii="Cormorant Garamond" w:hAnsi="Cormorant Garamond"/>
          <w:b/>
          <w:color w:val="1F2937"/>
          <w:sz w:val="27"/>
        </w:rPr>
        <w:t>Facteurs nutritionnels de l'érythropoïèse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Métabolisme du fer, des folates et de la vitamine B12.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Métabolisme du fer</w:t>
      </w:r>
      <w:r>
        <w:rPr>
          <w:rFonts w:ascii="Cormorant Garamond" w:hAnsi="Cormorant Garamond"/>
          <w:i/>
          <w:color w:val="9CA3AF"/>
          <w:sz w:val="20"/>
        </w:rPr>
        <w:t xml:space="preserve"> — Répartition, absorption, transport.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Folates (B9) et vitamine B12</w:t>
      </w:r>
      <w:r>
        <w:rPr>
          <w:rFonts w:ascii="Cormorant Garamond" w:hAnsi="Cormorant Garamond"/>
          <w:i/>
          <w:color w:val="9CA3AF"/>
          <w:sz w:val="20"/>
        </w:rPr>
        <w:t xml:space="preserve"> — Apports, absorption, rôle.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VI.  </w:t>
      </w:r>
      <w:r>
        <w:rPr>
          <w:rFonts w:ascii="Cormorant Garamond" w:hAnsi="Cormorant Garamond"/>
          <w:b/>
          <w:color w:val="1F2937"/>
          <w:sz w:val="27"/>
        </w:rPr>
        <w:t>Leucocytes et plaquettes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Granulopoïèse, monocytes, lymphocytes et plaquettes.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Polynucléaires (granulocytes)</w:t>
      </w:r>
      <w:r>
        <w:rPr>
          <w:rFonts w:ascii="Cormorant Garamond" w:hAnsi="Cormorant Garamond"/>
          <w:i/>
          <w:color w:val="9CA3AF"/>
          <w:sz w:val="20"/>
        </w:rPr>
        <w:t xml:space="preserve"> — Neutrophiles, éosinophiles, basophiles.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Monocytes et lymphocytes</w:t>
      </w:r>
      <w:r>
        <w:rPr>
          <w:rFonts w:ascii="Cormorant Garamond" w:hAnsi="Cormorant Garamond"/>
          <w:i/>
          <w:color w:val="9CA3AF"/>
          <w:sz w:val="20"/>
        </w:rPr>
        <w:t xml:space="preserve"> — Lymphopoïèse B et T, cellules NK.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Plaquettes sanguines</w:t>
      </w:r>
      <w:r>
        <w:rPr>
          <w:rFonts w:ascii="Cormorant Garamond" w:hAnsi="Cormorant Garamond"/>
          <w:i/>
          <w:color w:val="9CA3AF"/>
          <w:sz w:val="20"/>
        </w:rPr>
        <w:t xml:space="preserve"> — Origine mégacaryocytaire.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VII.  </w:t>
      </w:r>
      <w:r>
        <w:rPr>
          <w:rFonts w:ascii="Cormorant Garamond" w:hAnsi="Cormorant Garamond"/>
          <w:b/>
          <w:color w:val="1F2937"/>
          <w:sz w:val="27"/>
        </w:rPr>
        <w:t>Exploration hématologique et principales hémopathies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Examens d'exploration et grandes hémopathies.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Exploration du sang et de la moelle</w:t>
      </w:r>
      <w:r>
        <w:rPr>
          <w:rFonts w:ascii="Cormorant Garamond" w:hAnsi="Cormorant Garamond"/>
          <w:i/>
          <w:color w:val="9CA3AF"/>
          <w:sz w:val="20"/>
        </w:rPr>
        <w:t xml:space="preserve"> — NFS, myélogramme, BOM, immunophénotypage.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Principales hémopathies</w:t>
      </w:r>
      <w:r>
        <w:rPr>
          <w:rFonts w:ascii="Cormorant Garamond" w:hAnsi="Cormorant Garamond"/>
          <w:i/>
          <w:color w:val="9CA3AF"/>
          <w:sz w:val="20"/>
        </w:rPr>
        <w:t xml:space="preserve"> — Hémopathies malignes et insuffisance médullaire.</w:t>
      </w: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I.  Organisation du tissu hématopoïétique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Moelle osseuse hématopoïétique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production sanguine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vertèbres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Organes lymphoïdes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persiste à l'état de traces jusqu'à ~60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zone claire centrocytique (sélection par l'antigène)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vie intra-utérine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II.  Cellules souches et cascade hématopoïétique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Cellules souches hématopoïétiques (CSH)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myéloïde) après myéloablation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(1 CSH + 1 progéniteur engagé dans la différenciation)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(antimitotiques) à doses conventionnelles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 CD38−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(cellules souches périphériques)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Les trois compartiments de la cascade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avec la maturation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(ex : érythroblaste) témoignant du caractère jeune/immature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rejoindre la circulation sanguine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177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casca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177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1 — Cascade hématopoïétique : de la cellule souche aux cellules matures du sang.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à distinguer des précurseurs normaux en « …blaste ».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III.  Régulation de l'hématopoïèse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Facteurs de croissance hématopoïétiques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Régulation très fine, adaptée aux besoins de chaque lignée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Lignée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Érythroïde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Mégacaryocytaire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Granuleuse + 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Granuleuse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Éosinophile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CXCR4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GATA1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Microenvironnement et régulation cellulaire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hypoxie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IV.  Lignée érythrocytaire et hémoglobine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Érythropoïèse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16 réticulocytes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d'une anémie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avant délivrance de nouvelles hématies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2273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erythropoie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227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2 — Érythropoïèse : de la BFU-E à l'hématie mature.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Structure de l'hématie et 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se fixe à l'état désoxygéné et régule l'affinité de l'Hb pour l'O₂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Proportion (adulte)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97-99 %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1-3,5 %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augmentée dans le diabète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C.  Métabolisme et hémolyse de l'hématie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NADPH (lutte contre l'oxydation)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hémolyse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bile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hyperhémolyse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V.  Facteurs nutritionnels de l'érythropoïèse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Métabolisme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ferritine, transferrine, hémosidérine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duodénum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↓ absorption et ↑ rétention macrophagique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fer sérique, coefficient de saturation de la transferrine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Folates (B9) et vitamine B12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à 4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(suffisantes ~4 ans)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la plus importante physiologiquement)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VI.  Leucocytes et plaquettes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Polynucléaires (granulocytes)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le compartiment sanguin), mobilisable en cas de besoin aigu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phagocytose → bactéricidie (dérivés oxygénés, H₂O₂)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inhibée par les corticoïdes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(dégranulation)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71052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granulopoie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710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3 — Granulopoïèse neutrophile : du myéloblaste au polynucléaire.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Monocytes et lymphocytes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présentation de l'antigène aux lymphocytes 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C.  Plaquettes sanguines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VII.  Exploration hématologique et principales hémopathies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Exploration du sang et de la moelle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décompte de 100 leucocytes en 5 catégories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dans la journée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(myélofibrose, envahissement nodulaire)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Marqueur (CD)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CD34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CD19, CD20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CD235a (glycophorine 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CD41a, CD61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Principales hémopathies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hématologie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brutal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(myélofibrose primitive)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tumoraux (ostéolyse, immunoglobuline monoclonale)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(manque d'espace)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2708" cy="223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hemopath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708" cy="223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4 — Schéma de l'hématopoïèse normale et localisation des principales hémopathies myéloïdes et lymphoïdes.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100 × 10⁹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50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120 jours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24 heures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7 j / 10 j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20-100 G/L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4-5 g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17 µmol/L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97-99 % / 1-3,5 %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CSH, CFU-GEMM, BFU-E, CFU-GM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Proérythroblaste, myéloblaste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Rein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TPO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Foie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IL-5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1-2 %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≈ 50-60 %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1-4 %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0,5-1 %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≈ 15-30 %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5-15 %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F2937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Sans autre cytopénie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± thrombopénie / leucopénie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Histologique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Quantitatif (richesse, architecture)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 xml:space="preserve"> (myélofibrose…)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Hématopoïèse</w:t>
      </w:r>
    </w:p>
    <w:p>
      <w:r>
        <w:rPr>
          <w:rFonts w:ascii="Inter" w:hAnsi="Inter"/>
          <w:b/>
          <w:i w:val="0"/>
          <w:color w:val="BE123C"/>
          <w:sz w:val="20"/>
        </w:rPr>
        <w:t>Sites</w:t>
      </w:r>
      <w:r>
        <w:rPr>
          <w:rFonts w:ascii="Inter" w:hAnsi="Inter"/>
          <w:b w:val="0"/>
          <w:i w:val="0"/>
          <w:color w:val="1F2937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BE123C"/>
          <w:sz w:val="20"/>
        </w:rPr>
        <w:t>Cellules souches</w:t>
      </w:r>
      <w:r>
        <w:rPr>
          <w:rFonts w:ascii="Inter" w:hAnsi="Inter"/>
          <w:b w:val="0"/>
          <w:i w:val="0"/>
          <w:color w:val="1F2937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BE123C"/>
          <w:sz w:val="20"/>
        </w:rPr>
        <w:t>CD34</w:t>
      </w:r>
      <w:r>
        <w:rPr>
          <w:rFonts w:ascii="Inter" w:hAnsi="Inter"/>
          <w:b w:val="0"/>
          <w:i w:val="0"/>
          <w:color w:val="1F2937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BE123C"/>
          <w:sz w:val="20"/>
        </w:rPr>
        <w:t>Régulation</w:t>
      </w:r>
      <w:r>
        <w:rPr>
          <w:rFonts w:ascii="Inter" w:hAnsi="Inter"/>
          <w:b w:val="0"/>
          <w:i w:val="0"/>
          <w:color w:val="1F2937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BE123C"/>
          <w:sz w:val="20"/>
        </w:rPr>
        <w:t>EPO</w:t>
      </w:r>
      <w:r>
        <w:rPr>
          <w:rFonts w:ascii="Inter" w:hAnsi="Inter"/>
          <w:b w:val="0"/>
          <w:i w:val="0"/>
          <w:color w:val="1F2937"/>
          <w:sz w:val="20"/>
        </w:rPr>
        <w:t xml:space="preserve"> (rein, érythroïde), </w:t>
      </w:r>
      <w:r>
        <w:rPr>
          <w:rFonts w:ascii="Inter" w:hAnsi="Inter"/>
          <w:b/>
          <w:i w:val="0"/>
          <w:color w:val="BE123C"/>
          <w:sz w:val="20"/>
        </w:rPr>
        <w:t>TPO</w:t>
      </w:r>
      <w:r>
        <w:rPr>
          <w:rFonts w:ascii="Inter" w:hAnsi="Inter"/>
          <w:b w:val="0"/>
          <w:i w:val="0"/>
          <w:color w:val="1F2937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BE123C"/>
          <w:sz w:val="20"/>
        </w:rPr>
        <w:t>Lignée rouge</w:t>
      </w:r>
      <w:r>
        <w:rPr>
          <w:rFonts w:ascii="Inter" w:hAnsi="Inter"/>
          <w:b w:val="0"/>
          <w:i w:val="0"/>
          <w:color w:val="1F2937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BE123C"/>
          <w:sz w:val="20"/>
        </w:rPr>
        <w:t>Facteurs nutritionnels</w:t>
      </w:r>
      <w:r>
        <w:rPr>
          <w:rFonts w:ascii="Inter" w:hAnsi="Inter"/>
          <w:b w:val="0"/>
          <w:i w:val="0"/>
          <w:color w:val="1F2937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BE123C"/>
          <w:sz w:val="20"/>
        </w:rPr>
        <w:t>Autres lignées</w:t>
      </w:r>
      <w:r>
        <w:rPr>
          <w:rFonts w:ascii="Inter" w:hAnsi="Inter"/>
          <w:b w:val="0"/>
          <w:i w:val="0"/>
          <w:color w:val="1F2937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BE123C"/>
          <w:sz w:val="20"/>
        </w:rPr>
        <w:t>Exploration</w:t>
      </w:r>
      <w:r>
        <w:rPr>
          <w:rFonts w:ascii="Inter" w:hAnsi="Inter"/>
          <w:b w:val="0"/>
          <w:i w:val="0"/>
          <w:color w:val="1F2937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BE123C"/>
          <w:sz w:val="20"/>
        </w:rPr>
        <w:t>Hémopathies</w:t>
      </w:r>
      <w:r>
        <w:rPr>
          <w:rFonts w:ascii="Inter" w:hAnsi="Inter"/>
          <w:b w:val="0"/>
          <w:i w:val="0"/>
          <w:color w:val="1F2937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Chez l'adulte, la </w:t>
      </w:r>
      <w:r>
        <w:rPr>
          <w:rFonts w:ascii="Inter" w:hAnsi="Inter"/>
          <w:b/>
          <w:i w:val="0"/>
          <w:color w:val="BE123C"/>
          <w:sz w:val="21"/>
        </w:rPr>
        <w:t>moelle osseuse</w:t>
      </w:r>
      <w:r>
        <w:rPr>
          <w:rFonts w:ascii="Inter" w:hAnsi="Inter"/>
          <w:b w:val="0"/>
          <w:i w:val="0"/>
          <w:color w:val="1F2937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BE123C"/>
          <w:sz w:val="21"/>
        </w:rPr>
        <w:t>exclusif</w:t>
      </w:r>
      <w:r>
        <w:rPr>
          <w:rFonts w:ascii="Inter" w:hAnsi="Inter"/>
          <w:b w:val="0"/>
          <w:i w:val="0"/>
          <w:color w:val="1F2937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assurent l'</w:t>
      </w:r>
      <w:r>
        <w:rPr>
          <w:rFonts w:ascii="Inter" w:hAnsi="Inter"/>
          <w:b/>
          <w:i w:val="0"/>
          <w:color w:val="BE123C"/>
          <w:sz w:val="21"/>
        </w:rPr>
        <w:t>auto-renouvellement</w:t>
      </w:r>
      <w:r>
        <w:rPr>
          <w:rFonts w:ascii="Inter" w:hAnsi="Inter"/>
          <w:b w:val="0"/>
          <w:i w:val="0"/>
          <w:color w:val="1F2937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BE123C"/>
          <w:sz w:val="21"/>
        </w:rPr>
        <w:t>quiescentes</w:t>
      </w:r>
      <w:r>
        <w:rPr>
          <w:rFonts w:ascii="Inter" w:hAnsi="Inter"/>
          <w:b w:val="0"/>
          <w:i w:val="0"/>
          <w:color w:val="1F2937"/>
          <w:sz w:val="21"/>
        </w:rPr>
        <w:t xml:space="preserve"> et expriment le </w:t>
      </w:r>
      <w:r>
        <w:rPr>
          <w:rFonts w:ascii="Inter" w:hAnsi="Inter"/>
          <w:b/>
          <w:i w:val="0"/>
          <w:color w:val="BE123C"/>
          <w:sz w:val="21"/>
        </w:rPr>
        <w:t>CD34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cascade comprend </w:t>
      </w:r>
      <w:r>
        <w:rPr>
          <w:rFonts w:ascii="Inter" w:hAnsi="Inter"/>
          <w:b/>
          <w:i w:val="0"/>
          <w:color w:val="BE123C"/>
          <w:sz w:val="21"/>
        </w:rPr>
        <w:t>3 compartiments</w:t>
      </w:r>
      <w:r>
        <w:rPr>
          <w:rFonts w:ascii="Inter" w:hAnsi="Inter"/>
          <w:b w:val="0"/>
          <w:i w:val="0"/>
          <w:color w:val="1F2937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EPO</w:t>
      </w:r>
      <w:r>
        <w:rPr>
          <w:rFonts w:ascii="Inter" w:hAnsi="Inter"/>
          <w:b w:val="0"/>
          <w:i w:val="0"/>
          <w:color w:val="1F2937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BE123C"/>
          <w:sz w:val="21"/>
        </w:rPr>
        <w:t>TPO</w:t>
      </w:r>
      <w:r>
        <w:rPr>
          <w:rFonts w:ascii="Inter" w:hAnsi="Inter"/>
          <w:b w:val="0"/>
          <w:i w:val="0"/>
          <w:color w:val="1F2937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érythropoïèse</w:t>
      </w:r>
      <w:r>
        <w:rPr>
          <w:rFonts w:ascii="Inter" w:hAnsi="Inter"/>
          <w:b w:val="0"/>
          <w:i w:val="0"/>
          <w:color w:val="1F2937"/>
          <w:sz w:val="21"/>
        </w:rPr>
        <w:t xml:space="preserve"> dure 7 jours ; le </w:t>
      </w:r>
      <w:r>
        <w:rPr>
          <w:rFonts w:ascii="Inter" w:hAnsi="Inter"/>
          <w:b/>
          <w:i w:val="0"/>
          <w:color w:val="BE123C"/>
          <w:sz w:val="21"/>
        </w:rPr>
        <w:t>réticulocyte</w:t>
      </w:r>
      <w:r>
        <w:rPr>
          <w:rFonts w:ascii="Inter" w:hAnsi="Inter"/>
          <w:b w:val="0"/>
          <w:i w:val="0"/>
          <w:color w:val="1F2937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vitamine B12</w:t>
      </w:r>
      <w:r>
        <w:rPr>
          <w:rFonts w:ascii="Inter" w:hAnsi="Inter"/>
          <w:b w:val="0"/>
          <w:i w:val="0"/>
          <w:color w:val="1F2937"/>
          <w:sz w:val="21"/>
        </w:rPr>
        <w:t xml:space="preserve"> est absorbée dans l'</w:t>
      </w:r>
      <w:r>
        <w:rPr>
          <w:rFonts w:ascii="Inter" w:hAnsi="Inter"/>
          <w:b/>
          <w:i w:val="0"/>
          <w:color w:val="BE123C"/>
          <w:sz w:val="21"/>
        </w:rPr>
        <w:t>iléon</w:t>
      </w:r>
      <w:r>
        <w:rPr>
          <w:rFonts w:ascii="Inter" w:hAnsi="Inter"/>
          <w:b w:val="0"/>
          <w:i w:val="0"/>
          <w:color w:val="1F2937"/>
          <w:sz w:val="21"/>
        </w:rPr>
        <w:t xml:space="preserve"> grâce au </w:t>
      </w:r>
      <w:r>
        <w:rPr>
          <w:rFonts w:ascii="Inter" w:hAnsi="Inter"/>
          <w:b/>
          <w:i w:val="0"/>
          <w:color w:val="BE123C"/>
          <w:sz w:val="21"/>
        </w:rPr>
        <w:t>facteur intrinsèque</w:t>
      </w:r>
      <w:r>
        <w:rPr>
          <w:rFonts w:ascii="Inter" w:hAnsi="Inter"/>
          <w:b w:val="0"/>
          <w:i w:val="0"/>
          <w:color w:val="1F2937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</w:t>
      </w:r>
      <w:r>
        <w:rPr>
          <w:rFonts w:ascii="Inter" w:hAnsi="Inter"/>
          <w:b/>
          <w:i w:val="0"/>
          <w:color w:val="BE123C"/>
          <w:sz w:val="21"/>
        </w:rPr>
        <w:t>fer</w:t>
      </w:r>
      <w:r>
        <w:rPr>
          <w:rFonts w:ascii="Inter" w:hAnsi="Inter"/>
          <w:b w:val="0"/>
          <w:i w:val="0"/>
          <w:color w:val="1F2937"/>
          <w:sz w:val="21"/>
        </w:rPr>
        <w:t xml:space="preserve"> est régulé par l'</w:t>
      </w:r>
      <w:r>
        <w:rPr>
          <w:rFonts w:ascii="Inter" w:hAnsi="Inter"/>
          <w:b/>
          <w:i w:val="0"/>
          <w:color w:val="BE123C"/>
          <w:sz w:val="21"/>
        </w:rPr>
        <w:t>hepcidine</w:t>
      </w:r>
      <w:r>
        <w:rPr>
          <w:rFonts w:ascii="Inter" w:hAnsi="Inter"/>
          <w:b w:val="0"/>
          <w:i w:val="0"/>
          <w:color w:val="1F2937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BE123C"/>
          <w:sz w:val="21"/>
        </w:rPr>
        <w:t>microcytaire</w:t>
      </w:r>
      <w:r>
        <w:rPr>
          <w:rFonts w:ascii="Inter" w:hAnsi="Inter"/>
          <w:b w:val="0"/>
          <w:i w:val="0"/>
          <w:color w:val="1F2937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BE123C"/>
          <w:sz w:val="21"/>
        </w:rPr>
        <w:t>macrocytaire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BE123C"/>
          <w:sz w:val="21"/>
        </w:rPr>
        <w:t>clone</w:t>
      </w:r>
      <w:r>
        <w:rPr>
          <w:rFonts w:ascii="Inter" w:hAnsi="Inter"/>
          <w:b w:val="0"/>
          <w:i w:val="0"/>
          <w:color w:val="1F2937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BE123C"/>
          <w:sz w:val="21"/>
        </w:rPr>
        <w:t>leucémie aiguë</w:t>
      </w:r>
      <w:r>
        <w:rPr>
          <w:rFonts w:ascii="Inter" w:hAnsi="Inter"/>
          <w:b w:val="0"/>
          <w:i w:val="0"/>
          <w:color w:val="1F2937"/>
          <w:sz w:val="21"/>
        </w:rPr>
        <w:t xml:space="preserve">, conservée → </w:t>
      </w:r>
      <w:r>
        <w:rPr>
          <w:rFonts w:ascii="Inter" w:hAnsi="Inter"/>
          <w:b/>
          <w:i w:val="0"/>
          <w:color w:val="BE123C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CA3AF"/>
        <w:spacing w:val="24"/>
        <w:sz w:val="16"/>
      </w:rPr>
      <w:t>MAJOR ECN  ·  2025-2026</w:t>
      <w:tab/>
    </w:r>
    <w:r>
      <w:rPr>
        <w:rFonts w:ascii="Inter" w:hAnsi="Inter"/>
        <w:b/>
        <w:color w:val="E11D48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E11D48"/>
        <w:sz w:val="17"/>
      </w:rPr>
      <w:t xml:space="preserve">  /  </w:t>
    </w:r>
    <w:r>
      <w:rPr>
        <w:rFonts w:ascii="Inter" w:hAnsi="Inter"/>
        <w:b/>
        <w:color w:val="E11D48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</w:pPr>
    <w:r/>
    <w:r>
      <w:rPr>
        <w:rFonts w:ascii="Inter" w:hAnsi="Inter"/>
        <w:i/>
        <w:color w:val="9CA3AF"/>
        <w:sz w:val="16"/>
      </w:rPr>
      <w:t>Hématopoïèse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