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E11D48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CARDIOLOGIE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937"/>
                <w:sz w:val="68"/>
              </w:rPr>
              <w:t>Hypertension Artérielle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937"/>
                <w:sz w:val="32"/>
              </w:rPr>
              <w:t>Année 2025-2026</w:t>
            </w:r>
          </w:p>
          <w:p>
            <w:pPr>
              <w:jc w:val="center"/>
            </w:pPr>
            <w:r>
              <w:rPr>
                <w:rFonts w:ascii="Inter" w:hAnsi="Inter"/>
                <w:color w:val="9CA3AF"/>
                <w:spacing w:val="40"/>
                <w:sz w:val="18"/>
              </w:rPr>
              <w:t>ITEM 224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E11D48"/>
                <w:sz w:val="24"/>
              </w:rPr>
              <w:t>Item 224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F2937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F2937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F2937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E11D48"/>
          <w:bottom w:val="single" w:sz="12" w:space="6" w:color="E11D48"/>
        </w:pBdr>
        <w:spacing w:before="80"/>
        <w:jc w:val="center"/>
      </w:pPr>
      <w:r>
        <w:rPr>
          <w:rFonts w:ascii="Playfair Display" w:hAnsi="Playfair Display"/>
          <w:b/>
          <w:color w:val="1F2937"/>
          <w:sz w:val="48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Cardiologie  ·  Hypertension Artérielle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I.  </w:t>
      </w:r>
      <w:r>
        <w:rPr>
          <w:rFonts w:ascii="Cormorant Garamond" w:hAnsi="Cormorant Garamond"/>
          <w:b/>
          <w:color w:val="1F2937"/>
          <w:sz w:val="27"/>
        </w:rPr>
        <w:t>Définition et épidémiologie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Cadre nosologique de l'HTA et poids de santé publique.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Définitions et seuils</w:t>
      </w:r>
      <w:r>
        <w:rPr>
          <w:rFonts w:ascii="Cormorant Garamond" w:hAnsi="Cormorant Garamond"/>
          <w:i/>
          <w:color w:val="9CA3AF"/>
          <w:sz w:val="20"/>
        </w:rPr>
        <w:t xml:space="preserve"> — Seuils tensionnels et grades.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Épidémiologie</w:t>
      </w:r>
      <w:r>
        <w:rPr>
          <w:rFonts w:ascii="Cormorant Garamond" w:hAnsi="Cormorant Garamond"/>
          <w:i/>
          <w:color w:val="9CA3AF"/>
          <w:sz w:val="20"/>
        </w:rPr>
        <w:t xml:space="preserve"> — Prévalence et facteurs de risque.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II.  </w:t>
      </w:r>
      <w:r>
        <w:rPr>
          <w:rFonts w:ascii="Cormorant Garamond" w:hAnsi="Cormorant Garamond"/>
          <w:b/>
          <w:color w:val="1F2937"/>
          <w:sz w:val="27"/>
        </w:rPr>
        <w:t>Diagnostic et bilan initial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Confirmation diagnostique et recherche du retentissement.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 de la pression artérielle</w:t>
      </w:r>
      <w:r>
        <w:rPr>
          <w:rFonts w:ascii="Cormorant Garamond" w:hAnsi="Cormorant Garamond"/>
          <w:i/>
          <w:color w:val="9CA3AF"/>
          <w:sz w:val="20"/>
        </w:rPr>
        <w:t xml:space="preserve"> — Conditions de mesure et MAPA.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Bilan de retentissement</w:t>
      </w:r>
      <w:r>
        <w:rPr>
          <w:rFonts w:ascii="Cormorant Garamond" w:hAnsi="Cormorant Garamond"/>
          <w:i/>
          <w:color w:val="9CA3AF"/>
          <w:sz w:val="20"/>
        </w:rPr>
        <w:t xml:space="preserve"> — Atteinte des organes cibles.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III.  </w:t>
      </w:r>
      <w:r>
        <w:rPr>
          <w:rFonts w:ascii="Cormorant Garamond" w:hAnsi="Cormorant Garamond"/>
          <w:b/>
          <w:color w:val="1F2937"/>
          <w:sz w:val="27"/>
        </w:rPr>
        <w:t>Prise en charge thérapeutique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Mesures hygiéno-diététiques et traitement médicamenteux.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Mesures non médicamenteuses</w:t>
      </w:r>
      <w:r>
        <w:rPr>
          <w:rFonts w:ascii="Cormorant Garamond" w:hAnsi="Cormorant Garamond"/>
          <w:i/>
          <w:color w:val="9CA3AF"/>
          <w:sz w:val="20"/>
        </w:rPr>
        <w:t xml:space="preserve"> — Règles hygiéno-diététiques.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Traitement médicamenteux</w:t>
      </w:r>
      <w:r>
        <w:rPr>
          <w:rFonts w:ascii="Cormorant Garamond" w:hAnsi="Cormorant Garamond"/>
          <w:i/>
          <w:color w:val="9CA3AF"/>
          <w:sz w:val="20"/>
        </w:rPr>
        <w:t xml:space="preserve"> — Classes et stratégie d'association.</w:t>
      </w: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I.  Définition et épidémiologie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Définitions et seuils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Définition de l'HTA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Hypertension artérielle (HTA)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pression artérielle systolique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140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et/ou diastolique (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)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diagnostic confirmé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consultations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distinctes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en automesure, seuil abaissé à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≥ 135/85 mmHg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Grades de sévérité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1644"/>
              <w:gridCol w:w="1644"/>
              <w:gridCol w:w="1644"/>
            </w:tblGrid>
            <w:tr>
              <w:tc>
                <w:tcPr>
                  <w:tcW w:type="dxa" w:w="1644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Grade</w:t>
                  </w:r>
                </w:p>
              </w:tc>
              <w:tc>
                <w:tcPr>
                  <w:tcW w:type="dxa" w:w="1644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PAS (mmHg)</w:t>
                  </w:r>
                </w:p>
              </w:tc>
              <w:tc>
                <w:tcPr>
                  <w:tcW w:type="dxa" w:w="1644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PAD (mmHg)</w:t>
                  </w:r>
                </w:p>
              </w:tc>
            </w:tr>
            <w:tr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1</w:t>
                  </w:r>
                </w:p>
              </w:tc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140-159</w:t>
                  </w:r>
                </w:p>
              </w:tc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90-99</w:t>
                  </w:r>
                </w:p>
              </w:tc>
            </w:tr>
            <w:tr>
              <w:tc>
                <w:tcPr>
                  <w:tcW w:type="dxa" w:w="1644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2</w:t>
                  </w:r>
                </w:p>
              </w:tc>
              <w:tc>
                <w:tcPr>
                  <w:tcW w:type="dxa" w:w="1644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160-179</w:t>
                  </w:r>
                </w:p>
              </w:tc>
              <w:tc>
                <w:tcPr>
                  <w:tcW w:type="dxa" w:w="1644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100-109</w:t>
                  </w:r>
                </w:p>
              </w:tc>
            </w:tr>
            <w:tr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3</w:t>
                  </w:r>
                </w:p>
              </w:tc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180</w:t>
                  </w:r>
                </w:p>
              </w:tc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110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HTA blouse blanche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élévation tensionnelle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 cabinet uniquement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à confirmer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MAPA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automesure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à ne pas confondre avec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(normale au cabinet, élevée en ambulatoire)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Épidémiologie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Prévalence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population adulte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augmente avec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âge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premier motif de consultation en médecine générale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Facteurs de risque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âge, sexe masculin, hérédité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surpoids, sédentarité, consommation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alcool, tabac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II.  Diagnostic et bilan initial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 de la pression artérielle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Conditions de 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patient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repos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depuis 5 minutes, assis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brassard adapté à la circonférence du bras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aux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bras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lors du bilan initial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MAPA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ambulatoire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PA sur 24 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examen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référence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confirmer le diagnostic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dépiste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Automesure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règle des 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3 mesures matin et soir, 3 jours de suite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Bilan de retentissement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Organes cibles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Cœur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ECG, hypertrophie ventriculaire 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créatininémie,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DFG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protéinurie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Œil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rétinopathie hypertensive si HTA sévère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Bilan biologique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kaliémie, glycémie à jeun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bilan lipidique, créatininémie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HTA secondaire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à rechercher si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résistante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sujet jeune ou signes d'orientation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III.  Prise en charge thérapeutique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Mesures non médicamenteuses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Règles hygiéno-diététiques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réduction des apports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(&lt; 6 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poids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en cas de surpoids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activité physique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régulière (30 min/j)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limitation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alcool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arrêt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tabac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Traitement médicamenteux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Classes de 1re intention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1644"/>
              <w:gridCol w:w="1644"/>
              <w:gridCol w:w="1644"/>
            </w:tblGrid>
            <w:tr>
              <w:tc>
                <w:tcPr>
                  <w:tcW w:type="dxa" w:w="1644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Classe</w:t>
                  </w:r>
                </w:p>
              </w:tc>
              <w:tc>
                <w:tcPr>
                  <w:tcW w:type="dxa" w:w="1644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Exemple</w:t>
                  </w:r>
                </w:p>
              </w:tc>
              <w:tc>
                <w:tcPr>
                  <w:tcW w:type="dxa" w:w="1644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Indication préférentielle</w:t>
                  </w:r>
                </w:p>
              </w:tc>
            </w:tr>
            <w:tr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IEC</w:t>
                  </w:r>
                </w:p>
              </w:tc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Ramipril</w:t>
                  </w:r>
                </w:p>
              </w:tc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Diabète, insuffisance cardiaque</w:t>
                  </w:r>
                </w:p>
              </w:tc>
            </w:tr>
            <w:tr>
              <w:tc>
                <w:tcPr>
                  <w:tcW w:type="dxa" w:w="1644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ARA II</w:t>
                  </w:r>
                </w:p>
              </w:tc>
              <w:tc>
                <w:tcPr>
                  <w:tcW w:type="dxa" w:w="1644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Losartan</w:t>
                  </w:r>
                </w:p>
              </w:tc>
              <w:tc>
                <w:tcPr>
                  <w:tcW w:type="dxa" w:w="1644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Intolérance aux IEC (toux)</w:t>
                  </w:r>
                </w:p>
              </w:tc>
            </w:tr>
            <w:tr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Inhibiteur calcique</w:t>
                  </w:r>
                </w:p>
              </w:tc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Amlodipine</w:t>
                  </w:r>
                </w:p>
              </w:tc>
              <w:tc>
                <w:tcPr>
                  <w:tcW w:type="dxa" w:w="1644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  <w:tr>
              <w:tc>
                <w:tcPr>
                  <w:tcW w:type="dxa" w:w="1644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Diurétique thiazidique</w:t>
                  </w:r>
                </w:p>
              </w:tc>
              <w:tc>
                <w:tcPr>
                  <w:tcW w:type="dxa" w:w="1644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HCTZ</w:t>
                  </w:r>
                </w:p>
              </w:tc>
              <w:tc>
                <w:tcPr>
                  <w:tcW w:type="dxa" w:w="1644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Stratégie thérapeutique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bithérapie d'emblée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souvent recommandée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privilégier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associations fixes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objectif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140/90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voire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130/80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si bien toléré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Grades de sévérité de l'HTA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90-99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100-109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Classes thérapeutiques de première intention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Diabète, insuffisance cardiaque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Intolérance aux IEC (toux)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âgé, sujet noir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Hydrochlorothiazide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400"/>
        <w:jc w:val="center"/>
      </w:pPr>
      <w:r>
        <w:rPr>
          <w:rFonts w:ascii="Inter" w:hAnsi="Inter"/>
          <w:color w:val="C9A961"/>
          <w:spacing w:val="60"/>
          <w:sz w:val="19"/>
        </w:rPr>
        <w:t>L'ESSENTIEL</w:t>
      </w:r>
    </w:p>
    <w:p>
      <w:pPr>
        <w:jc w:val="center"/>
      </w:pPr>
      <w:r>
        <w:rPr>
          <w:rFonts w:ascii="Playfair Display" w:hAnsi="Playfair Display"/>
          <w:b/>
          <w:color w:val="1F2937"/>
          <w:sz w:val="52"/>
        </w:rPr>
        <w:t>À retenir absolument</w:t>
      </w:r>
    </w:p>
    <w:p>
      <w:pPr>
        <w:spacing w:after="280"/>
        <w:jc w:val="center"/>
      </w:pPr>
      <w:r>
        <w:rPr>
          <w:rFonts w:ascii="Cormorant Garamond" w:hAnsi="Cormorant Garamond"/>
          <w:i/>
          <w:color w:val="E11D48"/>
          <w:sz w:val="26"/>
        </w:rPr>
        <w:t>Hypertension Artérielle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>L'</w:t>
      </w:r>
      <w:r>
        <w:rPr>
          <w:rFonts w:ascii="Inter" w:hAnsi="Inter"/>
          <w:b/>
          <w:i w:val="0"/>
          <w:color w:val="BE123C"/>
          <w:sz w:val="22"/>
        </w:rPr>
        <w:t>HTA</w:t>
      </w:r>
      <w:r>
        <w:rPr>
          <w:rFonts w:ascii="Inter" w:hAnsi="Inter"/>
          <w:b w:val="0"/>
          <w:i w:val="0"/>
          <w:color w:val="1F2937"/>
          <w:sz w:val="22"/>
        </w:rPr>
        <w:t xml:space="preserve"> est définie par une PA </w:t>
      </w:r>
      <w:r>
        <w:rPr>
          <w:rFonts w:ascii="Inter" w:hAnsi="Inter"/>
          <w:b/>
          <w:i w:val="0"/>
          <w:color w:val="BE123C"/>
          <w:sz w:val="22"/>
        </w:rPr>
        <w:t>≥ 140/90 mmHg</w:t>
      </w:r>
      <w:r>
        <w:rPr>
          <w:rFonts w:ascii="Inter" w:hAnsi="Inter"/>
          <w:b w:val="0"/>
          <w:i w:val="0"/>
          <w:color w:val="1F2937"/>
          <w:sz w:val="22"/>
        </w:rPr>
        <w:t xml:space="preserve"> au cabinet, confirmée sur des mesures répétées.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La </w:t>
      </w:r>
      <w:r>
        <w:rPr>
          <w:rFonts w:ascii="Inter" w:hAnsi="Inter"/>
          <w:b/>
          <w:i w:val="0"/>
          <w:color w:val="BE123C"/>
          <w:sz w:val="22"/>
        </w:rPr>
        <w:t>MAPA</w:t>
      </w:r>
      <w:r>
        <w:rPr>
          <w:rFonts w:ascii="Inter" w:hAnsi="Inter"/>
          <w:b w:val="0"/>
          <w:i w:val="0"/>
          <w:color w:val="1F2937"/>
          <w:sz w:val="22"/>
        </w:rPr>
        <w:t xml:space="preserve"> et l'</w:t>
      </w:r>
      <w:r>
        <w:rPr>
          <w:rFonts w:ascii="Inter" w:hAnsi="Inter"/>
          <w:b/>
          <w:i w:val="0"/>
          <w:color w:val="BE123C"/>
          <w:sz w:val="22"/>
        </w:rPr>
        <w:t>automesure</w:t>
      </w:r>
      <w:r>
        <w:rPr>
          <w:rFonts w:ascii="Inter" w:hAnsi="Inter"/>
          <w:b w:val="0"/>
          <w:i w:val="0"/>
          <w:color w:val="1F2937"/>
          <w:sz w:val="22"/>
        </w:rPr>
        <w:t xml:space="preserve"> confirment le diagnostic et dépistent l'HTA blouse blanche et l'HTA masquée.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Le bilan initial recherche systématiquement une </w:t>
      </w:r>
      <w:r>
        <w:rPr>
          <w:rFonts w:ascii="Inter" w:hAnsi="Inter"/>
          <w:b/>
          <w:i w:val="0"/>
          <w:color w:val="BE123C"/>
          <w:sz w:val="22"/>
        </w:rPr>
        <w:t>atteinte des organes cibles</w:t>
      </w:r>
      <w:r>
        <w:rPr>
          <w:rFonts w:ascii="Inter" w:hAnsi="Inter"/>
          <w:b w:val="0"/>
          <w:i w:val="0"/>
          <w:color w:val="1F2937"/>
          <w:sz w:val="22"/>
        </w:rPr>
        <w:t xml:space="preserve"> et une </w:t>
      </w:r>
      <w:r>
        <w:rPr>
          <w:rFonts w:ascii="Inter" w:hAnsi="Inter"/>
          <w:b/>
          <w:i w:val="0"/>
          <w:color w:val="BE123C"/>
          <w:sz w:val="22"/>
        </w:rPr>
        <w:t>HTA secondaire</w:t>
      </w:r>
      <w:r>
        <w:rPr>
          <w:rFonts w:ascii="Inter" w:hAnsi="Inter"/>
          <w:b w:val="0"/>
          <w:i w:val="0"/>
          <w:color w:val="1F2937"/>
          <w:sz w:val="22"/>
        </w:rPr>
        <w:t>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Les </w:t>
      </w:r>
      <w:r>
        <w:rPr>
          <w:rFonts w:ascii="Inter" w:hAnsi="Inter"/>
          <w:b/>
          <w:i w:val="0"/>
          <w:color w:val="BE123C"/>
          <w:sz w:val="22"/>
        </w:rPr>
        <w:t>règles hygiéno-diététiques</w:t>
      </w:r>
      <w:r>
        <w:rPr>
          <w:rFonts w:ascii="Inter" w:hAnsi="Inter"/>
          <w:b w:val="0"/>
          <w:i w:val="0"/>
          <w:color w:val="1F2937"/>
          <w:sz w:val="22"/>
        </w:rPr>
        <w:t xml:space="preserve"> sont la base du traitement, toujours associées aux médicaments.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Cinq classes de première intention ; la </w:t>
      </w:r>
      <w:r>
        <w:rPr>
          <w:rFonts w:ascii="Inter" w:hAnsi="Inter"/>
          <w:b/>
          <w:i w:val="0"/>
          <w:color w:val="BE123C"/>
          <w:sz w:val="22"/>
        </w:rPr>
        <w:t>bithérapie</w:t>
      </w:r>
      <w:r>
        <w:rPr>
          <w:rFonts w:ascii="Inter" w:hAnsi="Inter"/>
          <w:b w:val="0"/>
          <w:i w:val="0"/>
          <w:color w:val="1F2937"/>
          <w:sz w:val="22"/>
        </w:rPr>
        <w:t xml:space="preserve"> est souvent instaurée d'emblée.</w:t>
      </w:r>
    </w:p>
    <w:p>
      <w:pPr>
        <w:pStyle w:val="ListBullet"/>
        <w:spacing w:after="120"/>
      </w:pPr>
      <w:r>
        <w:rPr>
          <w:rFonts w:ascii="Inter" w:hAnsi="Inter"/>
          <w:b w:val="0"/>
          <w:i w:val="0"/>
          <w:color w:val="1F2937"/>
          <w:sz w:val="22"/>
        </w:rPr>
        <w:t xml:space="preserve">L'objectif tensionnel est </w:t>
      </w:r>
      <w:r>
        <w:rPr>
          <w:rFonts w:ascii="Inter" w:hAnsi="Inter"/>
          <w:b/>
          <w:i w:val="0"/>
          <w:color w:val="BE123C"/>
          <w:sz w:val="22"/>
        </w:rPr>
        <w:t>&lt; 140/90 mmHg</w:t>
      </w:r>
      <w:r>
        <w:rPr>
          <w:rFonts w:ascii="Inter" w:hAnsi="Inter"/>
          <w:b w:val="0"/>
          <w:i w:val="0"/>
          <w:color w:val="1F2937"/>
          <w:sz w:val="22"/>
        </w:rPr>
        <w:t xml:space="preserve">, idéalement </w:t>
      </w:r>
      <w:r>
        <w:rPr>
          <w:rFonts w:ascii="Inter" w:hAnsi="Inter"/>
          <w:b/>
          <w:i w:val="0"/>
          <w:color w:val="BE123C"/>
          <w:sz w:val="22"/>
        </w:rPr>
        <w:t>&lt; 130/80 mmHg</w:t>
      </w:r>
      <w:r>
        <w:rPr>
          <w:rFonts w:ascii="Inter" w:hAnsi="Inter"/>
          <w:b w:val="0"/>
          <w:i w:val="0"/>
          <w:color w:val="1F2937"/>
          <w:sz w:val="22"/>
        </w:rPr>
        <w:t xml:space="preserve"> si la tolérance le permet.</w:t>
      </w:r>
    </w:p>
    <w:p>
      <w:pPr>
        <w:spacing w:before="400"/>
        <w:jc w:val="center"/>
      </w:pPr>
      <w:r>
        <w:drawing>
          <wp:inline xmlns:a="http://schemas.openxmlformats.org/drawingml/2006/main" xmlns:pic="http://schemas.openxmlformats.org/drawingml/2006/picture">
            <wp:extent cx="864000" cy="4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CA3AF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color w:val="9CA3AF"/>
        <w:spacing w:val="24"/>
        <w:sz w:val="16"/>
      </w:rPr>
      <w:t>MAJOR ECN  ·  2025-2026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E11D48"/>
      </w:pBdr>
      <w:tabs>
        <w:tab w:pos="9865" w:val="right"/>
      </w:tabs>
    </w:pPr>
    <w:r/>
    <w:r>
      <w:rPr>
        <w:rFonts w:ascii="Inter" w:hAnsi="Inter"/>
        <w:color w:val="9CA3AF"/>
        <w:sz w:val="16"/>
      </w:rPr>
      <w:fldChar w:fldCharType="begin"/>
      <w:instrText xml:space="preserve">PAGE</w:instrText>
      <w:fldChar w:fldCharType="end"/>
    </w:r>
    <w:r>
      <w:rPr>
        <w:rFonts w:ascii="Inter" w:hAnsi="Inter"/>
        <w:i/>
        <w:color w:val="9CA3AF"/>
        <w:sz w:val="16"/>
      </w:rPr>
      <w:tab/>
      <w:t>Hypertension Artérielle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