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287" w:hRule="atLeast"/>
        </w:trPr>
        <w:tc>
          <w:tcPr>
            <w:tcW w:type="dxa" w:w="737"/>
            <w:shd w:val="clear" w:color="auto" w:fill="1C2E49"/>
          </w:tcPr>
          <w:p/>
        </w:tc>
        <w:tc>
          <w:tcPr>
            <w:tcW w:type="dxa" w:w="9128"/>
            <w:vAlign w:val="top"/>
          </w:tcPr>
          <w:p>
            <w:pPr>
              <w:spacing w:after="16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512000" cy="9603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960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/>
            </w:pPr>
            <w:r>
              <w:rPr>
                <w:rFonts w:ascii="Inter" w:hAnsi="Inter"/>
                <w:b/>
                <w:color w:val="B5934A"/>
                <w:spacing w:val="60"/>
                <w:sz w:val="24"/>
              </w:rPr>
              <w:t>CARDIOLOGIE</w:t>
            </w:r>
          </w:p>
          <w:p>
            <w:pPr>
              <w:spacing w:before="160"/>
            </w:pPr>
            <w:r>
              <w:rPr>
                <w:rFonts w:ascii="Playfair Display" w:hAnsi="Playfair Display"/>
                <w:b/>
                <w:color w:val="1C2E49"/>
                <w:sz w:val="66"/>
              </w:rPr>
              <w:t>Hypertension Artérielle</w:t>
            </w:r>
          </w:p>
          <w:p>
            <w:pPr>
              <w:spacing w:before="120"/>
            </w:pPr>
            <w:r>
              <w:rPr>
                <w:rFonts w:ascii="Cormorant Garamond" w:hAnsi="Cormorant Garamond"/>
                <w:i/>
                <w:color w:val="8E99A8"/>
                <w:sz w:val="30"/>
              </w:rPr>
              <w:t>Année 2025-2026</w:t>
            </w:r>
          </w:p>
          <w:p>
            <w:pPr>
              <w:spacing w:before="60"/>
            </w:pPr>
            <w:r>
              <w:rPr>
                <w:rFonts w:ascii="Inter" w:hAnsi="Inter"/>
                <w:color w:val="8E99A8"/>
                <w:spacing w:val="30"/>
                <w:sz w:val="18"/>
              </w:rPr>
              <w:t>ITEM 224</w:t>
            </w:r>
          </w:p>
          <w:p>
            <w:pPr>
              <w:pBdr>
                <w:bottom w:val="single" w:sz="4" w:space="4" w:color="1C2E49"/>
              </w:pBdr>
              <w:spacing w:before="600" w:after="120"/>
            </w:pPr>
            <w:r>
              <w:rPr>
                <w:rFonts w:ascii="Inter" w:hAnsi="Inter"/>
                <w:b/>
                <w:color w:val="1C2E49"/>
                <w:spacing w:val="50"/>
                <w:sz w:val="19"/>
              </w:rPr>
              <w:t>PLAN DU COURS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I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Définition et épidémiologie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II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Diagnostic et bilan initial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6"/>
              </w:rPr>
              <w:t xml:space="preserve">III    </w:t>
            </w:r>
            <w:r>
              <w:rPr>
                <w:rFonts w:ascii="Cormorant Garamond" w:hAnsi="Cormorant Garamond"/>
                <w:b/>
                <w:color w:val="1F2A38"/>
                <w:sz w:val="25"/>
              </w:rPr>
              <w:t>Prise en charge thérapeutique</w:t>
            </w:r>
          </w:p>
          <w:p>
            <w:pPr>
              <w:pBdr>
                <w:bottom w:val="single" w:sz="4" w:space="4" w:color="1C2E49"/>
              </w:pBdr>
              <w:spacing w:before="520" w:after="120"/>
            </w:pPr>
            <w:r>
              <w:rPr>
                <w:rFonts w:ascii="Inter" w:hAnsi="Inter"/>
                <w:b/>
                <w:color w:val="1C2E49"/>
                <w:spacing w:val="50"/>
                <w:sz w:val="19"/>
              </w:rPr>
              <w:t>LÉGENDE</w:t>
            </w:r>
          </w:p>
          <w:p>
            <w:pPr>
              <w:spacing w:before="60"/>
            </w:pPr>
            <w:r>
              <w:rPr>
                <w:b/>
                <w:color w:val="B5934A"/>
                <w:sz w:val="22"/>
              </w:rPr>
              <w:t xml:space="preserve">★   </w:t>
            </w:r>
            <w:r>
              <w:rPr>
                <w:rFonts w:ascii="Inter" w:hAnsi="Inter"/>
                <w:color w:val="1F2A38"/>
                <w:sz w:val="19"/>
              </w:rPr>
              <w:t>Déjà tombé aux ECN</w:t>
            </w:r>
          </w:p>
          <w:p>
            <w:pPr>
              <w:spacing w:before="60"/>
            </w:pPr>
            <w:r>
              <w:rPr>
                <w:b/>
                <w:color w:val="1C2E49"/>
                <w:sz w:val="22"/>
              </w:rPr>
              <w:t xml:space="preserve">◆   </w:t>
            </w:r>
            <w:r>
              <w:rPr>
                <w:rFonts w:ascii="Inter" w:hAnsi="Inter"/>
                <w:color w:val="1F2A38"/>
                <w:sz w:val="19"/>
              </w:rPr>
              <w:t>Notion à haut rendement</w:t>
            </w:r>
          </w:p>
          <w:p>
            <w:pPr>
              <w:spacing w:before="60"/>
            </w:pPr>
            <w:r>
              <w:rPr>
                <w:b/>
                <w:color w:val="8C2F39"/>
                <w:sz w:val="22"/>
              </w:rPr>
              <w:t xml:space="preserve">⚠   </w:t>
            </w:r>
            <w:r>
              <w:rPr>
                <w:rFonts w:ascii="Inter" w:hAnsi="Inter"/>
                <w:color w:val="1F2A38"/>
                <w:sz w:val="19"/>
              </w:rPr>
              <w:t>Piège classique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Définitions et seuils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et/ou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deux consultations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automesure : seuil abaissé à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≥ 135/85 mmHg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Grade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PAS (mmHg)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PAD (mmHg)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140-159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90-99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160-179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100-109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≥ 180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1 — Étapes de la démarche diagnostique devant une pression artérielle élevée.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Ne pas confondre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(PA élevée au cabinet uniquement) et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(PA normale au cabinet, élevée en ambulatoire) : le pronostic diffère.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Épidémiologie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premier motif de consultation en médecine générale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surpoids, sédentarité,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alcool, tabac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L'HTA est un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facteur de risque cardiovasculaire majeur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AVC, insuffisance cardiaque, coronaropathie, néphropathie.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Mesure de la pression artérielle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lors du bilan initial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masquée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Automesure —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3 mesures matin et soir, 3 jours de suite.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Bilan de retentissement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rétinopathie hypertensive si HTA sévère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bilan lipidique, créatininémie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2 — Principaux organes cibles atteints par l'hypertension artérielle.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Rechercher 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secondaire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si HTA résistante, sujet jeune ou signes d'orientation.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Mesures non médicamenteuses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Traitement médicamenteux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Classe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Exemple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Indication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IEC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Ramipril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Diabète, IC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ARA II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Losartan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Intolérance aux IEC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I. calcique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Amlodipine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Sujet âgé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Diurétique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HCTZ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Stratégie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130/80 mmHg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5 classes — moyen mnémotechnique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A-B-C-D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1C2E49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Seuil HTA au cabinet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140/90 mmHg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sur 2 consultations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Seuil en automesure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135/85 mmHg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règle des 3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Apports en sel conseillés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6 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mesure hygiéno-diététique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Objectif tensionnel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140/90 mmHg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voire &lt; 130/80 si toléré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Prévalence de l'HTA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≈ 30 %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population adulte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90-99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100-109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Diabète, insuffisance cardiaque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Intolérance aux IEC (toux)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HCTZ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B5934A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A38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1C2E49"/>
          <w:sz w:val="26"/>
        </w:rPr>
        <w:t>Hypertension Artérielle</w:t>
      </w:r>
    </w:p>
    <w:p>
      <w:r>
        <w:rPr>
          <w:rFonts w:ascii="Inter" w:hAnsi="Inter"/>
          <w:b/>
          <w:i w:val="0"/>
          <w:color w:val="8C2F39"/>
          <w:sz w:val="20"/>
        </w:rPr>
        <w:t>Définition</w:t>
      </w:r>
      <w:r>
        <w:rPr>
          <w:rFonts w:ascii="Inter" w:hAnsi="Inter"/>
          <w:b w:val="0"/>
          <w:i w:val="0"/>
          <w:color w:val="1F2A38"/>
          <w:sz w:val="20"/>
        </w:rPr>
        <w:t xml:space="preserve"> : PA ≥ 140/90 mmHg au cabinet (135/85 en automesure), confirmée sur 2 consultations.</w:t>
      </w:r>
    </w:p>
    <w:p>
      <w:r>
        <w:rPr>
          <w:rFonts w:ascii="Inter" w:hAnsi="Inter"/>
          <w:b/>
          <w:i w:val="0"/>
          <w:color w:val="8C2F39"/>
          <w:sz w:val="20"/>
        </w:rPr>
        <w:t>Diagnostic</w:t>
      </w:r>
      <w:r>
        <w:rPr>
          <w:rFonts w:ascii="Inter" w:hAnsi="Inter"/>
          <w:b w:val="0"/>
          <w:i w:val="0"/>
          <w:color w:val="1F2A38"/>
          <w:sz w:val="20"/>
        </w:rPr>
        <w:t xml:space="preserve"> : MAPA = examen de référence ; rechercher HTA blouse blanche et HTA masquée.</w:t>
      </w:r>
    </w:p>
    <w:p>
      <w:r>
        <w:rPr>
          <w:rFonts w:ascii="Inter" w:hAnsi="Inter"/>
          <w:b/>
          <w:i w:val="0"/>
          <w:color w:val="8C2F39"/>
          <w:sz w:val="20"/>
        </w:rPr>
        <w:t>Bilan</w:t>
      </w:r>
      <w:r>
        <w:rPr>
          <w:rFonts w:ascii="Inter" w:hAnsi="Inter"/>
          <w:b w:val="0"/>
          <w:i w:val="0"/>
          <w:color w:val="1F2A38"/>
          <w:sz w:val="20"/>
        </w:rPr>
        <w:t xml:space="preserve"> : organes cibles (cœur, rein, œil) + bilan biologique minimal ; évoquer une HTA secondaire si résistance ou sujet jeune.</w:t>
      </w:r>
    </w:p>
    <w:p>
      <w:r>
        <w:rPr>
          <w:rFonts w:ascii="Inter" w:hAnsi="Inter"/>
          <w:b/>
          <w:i w:val="0"/>
          <w:color w:val="8C2F39"/>
          <w:sz w:val="20"/>
        </w:rPr>
        <w:t>Traitement</w:t>
      </w:r>
      <w:r>
        <w:rPr>
          <w:rFonts w:ascii="Inter" w:hAnsi="Inter"/>
          <w:b w:val="0"/>
          <w:i w:val="0"/>
          <w:color w:val="1F2A38"/>
          <w:sz w:val="20"/>
        </w:rPr>
        <w:t xml:space="preserve"> : RHD systématiques + 5 classes (IEC, ARA II, calciques, diurétiques, bêtabloquants) ; bithérapie d'emblée fréquente ; objectif &lt; 140/90 mmHg.</w:t>
      </w:r>
    </w:p>
    <w:p>
      <w:pPr>
        <w:pBdr>
          <w:bottom w:val="single" w:sz="4" w:space="4" w:color="B5934A"/>
        </w:pBdr>
        <w:spacing w:before="180" w:after="40"/>
      </w:pPr>
      <w:r>
        <w:rPr>
          <w:rFonts w:ascii="Cormorant Garamond" w:hAnsi="Cormorant Garamond"/>
          <w:b/>
          <w:color w:val="1C2E49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HTA</w:t>
      </w:r>
      <w:r>
        <w:rPr>
          <w:rFonts w:ascii="Inter" w:hAnsi="Inter"/>
          <w:b w:val="0"/>
          <w:i w:val="0"/>
          <w:color w:val="1F2A38"/>
          <w:sz w:val="21"/>
        </w:rPr>
        <w:t xml:space="preserve"> est définie par une PA </w:t>
      </w:r>
      <w:r>
        <w:rPr>
          <w:rFonts w:ascii="Inter" w:hAnsi="Inter"/>
          <w:b/>
          <w:i w:val="0"/>
          <w:color w:val="8C2F39"/>
          <w:sz w:val="21"/>
        </w:rPr>
        <w:t>≥ 140/90 mmHg</w:t>
      </w:r>
      <w:r>
        <w:rPr>
          <w:rFonts w:ascii="Inter" w:hAnsi="Inter"/>
          <w:b w:val="0"/>
          <w:i w:val="0"/>
          <w:color w:val="1F2A38"/>
          <w:sz w:val="21"/>
        </w:rPr>
        <w:t xml:space="preserve"> au cabinet, confirmée sur des mesures répétées.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</w:t>
      </w:r>
      <w:r>
        <w:rPr>
          <w:rFonts w:ascii="Inter" w:hAnsi="Inter"/>
          <w:b/>
          <w:i w:val="0"/>
          <w:color w:val="8C2F39"/>
          <w:sz w:val="21"/>
        </w:rPr>
        <w:t>MAPA</w:t>
      </w:r>
      <w:r>
        <w:rPr>
          <w:rFonts w:ascii="Inter" w:hAnsi="Inter"/>
          <w:b w:val="0"/>
          <w:i w:val="0"/>
          <w:color w:val="1F2A38"/>
          <w:sz w:val="21"/>
        </w:rPr>
        <w:t xml:space="preserve"> et l'</w:t>
      </w:r>
      <w:r>
        <w:rPr>
          <w:rFonts w:ascii="Inter" w:hAnsi="Inter"/>
          <w:b/>
          <w:i w:val="0"/>
          <w:color w:val="8C2F39"/>
          <w:sz w:val="21"/>
        </w:rPr>
        <w:t>automesure</w:t>
      </w:r>
      <w:r>
        <w:rPr>
          <w:rFonts w:ascii="Inter" w:hAnsi="Inter"/>
          <w:b w:val="0"/>
          <w:i w:val="0"/>
          <w:color w:val="1F2A38"/>
          <w:sz w:val="21"/>
        </w:rPr>
        <w:t xml:space="preserve"> confirment le diagnostic et dépistent l'HTA blouse blanche et l'HTA masquée.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 bilan initial recherche une </w:t>
      </w:r>
      <w:r>
        <w:rPr>
          <w:rFonts w:ascii="Inter" w:hAnsi="Inter"/>
          <w:b/>
          <w:i w:val="0"/>
          <w:color w:val="8C2F39"/>
          <w:sz w:val="21"/>
        </w:rPr>
        <w:t>atteinte des organes cibles</w:t>
      </w:r>
      <w:r>
        <w:rPr>
          <w:rFonts w:ascii="Inter" w:hAnsi="Inter"/>
          <w:b w:val="0"/>
          <w:i w:val="0"/>
          <w:color w:val="1F2A38"/>
          <w:sz w:val="21"/>
        </w:rPr>
        <w:t xml:space="preserve"> et une </w:t>
      </w:r>
      <w:r>
        <w:rPr>
          <w:rFonts w:ascii="Inter" w:hAnsi="Inter"/>
          <w:b/>
          <w:i w:val="0"/>
          <w:color w:val="8C2F39"/>
          <w:sz w:val="21"/>
        </w:rPr>
        <w:t>HTA secondaire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</w:t>
      </w:r>
      <w:r>
        <w:rPr>
          <w:rFonts w:ascii="Inter" w:hAnsi="Inter"/>
          <w:b/>
          <w:i w:val="0"/>
          <w:color w:val="8C2F39"/>
          <w:sz w:val="21"/>
        </w:rPr>
        <w:t>règles hygiéno-diététiques</w:t>
      </w:r>
      <w:r>
        <w:rPr>
          <w:rFonts w:ascii="Inter" w:hAnsi="Inter"/>
          <w:b w:val="0"/>
          <w:i w:val="0"/>
          <w:color w:val="1F2A38"/>
          <w:sz w:val="21"/>
        </w:rPr>
        <w:t xml:space="preserve"> sont la base du traitement.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Cinq classes de 1re intention ; la </w:t>
      </w:r>
      <w:r>
        <w:rPr>
          <w:rFonts w:ascii="Inter" w:hAnsi="Inter"/>
          <w:b/>
          <w:i w:val="0"/>
          <w:color w:val="8C2F39"/>
          <w:sz w:val="21"/>
        </w:rPr>
        <w:t>bithérapie</w:t>
      </w:r>
      <w:r>
        <w:rPr>
          <w:rFonts w:ascii="Inter" w:hAnsi="Inter"/>
          <w:b w:val="0"/>
          <w:i w:val="0"/>
          <w:color w:val="1F2A38"/>
          <w:sz w:val="21"/>
        </w:rPr>
        <w:t xml:space="preserve"> est souvent d'emblée.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Objectif : </w:t>
      </w:r>
      <w:r>
        <w:rPr>
          <w:rFonts w:ascii="Inter" w:hAnsi="Inter"/>
          <w:b/>
          <w:i w:val="0"/>
          <w:color w:val="8C2F39"/>
          <w:sz w:val="21"/>
        </w:rPr>
        <w:t>&lt; 140/90 mmHg</w:t>
      </w:r>
      <w:r>
        <w:rPr>
          <w:rFonts w:ascii="Inter" w:hAnsi="Inter"/>
          <w:b w:val="0"/>
          <w:i w:val="0"/>
          <w:color w:val="1F2A38"/>
          <w:sz w:val="21"/>
        </w:rPr>
        <w:t xml:space="preserve">, idéalement </w:t>
      </w:r>
      <w:r>
        <w:rPr>
          <w:rFonts w:ascii="Inter" w:hAnsi="Inter"/>
          <w:b/>
          <w:i w:val="0"/>
          <w:color w:val="8C2F39"/>
          <w:sz w:val="21"/>
        </w:rPr>
        <w:t>&lt; 130/80 mmHg</w:t>
      </w:r>
      <w:r>
        <w:rPr>
          <w:rFonts w:ascii="Inter" w:hAnsi="Inter"/>
          <w:b w:val="0"/>
          <w:i w:val="0"/>
          <w:color w:val="1F2A38"/>
          <w:sz w:val="21"/>
        </w:rPr>
        <w:t xml:space="preserve"> si toléré.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5030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50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8E99A8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8E99A8"/>
        <w:spacing w:val="24"/>
        <w:sz w:val="16"/>
      </w:rPr>
      <w:t>MAJOR ECN  ·  2025-2026</w:t>
      <w:tab/>
    </w:r>
    <w:r>
      <w:rPr>
        <w:rFonts w:ascii="Inter" w:hAnsi="Inter"/>
        <w:b/>
        <w:color w:val="1C2E49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1C2E49"/>
        <w:sz w:val="17"/>
      </w:rPr>
      <w:t xml:space="preserve">  /  </w:t>
    </w:r>
    <w:r>
      <w:rPr>
        <w:rFonts w:ascii="Inter" w:hAnsi="Inter"/>
        <w:b/>
        <w:color w:val="1C2E49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C2E49"/>
      </w:pBdr>
    </w:pPr>
    <w:r/>
    <w:r>
      <w:rPr>
        <w:rFonts w:ascii="Inter" w:hAnsi="Inter"/>
        <w:i/>
        <w:color w:val="8E99A8"/>
        <w:sz w:val="16"/>
      </w:rPr>
      <w:t>Hypertension Artérielle</w:t>
    </w: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MajorEcnWatermark" o:spid="_x0000_s2051" type="#_x0000_t75" o:allowincell="f" style="position:absolute;margin-left:0;margin-top:0;width:442.2pt;height:280.9pt;z-index:251659264;mso-position-horizontal:center;mso-position-horizontal-relative:page;mso-position-vertical:center;mso-position-vertical-relative:page">
          <v:imagedata r:id="rId1" o:title="Major ECN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