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1C2E49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A38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A38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8E99A8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C2E49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B5934A"/>
                <w:sz w:val="22"/>
              </w:rPr>
              <w:t xml:space="preserve">★  </w:t>
            </w:r>
            <w:r>
              <w:rPr>
                <w:rFonts w:ascii="Inter" w:hAnsi="Inter"/>
                <w:color w:val="1F2A38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1C2E49"/>
                <w:sz w:val="22"/>
              </w:rPr>
              <w:t xml:space="preserve">◆  </w:t>
            </w:r>
            <w:r>
              <w:rPr>
                <w:rFonts w:ascii="Inter" w:hAnsi="Inter"/>
                <w:color w:val="1F2A38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8C2F39"/>
                <w:sz w:val="22"/>
              </w:rPr>
              <w:t xml:space="preserve">⚠  </w:t>
            </w:r>
            <w:r>
              <w:rPr>
                <w:rFonts w:ascii="Inter" w:hAnsi="Inter"/>
                <w:color w:val="1F2A38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1C2E49"/>
          <w:bottom w:val="single" w:sz="12" w:space="6" w:color="1C2E49"/>
        </w:pBdr>
        <w:spacing w:before="80"/>
        <w:jc w:val="center"/>
      </w:pPr>
      <w:r>
        <w:rPr>
          <w:rFonts w:ascii="Playfair Display" w:hAnsi="Playfair Display"/>
          <w:b/>
          <w:color w:val="1F2A38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B5934A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I.  </w:t>
      </w:r>
      <w:r>
        <w:rPr>
          <w:rFonts w:ascii="Cormorant Garamond" w:hAnsi="Cormorant Garamond"/>
          <w:b/>
          <w:color w:val="1F2A38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8E99A8"/>
          <w:sz w:val="20"/>
        </w:rPr>
        <w:t xml:space="preserve"> — Seuils et grades.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8E99A8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II.  </w:t>
      </w:r>
      <w:r>
        <w:rPr>
          <w:rFonts w:ascii="Cormorant Garamond" w:hAnsi="Cormorant Garamond"/>
          <w:b/>
          <w:color w:val="1F2A38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Confirmation et recherche du retentissement.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8E99A8"/>
          <w:sz w:val="20"/>
        </w:rPr>
        <w:t xml:space="preserve"> — Conditions et MAPA.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8E99A8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III.  </w:t>
      </w:r>
      <w:r>
        <w:rPr>
          <w:rFonts w:ascii="Cormorant Garamond" w:hAnsi="Cormorant Garamond"/>
          <w:b/>
          <w:color w:val="1F2A38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8E99A8"/>
          <w:sz w:val="20"/>
        </w:rPr>
        <w:t xml:space="preserve"> — RHD.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8E99A8"/>
          <w:sz w:val="20"/>
        </w:rPr>
        <w:t xml:space="preserve"> — Classes.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Définitions et seuils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≥ 135/85 mmHg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PAD (mmHg)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90-99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100-109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1 — Étapes de la démarche diagnostique devant une pression artérielle élevée.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Épidémiologie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premier motif de consultation en médecine générale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alcool, tabac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Mesure de la pression artérielle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lors du bilan initial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masquée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Bilan de retentissement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rétinopathie hypertensive si HTA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bilan lipidique, créatininémie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2 — Principaux organes cibles atteints par l'hypertension artérielle.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Mesures non médicamenteuses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Traitement médicamenteux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Indication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Diabète, 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Intolérance aux IEC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Sujet âgé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130/80 mmHg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sur 2 consultations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règle des 3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mesure hygiéno-diététique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voire &lt; 130/80 si toléré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90-99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100-109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Diabète, insuffisance cardiaque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Intolérance aux IEC (toux)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HCTZ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B5934A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A38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1C2E49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8C2F39"/>
          <w:sz w:val="20"/>
        </w:rPr>
        <w:t>Définition</w:t>
      </w:r>
      <w:r>
        <w:rPr>
          <w:rFonts w:ascii="Inter" w:hAnsi="Inter"/>
          <w:b w:val="0"/>
          <w:i w:val="0"/>
          <w:color w:val="1F2A38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8C2F39"/>
          <w:sz w:val="20"/>
        </w:rPr>
        <w:t>Diagnostic</w:t>
      </w:r>
      <w:r>
        <w:rPr>
          <w:rFonts w:ascii="Inter" w:hAnsi="Inter"/>
          <w:b w:val="0"/>
          <w:i w:val="0"/>
          <w:color w:val="1F2A38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8C2F39"/>
          <w:sz w:val="20"/>
        </w:rPr>
        <w:t>Bilan</w:t>
      </w:r>
      <w:r>
        <w:rPr>
          <w:rFonts w:ascii="Inter" w:hAnsi="Inter"/>
          <w:b w:val="0"/>
          <w:i w:val="0"/>
          <w:color w:val="1F2A38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8C2F39"/>
          <w:sz w:val="20"/>
        </w:rPr>
        <w:t>Traitement</w:t>
      </w:r>
      <w:r>
        <w:rPr>
          <w:rFonts w:ascii="Inter" w:hAnsi="Inter"/>
          <w:b w:val="0"/>
          <w:i w:val="0"/>
          <w:color w:val="1F2A38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B5934A"/>
        </w:pBdr>
        <w:spacing w:before="180" w:after="40"/>
      </w:pPr>
      <w:r>
        <w:rPr>
          <w:rFonts w:ascii="Cormorant Garamond" w:hAnsi="Cormorant Garamond"/>
          <w:b/>
          <w:color w:val="1C2E49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HTA</w:t>
      </w:r>
      <w:r>
        <w:rPr>
          <w:rFonts w:ascii="Inter" w:hAnsi="Inter"/>
          <w:b w:val="0"/>
          <w:i w:val="0"/>
          <w:color w:val="1F2A38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8C2F39"/>
          <w:sz w:val="21"/>
        </w:rPr>
        <w:t>≥ 140/90 mmHg</w:t>
      </w:r>
      <w:r>
        <w:rPr>
          <w:rFonts w:ascii="Inter" w:hAnsi="Inter"/>
          <w:b w:val="0"/>
          <w:i w:val="0"/>
          <w:color w:val="1F2A38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</w:t>
      </w:r>
      <w:r>
        <w:rPr>
          <w:rFonts w:ascii="Inter" w:hAnsi="Inter"/>
          <w:b/>
          <w:i w:val="0"/>
          <w:color w:val="8C2F39"/>
          <w:sz w:val="21"/>
        </w:rPr>
        <w:t>MAPA</w:t>
      </w:r>
      <w:r>
        <w:rPr>
          <w:rFonts w:ascii="Inter" w:hAnsi="Inter"/>
          <w:b w:val="0"/>
          <w:i w:val="0"/>
          <w:color w:val="1F2A38"/>
          <w:sz w:val="21"/>
        </w:rPr>
        <w:t xml:space="preserve"> et l'</w:t>
      </w:r>
      <w:r>
        <w:rPr>
          <w:rFonts w:ascii="Inter" w:hAnsi="Inter"/>
          <w:b/>
          <w:i w:val="0"/>
          <w:color w:val="8C2F39"/>
          <w:sz w:val="21"/>
        </w:rPr>
        <w:t>automesure</w:t>
      </w:r>
      <w:r>
        <w:rPr>
          <w:rFonts w:ascii="Inter" w:hAnsi="Inter"/>
          <w:b w:val="0"/>
          <w:i w:val="0"/>
          <w:color w:val="1F2A38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8C2F39"/>
          <w:sz w:val="21"/>
        </w:rPr>
        <w:t>atteinte des organes cibles</w:t>
      </w:r>
      <w:r>
        <w:rPr>
          <w:rFonts w:ascii="Inter" w:hAnsi="Inter"/>
          <w:b w:val="0"/>
          <w:i w:val="0"/>
          <w:color w:val="1F2A38"/>
          <w:sz w:val="21"/>
        </w:rPr>
        <w:t xml:space="preserve"> et une </w:t>
      </w:r>
      <w:r>
        <w:rPr>
          <w:rFonts w:ascii="Inter" w:hAnsi="Inter"/>
          <w:b/>
          <w:i w:val="0"/>
          <w:color w:val="8C2F39"/>
          <w:sz w:val="21"/>
        </w:rPr>
        <w:t>HTA secondaire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</w:t>
      </w:r>
      <w:r>
        <w:rPr>
          <w:rFonts w:ascii="Inter" w:hAnsi="Inter"/>
          <w:b/>
          <w:i w:val="0"/>
          <w:color w:val="8C2F39"/>
          <w:sz w:val="21"/>
        </w:rPr>
        <w:t>règles hygiéno-diététiques</w:t>
      </w:r>
      <w:r>
        <w:rPr>
          <w:rFonts w:ascii="Inter" w:hAnsi="Inter"/>
          <w:b w:val="0"/>
          <w:i w:val="0"/>
          <w:color w:val="1F2A38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8C2F39"/>
          <w:sz w:val="21"/>
        </w:rPr>
        <w:t>bithérapie</w:t>
      </w:r>
      <w:r>
        <w:rPr>
          <w:rFonts w:ascii="Inter" w:hAnsi="Inter"/>
          <w:b w:val="0"/>
          <w:i w:val="0"/>
          <w:color w:val="1F2A38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Objectif : </w:t>
      </w:r>
      <w:r>
        <w:rPr>
          <w:rFonts w:ascii="Inter" w:hAnsi="Inter"/>
          <w:b/>
          <w:i w:val="0"/>
          <w:color w:val="8C2F39"/>
          <w:sz w:val="21"/>
        </w:rPr>
        <w:t>&lt; 140/90 mmHg</w:t>
      </w:r>
      <w:r>
        <w:rPr>
          <w:rFonts w:ascii="Inter" w:hAnsi="Inter"/>
          <w:b w:val="0"/>
          <w:i w:val="0"/>
          <w:color w:val="1F2A38"/>
          <w:sz w:val="21"/>
        </w:rPr>
        <w:t xml:space="preserve">, idéalement </w:t>
      </w:r>
      <w:r>
        <w:rPr>
          <w:rFonts w:ascii="Inter" w:hAnsi="Inter"/>
          <w:b/>
          <w:i w:val="0"/>
          <w:color w:val="8C2F39"/>
          <w:sz w:val="21"/>
        </w:rPr>
        <w:t>&lt; 130/80 mmHg</w:t>
      </w:r>
      <w:r>
        <w:rPr>
          <w:rFonts w:ascii="Inter" w:hAnsi="Inter"/>
          <w:b w:val="0"/>
          <w:i w:val="0"/>
          <w:color w:val="1F2A38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8E99A8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4"/>
        <w:sz w:val="16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C2E49"/>
      </w:pBdr>
    </w:pPr>
    <w:r/>
    <w:r>
      <w:rPr>
        <w:rFonts w:ascii="Inter" w:hAnsi="Inter"/>
        <w:i/>
        <w:color w:val="8E99A8"/>
        <w:sz w:val="16"/>
      </w:rPr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