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rHeight w:val="14173" w:hRule="atLeast"/>
        </w:trPr>
        <w:tc>
          <w:tcPr>
            <w:tcW w:type="dxa" w:w="1361"/>
            <w:shd w:val="clear" w:color="auto" w:fill="E11D48"/>
          </w:tcPr>
          <w:p/>
        </w:tc>
        <w:tc>
          <w:tcPr>
            <w:tcW w:type="dxa" w:w="8504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72000" cy="93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major_ecn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2000" cy="93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sz w:val="28"/>
              </w:rPr>
            </w:r>
          </w:p>
          <w:p>
            <w:r>
              <w:rPr>
                <w:sz w:val="28"/>
              </w:rPr>
            </w:r>
          </w:p>
          <w:p>
            <w:pPr>
              <w:jc w:val="center"/>
            </w:pPr>
            <w:r>
              <w:rPr>
                <w:rFonts w:ascii="Inter" w:hAnsi="Inter"/>
                <w:b/>
                <w:color w:val="C9A961"/>
                <w:spacing w:val="80"/>
                <w:sz w:val="26"/>
              </w:rPr>
              <w:t>CARDIOLOGIE</w:t>
            </w:r>
          </w:p>
          <w:p>
            <w:pPr>
              <w:jc w:val="center"/>
            </w:pPr>
            <w:r>
              <w:rPr>
                <w:rFonts w:ascii="Cormorant Garamond" w:hAnsi="Cormorant Garamond"/>
                <w:color w:val="C9A961"/>
                <w:sz w:val="24"/>
              </w:rPr>
              <w:t>— · —</w:t>
            </w:r>
          </w:p>
          <w:p>
            <w:pPr>
              <w:jc w:val="center"/>
            </w:pPr>
            <w:r>
              <w:rPr>
                <w:rFonts w:ascii="Playfair Display" w:hAnsi="Playfair Display"/>
                <w:b/>
                <w:color w:val="1F2937"/>
                <w:sz w:val="68"/>
              </w:rPr>
              <w:t>Hypertension Artérielle</w:t>
            </w:r>
          </w:p>
          <w:p>
            <w:pPr>
              <w:jc w:val="center"/>
            </w:pPr>
            <w:r>
              <w:rPr>
                <w:rFonts w:ascii="Cormorant Garamond" w:hAnsi="Cormorant Garamond"/>
                <w:color w:val="C9A961"/>
                <w:sz w:val="24"/>
              </w:rPr>
              <w:t>— · —</w:t>
            </w:r>
          </w:p>
          <w:p>
            <w:pPr>
              <w:jc w:val="center"/>
            </w:pPr>
            <w:r>
              <w:rPr>
                <w:rFonts w:ascii="Cormorant Garamond" w:hAnsi="Cormorant Garamond"/>
                <w:i/>
                <w:color w:val="1F2937"/>
                <w:sz w:val="32"/>
              </w:rPr>
              <w:t>Année 2025-2026</w:t>
            </w:r>
          </w:p>
          <w:p>
            <w:pPr>
              <w:jc w:val="center"/>
            </w:pPr>
            <w:r>
              <w:rPr>
                <w:rFonts w:ascii="Inter" w:hAnsi="Inter"/>
                <w:color w:val="9CA3AF"/>
                <w:spacing w:val="40"/>
                <w:sz w:val="18"/>
              </w:rPr>
              <w:t>ITEM 224</w:t>
            </w:r>
          </w:p>
          <w:p>
            <w:r>
              <w:rPr>
                <w:sz w:val="28"/>
              </w:rPr>
            </w:r>
          </w:p>
          <w:p>
            <w:r>
              <w:rPr>
                <w:sz w:val="28"/>
              </w:rPr>
            </w:r>
          </w:p>
          <w:p>
            <w:pPr>
              <w:jc w:val="center"/>
            </w:pPr>
            <w:r>
              <w:rPr>
                <w:rFonts w:ascii="Cormorant Garamond" w:hAnsi="Cormorant Garamond"/>
                <w:i/>
                <w:color w:val="E11D48"/>
                <w:sz w:val="24"/>
              </w:rPr>
              <w:t>Item 224</w:t>
            </w:r>
          </w:p>
          <w:p>
            <w:r>
              <w:rPr>
                <w:sz w:val="28"/>
              </w:rPr>
            </w:r>
          </w:p>
          <w:p>
            <w:pPr>
              <w:jc w:val="center"/>
            </w:pPr>
            <w:r>
              <w:rPr>
                <w:rFonts w:ascii="Inter" w:hAnsi="Inter"/>
                <w:b/>
                <w:color w:val="C9A961"/>
                <w:spacing w:val="44"/>
                <w:sz w:val="18"/>
              </w:rPr>
              <w:t>LÉGENDE</w:t>
            </w:r>
          </w:p>
          <w:p>
            <w:pPr>
              <w:spacing w:after="40"/>
              <w:jc w:val="center"/>
            </w:pPr>
            <w:r>
              <w:rPr>
                <w:b/>
                <w:color w:val="C9A961"/>
                <w:sz w:val="22"/>
              </w:rPr>
              <w:t xml:space="preserve">★  </w:t>
            </w:r>
            <w:r>
              <w:rPr>
                <w:rFonts w:ascii="Inter" w:hAnsi="Inter"/>
                <w:color w:val="1F2937"/>
                <w:sz w:val="18"/>
              </w:rPr>
              <w:t>Déjà tombé aux ECN</w:t>
            </w:r>
          </w:p>
          <w:p>
            <w:pPr>
              <w:spacing w:after="40"/>
              <w:jc w:val="center"/>
            </w:pPr>
            <w:r>
              <w:rPr>
                <w:b/>
                <w:color w:val="E11D48"/>
                <w:sz w:val="22"/>
              </w:rPr>
              <w:t xml:space="preserve">◆  </w:t>
            </w:r>
            <w:r>
              <w:rPr>
                <w:rFonts w:ascii="Inter" w:hAnsi="Inter"/>
                <w:color w:val="1F2937"/>
                <w:sz w:val="18"/>
              </w:rPr>
              <w:t>Notion à haut rendement</w:t>
            </w:r>
          </w:p>
          <w:p>
            <w:pPr>
              <w:spacing w:after="40"/>
              <w:jc w:val="center"/>
            </w:pPr>
            <w:r>
              <w:rPr>
                <w:b/>
                <w:color w:val="B91C1C"/>
                <w:sz w:val="22"/>
              </w:rPr>
              <w:t xml:space="preserve">⚠  </w:t>
            </w:r>
            <w:r>
              <w:rPr>
                <w:rFonts w:ascii="Inter" w:hAnsi="Inter"/>
                <w:color w:val="1F2937"/>
                <w:sz w:val="18"/>
              </w:rPr>
              <w:t>Piège classique</w:t>
            </w:r>
          </w:p>
        </w:tc>
      </w:tr>
    </w:tbl>
    <w:p>
      <w:r>
        <w:br w:type="page"/>
      </w:r>
    </w:p>
    <w:p>
      <w:pPr>
        <w:pBdr>
          <w:top w:val="single" w:sz="12" w:space="6" w:color="E11D48"/>
          <w:bottom w:val="single" w:sz="12" w:space="6" w:color="E11D48"/>
        </w:pBdr>
        <w:spacing w:before="80"/>
        <w:jc w:val="center"/>
      </w:pPr>
      <w:r>
        <w:rPr>
          <w:rFonts w:ascii="Playfair Display" w:hAnsi="Playfair Display"/>
          <w:b/>
          <w:color w:val="1F2937"/>
          <w:sz w:val="46"/>
        </w:rPr>
        <w:t>Plan du cours</w:t>
      </w:r>
    </w:p>
    <w:p>
      <w:pPr>
        <w:spacing w:after="240"/>
        <w:jc w:val="center"/>
      </w:pPr>
      <w:r>
        <w:rPr>
          <w:rFonts w:ascii="Cormorant Garamond" w:hAnsi="Cormorant Garamond"/>
          <w:i/>
          <w:color w:val="C9A961"/>
          <w:sz w:val="24"/>
        </w:rPr>
        <w:t>Cardiologie  ·  Hypertension Artérielle</w:t>
      </w:r>
    </w:p>
    <w:p>
      <w:pPr>
        <w:spacing w:before="160"/>
      </w:pPr>
      <w:r>
        <w:rPr>
          <w:rFonts w:ascii="Playfair Display" w:hAnsi="Playfair Display"/>
          <w:b/>
          <w:color w:val="E11D48"/>
          <w:sz w:val="28"/>
        </w:rPr>
        <w:t xml:space="preserve">I.  </w:t>
      </w:r>
      <w:r>
        <w:rPr>
          <w:rFonts w:ascii="Cormorant Garamond" w:hAnsi="Cormorant Garamond"/>
          <w:b/>
          <w:color w:val="1F2937"/>
          <w:sz w:val="27"/>
        </w:rPr>
        <w:t>Définition et épidémiologie</w:t>
      </w:r>
    </w:p>
    <w:p>
      <w:pPr>
        <w:ind w:left="454"/>
      </w:pPr>
      <w:r>
        <w:rPr>
          <w:rFonts w:ascii="Cormorant Garamond" w:hAnsi="Cormorant Garamond"/>
          <w:i/>
          <w:color w:val="9CA3AF"/>
          <w:sz w:val="21"/>
        </w:rPr>
        <w:t>Cadre nosologique et poids de santé publique.</w:t>
      </w:r>
    </w:p>
    <w:p>
      <w:pPr>
        <w:ind w:left="567"/>
      </w:pPr>
      <w:r>
        <w:rPr>
          <w:b/>
          <w:color w:val="C9A961"/>
          <w:sz w:val="21"/>
        </w:rPr>
        <w:t xml:space="preserve">A.  </w:t>
      </w:r>
      <w:r>
        <w:rPr>
          <w:b/>
          <w:sz w:val="21"/>
        </w:rPr>
        <w:t>Définitions et seuils</w:t>
      </w:r>
      <w:r>
        <w:rPr>
          <w:rFonts w:ascii="Cormorant Garamond" w:hAnsi="Cormorant Garamond"/>
          <w:i/>
          <w:color w:val="9CA3AF"/>
          <w:sz w:val="20"/>
        </w:rPr>
        <w:t xml:space="preserve"> — Seuils et grades.</w:t>
      </w:r>
    </w:p>
    <w:p>
      <w:pPr>
        <w:ind w:left="567"/>
      </w:pPr>
      <w:r>
        <w:rPr>
          <w:b/>
          <w:color w:val="C9A961"/>
          <w:sz w:val="21"/>
        </w:rPr>
        <w:t xml:space="preserve">B.  </w:t>
      </w:r>
      <w:r>
        <w:rPr>
          <w:b/>
          <w:sz w:val="21"/>
        </w:rPr>
        <w:t>Épidémiologie</w:t>
      </w:r>
      <w:r>
        <w:rPr>
          <w:rFonts w:ascii="Cormorant Garamond" w:hAnsi="Cormorant Garamond"/>
          <w:i/>
          <w:color w:val="9CA3AF"/>
          <w:sz w:val="20"/>
        </w:rPr>
        <w:t xml:space="preserve"> — Prévalence et FdR.</w:t>
      </w:r>
    </w:p>
    <w:p>
      <w:pPr>
        <w:spacing w:before="160"/>
      </w:pPr>
      <w:r>
        <w:rPr>
          <w:rFonts w:ascii="Playfair Display" w:hAnsi="Playfair Display"/>
          <w:b/>
          <w:color w:val="E11D48"/>
          <w:sz w:val="28"/>
        </w:rPr>
        <w:t xml:space="preserve">II.  </w:t>
      </w:r>
      <w:r>
        <w:rPr>
          <w:rFonts w:ascii="Cormorant Garamond" w:hAnsi="Cormorant Garamond"/>
          <w:b/>
          <w:color w:val="1F2937"/>
          <w:sz w:val="27"/>
        </w:rPr>
        <w:t>Diagnostic et bilan initial</w:t>
      </w:r>
    </w:p>
    <w:p>
      <w:pPr>
        <w:ind w:left="454"/>
      </w:pPr>
      <w:r>
        <w:rPr>
          <w:rFonts w:ascii="Cormorant Garamond" w:hAnsi="Cormorant Garamond"/>
          <w:i/>
          <w:color w:val="9CA3AF"/>
          <w:sz w:val="21"/>
        </w:rPr>
        <w:t>Confirmation et recherche du retentissement.</w:t>
      </w:r>
    </w:p>
    <w:p>
      <w:pPr>
        <w:ind w:left="567"/>
      </w:pPr>
      <w:r>
        <w:rPr>
          <w:b/>
          <w:color w:val="C9A961"/>
          <w:sz w:val="21"/>
        </w:rPr>
        <w:t xml:space="preserve">A.  </w:t>
      </w:r>
      <w:r>
        <w:rPr>
          <w:b/>
          <w:sz w:val="21"/>
        </w:rPr>
        <w:t>Mesure de la PA</w:t>
      </w:r>
      <w:r>
        <w:rPr>
          <w:rFonts w:ascii="Cormorant Garamond" w:hAnsi="Cormorant Garamond"/>
          <w:i/>
          <w:color w:val="9CA3AF"/>
          <w:sz w:val="20"/>
        </w:rPr>
        <w:t xml:space="preserve"> — Conditions et MAPA.</w:t>
      </w:r>
    </w:p>
    <w:p>
      <w:pPr>
        <w:ind w:left="567"/>
      </w:pPr>
      <w:r>
        <w:rPr>
          <w:b/>
          <w:color w:val="C9A961"/>
          <w:sz w:val="21"/>
        </w:rPr>
        <w:t xml:space="preserve">B.  </w:t>
      </w:r>
      <w:r>
        <w:rPr>
          <w:b/>
          <w:sz w:val="21"/>
        </w:rPr>
        <w:t>Bilan de retentissement</w:t>
      </w:r>
      <w:r>
        <w:rPr>
          <w:rFonts w:ascii="Cormorant Garamond" w:hAnsi="Cormorant Garamond"/>
          <w:i/>
          <w:color w:val="9CA3AF"/>
          <w:sz w:val="20"/>
        </w:rPr>
        <w:t xml:space="preserve"> — Organes cibles.</w:t>
      </w:r>
    </w:p>
    <w:p>
      <w:pPr>
        <w:spacing w:before="160"/>
      </w:pPr>
      <w:r>
        <w:rPr>
          <w:rFonts w:ascii="Playfair Display" w:hAnsi="Playfair Display"/>
          <w:b/>
          <w:color w:val="E11D48"/>
          <w:sz w:val="28"/>
        </w:rPr>
        <w:t xml:space="preserve">III.  </w:t>
      </w:r>
      <w:r>
        <w:rPr>
          <w:rFonts w:ascii="Cormorant Garamond" w:hAnsi="Cormorant Garamond"/>
          <w:b/>
          <w:color w:val="1F2937"/>
          <w:sz w:val="27"/>
        </w:rPr>
        <w:t>Prise en charge thérapeutique</w:t>
      </w:r>
    </w:p>
    <w:p>
      <w:pPr>
        <w:ind w:left="454"/>
      </w:pPr>
      <w:r>
        <w:rPr>
          <w:rFonts w:ascii="Cormorant Garamond" w:hAnsi="Cormorant Garamond"/>
          <w:i/>
          <w:color w:val="9CA3AF"/>
          <w:sz w:val="21"/>
        </w:rPr>
        <w:t>Mesures hygiéno-diététiques et médicaments.</w:t>
      </w:r>
    </w:p>
    <w:p>
      <w:pPr>
        <w:ind w:left="567"/>
      </w:pPr>
      <w:r>
        <w:rPr>
          <w:b/>
          <w:color w:val="C9A961"/>
          <w:sz w:val="21"/>
        </w:rPr>
        <w:t xml:space="preserve">A.  </w:t>
      </w:r>
      <w:r>
        <w:rPr>
          <w:b/>
          <w:sz w:val="21"/>
        </w:rPr>
        <w:t>Mesures non médicamenteuses</w:t>
      </w:r>
      <w:r>
        <w:rPr>
          <w:rFonts w:ascii="Cormorant Garamond" w:hAnsi="Cormorant Garamond"/>
          <w:i/>
          <w:color w:val="9CA3AF"/>
          <w:sz w:val="20"/>
        </w:rPr>
        <w:t xml:space="preserve"> — RHD.</w:t>
      </w:r>
    </w:p>
    <w:p>
      <w:pPr>
        <w:ind w:left="567"/>
      </w:pPr>
      <w:r>
        <w:rPr>
          <w:b/>
          <w:color w:val="C9A961"/>
          <w:sz w:val="21"/>
        </w:rPr>
        <w:t xml:space="preserve">B.  </w:t>
      </w:r>
      <w:r>
        <w:rPr>
          <w:b/>
          <w:sz w:val="21"/>
        </w:rPr>
        <w:t>Traitement médicamenteux</w:t>
      </w:r>
      <w:r>
        <w:rPr>
          <w:rFonts w:ascii="Cormorant Garamond" w:hAnsi="Cormorant Garamond"/>
          <w:i/>
          <w:color w:val="9CA3AF"/>
          <w:sz w:val="20"/>
        </w:rPr>
        <w:t xml:space="preserve"> — Classes.</w:t>
      </w:r>
    </w:p>
    <w:p>
      <w:r>
        <w:br w:type="page"/>
      </w:r>
    </w:p>
    <w:p>
      <w:pPr>
        <w:keepNext/>
        <w:shd w:val="clear" w:color="auto" w:fill="E11D48"/>
        <w:spacing w:before="40" w:after="200"/>
      </w:pPr>
      <w:r>
        <w:rPr>
          <w:rFonts w:ascii="Playfair Display" w:hAnsi="Playfair Display"/>
          <w:b/>
          <w:color w:val="FFFFFF"/>
          <w:sz w:val="32"/>
        </w:rPr>
        <w:t>I.  Définition et épidémiologie</w:t>
      </w:r>
    </w:p>
    <w:tbl>
      <w:tblPr>
        <w:tblW w:type="auto" w:w="0"/>
        <w:jc w:val="center"/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663"/>
            <w:shd w:val="clear" w:color="auto" w:fill="E11D48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I</w:t>
            </w:r>
          </w:p>
        </w:tc>
        <w:tc>
          <w:tcPr>
            <w:tcW w:type="dxa" w:w="7201"/>
            <w:shd w:val="clear" w:color="auto" w:fill="FCE7EC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9F1239"/>
                <w:sz w:val="26"/>
              </w:rPr>
              <w:t>A.  Définitions et seuils</w:t>
            </w:r>
          </w:p>
        </w:tc>
      </w:tr>
      <w:t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C9A961"/>
                <w:sz w:val="20"/>
              </w:rPr>
              <w:t>★</w:t>
            </w:r>
            <w:r>
              <w:rPr>
                <w:rFonts w:ascii="Inter" w:hAnsi="Inter"/>
                <w:b/>
                <w:i w:val="0"/>
                <w:color w:val="1F2937"/>
                <w:sz w:val="20"/>
              </w:rPr>
              <w:t xml:space="preserve"> Définition de l'HTA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HTA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: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PAS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≥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140 mmHg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et/ou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PAD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≥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90 mmHg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au cabinet</w:t>
            </w:r>
          </w:p>
          <w:p>
            <w:pPr>
              <w:pStyle w:val="ListBullet2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diagnostic confirmé sur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deux consultations</w:t>
            </w:r>
          </w:p>
          <w:p>
            <w:pPr>
              <w:pStyle w:val="ListBullet2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automesure : seuil abaissé à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≥ 135/85 mmHg</w:t>
            </w:r>
          </w:p>
        </w:tc>
      </w:tr>
      <w:t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E11D48"/>
                <w:sz w:val="20"/>
              </w:rPr>
              <w:t>◆</w:t>
            </w:r>
            <w:r>
              <w:rPr>
                <w:rFonts w:ascii="Inter" w:hAnsi="Inter"/>
                <w:b/>
                <w:i w:val="0"/>
                <w:color w:val="1F2937"/>
                <w:sz w:val="20"/>
              </w:rPr>
              <w:t xml:space="preserve"> Grades de sévérité</w:t>
            </w:r>
          </w:p>
        </w:tc>
        <w:tc>
          <w:tcPr>
            <w:tcW w:type="dxa" w:w="7201"/>
            <w:vAlign w:val="top"/>
          </w:tcPr>
          <w:tbl>
            <w:tblPr>
              <w:tblW w:type="auto" w:w="0"/>
              <w:jc w:val="center"/>
              <w:tblBorders>
                <w:top w:val="single" w:sz="4" w:space="0" w:color="9CA3AF"/>
                <w:left w:val="single" w:sz="4" w:space="0" w:color="9CA3AF"/>
                <w:bottom w:val="single" w:sz="4" w:space="0" w:color="9CA3AF"/>
                <w:right w:val="single" w:sz="4" w:space="0" w:color="9CA3AF"/>
                <w:insideH w:val="single" w:sz="4" w:space="0" w:color="9CA3AF"/>
                <w:insideV w:val="single" w:sz="4" w:space="0" w:color="9CA3AF"/>
              </w:tblBorders>
              <w:tblLayout w:type="autofit"/>
              <w:tblLook w:firstColumn="1" w:firstRow="1" w:lastColumn="0" w:lastRow="0" w:noHBand="0" w:noVBand="1" w:val="04A0"/>
            </w:tblPr>
            <w:tblGrid>
              <w:gridCol w:w="2400"/>
              <w:gridCol w:w="2400"/>
              <w:gridCol w:w="2400"/>
            </w:tblGrid>
            <w:tr>
              <w:tc>
                <w:tcPr>
                  <w:tcW w:type="dxa" w:w="2400"/>
                  <w:shd w:val="clear" w:color="auto" w:fill="FAF7F2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1F2937"/>
                      <w:sz w:val="18"/>
                    </w:rPr>
                    <w:t>Grade</w:t>
                  </w:r>
                </w:p>
              </w:tc>
              <w:tc>
                <w:tcPr>
                  <w:tcW w:type="dxa" w:w="2400"/>
                  <w:shd w:val="clear" w:color="auto" w:fill="FAF7F2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1F2937"/>
                      <w:sz w:val="18"/>
                    </w:rPr>
                    <w:t>PAS (mmHg)</w:t>
                  </w:r>
                </w:p>
              </w:tc>
              <w:tc>
                <w:tcPr>
                  <w:tcW w:type="dxa" w:w="2400"/>
                  <w:shd w:val="clear" w:color="auto" w:fill="FAF7F2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1F2937"/>
                      <w:sz w:val="18"/>
                    </w:rPr>
                    <w:t>PAD (mmHg)</w:t>
                  </w:r>
                </w:p>
              </w:tc>
            </w:tr>
            <w:tr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BE123C"/>
                      <w:sz w:val="18"/>
                    </w:rPr>
                    <w:t>Grade 1</w:t>
                  </w:r>
                </w:p>
              </w:tc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>140-159</w:t>
                  </w:r>
                </w:p>
              </w:tc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>90-99</w:t>
                  </w:r>
                </w:p>
              </w:tc>
            </w:tr>
            <w:tr>
              <w:tc>
                <w:tcPr>
                  <w:tcW w:type="dxa" w:w="2400"/>
                  <w:shd w:val="clear" w:color="auto" w:fill="FCFBF7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BE123C"/>
                      <w:sz w:val="18"/>
                    </w:rPr>
                    <w:t>Grade 2</w:t>
                  </w:r>
                </w:p>
              </w:tc>
              <w:tc>
                <w:tcPr>
                  <w:tcW w:type="dxa" w:w="2400"/>
                  <w:shd w:val="clear" w:color="auto" w:fill="FCFBF7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>160-179</w:t>
                  </w:r>
                </w:p>
              </w:tc>
              <w:tc>
                <w:tcPr>
                  <w:tcW w:type="dxa" w:w="2400"/>
                  <w:shd w:val="clear" w:color="auto" w:fill="FCFBF7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>100-109</w:t>
                  </w:r>
                </w:p>
              </w:tc>
            </w:tr>
            <w:tr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BE123C"/>
                      <w:sz w:val="18"/>
                    </w:rPr>
                    <w:t>Grade 3</w:t>
                  </w:r>
                </w:p>
              </w:tc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>≥ 180</w:t>
                  </w:r>
                </w:p>
              </w:tc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>≥ 110</w:t>
                  </w:r>
                </w:p>
              </w:tc>
            </w:tr>
          </w:tbl>
          <w:p/>
          <w:p>
            <w:pPr>
              <w:spacing w:after="80"/>
            </w:pPr>
          </w:p>
        </w:tc>
      </w:tr>
      <w:tr>
        <w:tc>
          <w:tcPr>
            <w:tcW w:type="dxa" w:w="9865"/>
            <w:gridSpan w:val="2"/>
            <w:tcBorders>
              <w:top w:val="single" w:sz="4" w:space="0" w:color="B91C1C"/>
              <w:left w:val="single" w:sz="22" w:space="0" w:color="B91C1C"/>
              <w:bottom w:val="single" w:sz="4" w:space="0" w:color="B91C1C"/>
              <w:right w:val="single" w:sz="4" w:space="0" w:color="B91C1C"/>
            </w:tcBorders>
            <w:shd w:val="clear" w:color="auto" w:fill="FDEDEC"/>
            <w:vAlign w:val="top"/>
          </w:tcPr>
          <w:p>
            <w:pPr>
              <w:spacing w:before="40"/>
            </w:pPr>
            <w:r>
              <w:rPr>
                <w:rFonts w:ascii="Inter" w:hAnsi="Inter"/>
                <w:b/>
                <w:color w:val="B91C1C"/>
                <w:spacing w:val="14"/>
                <w:sz w:val="16"/>
              </w:rPr>
              <w:t>PIÈGE</w:t>
            </w:r>
          </w:p>
          <w:p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Ne pas confondre l'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HTA blouse blanche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(PA élevée au cabinet uniquement) et l'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HTA masquée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(PA normale au cabinet, élevée en ambulatoire) : le pronostic diffère.</w:t>
            </w:r>
          </w:p>
        </w:tc>
      </w:tr>
      <w:tr>
        <w:tc>
          <w:tcPr>
            <w:tcW w:type="dxa" w:w="9865"/>
            <w:gridSpan w:val="2"/>
            <w:vAlign w:val="center"/>
          </w:tcPr>
          <w:p>
            <w:pPr>
              <w:spacing w:before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752000" cy="21285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ure_01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2000" cy="2128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60"/>
              <w:jc w:val="center"/>
            </w:pPr>
            <w:r>
              <w:rPr>
                <w:rFonts w:ascii="Cormorant Garamond" w:hAnsi="Cormorant Garamond"/>
                <w:i/>
                <w:color w:val="9CA3AF"/>
                <w:sz w:val="18"/>
              </w:rPr>
              <w:t>Figure 1 — Étapes de la démarche diagnostique devant une pression artérielle élevée.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663"/>
            <w:shd w:val="clear" w:color="auto" w:fill="E11D48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I</w:t>
            </w:r>
          </w:p>
        </w:tc>
        <w:tc>
          <w:tcPr>
            <w:tcW w:type="dxa" w:w="7201"/>
            <w:shd w:val="clear" w:color="auto" w:fill="FCE7EC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9F1239"/>
                <w:sz w:val="26"/>
              </w:rPr>
              <w:t>B.  Épidémiologie</w:t>
            </w:r>
          </w:p>
        </w:tc>
      </w:tr>
      <w:t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937"/>
                <w:sz w:val="20"/>
              </w:rPr>
              <w:t>Prévalence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environ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30 %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de la population adulte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augmente avec l'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âge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premier motif de consultation en médecine générale</w:t>
            </w:r>
          </w:p>
        </w:tc>
      </w:tr>
      <w:t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E11D48"/>
                <w:sz w:val="20"/>
              </w:rPr>
              <w:t>◆</w:t>
            </w:r>
            <w:r>
              <w:rPr>
                <w:rFonts w:ascii="Inter" w:hAnsi="Inter"/>
                <w:b/>
                <w:i w:val="0"/>
                <w:color w:val="1F2937"/>
                <w:sz w:val="20"/>
              </w:rPr>
              <w:t xml:space="preserve"> Facteurs de risque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Non modifiables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: âge, sexe masculin, hérédité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Modifiables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: surpoids, sédentarité,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sel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, alcool, tabac</w:t>
            </w:r>
          </w:p>
        </w:tc>
      </w:tr>
      <w:tr>
        <w:tc>
          <w:tcPr>
            <w:tcW w:type="dxa" w:w="9865"/>
            <w:gridSpan w:val="2"/>
            <w:tcBorders>
              <w:top w:val="single" w:sz="4" w:space="0" w:color="E11D48"/>
              <w:left w:val="single" w:sz="22" w:space="0" w:color="E11D48"/>
              <w:bottom w:val="single" w:sz="4" w:space="0" w:color="E11D48"/>
              <w:right w:val="single" w:sz="4" w:space="0" w:color="E11D48"/>
            </w:tcBorders>
            <w:shd w:val="clear" w:color="auto" w:fill="FAF7F2"/>
            <w:vAlign w:val="top"/>
          </w:tcPr>
          <w:p>
            <w:pPr>
              <w:spacing w:before="40"/>
            </w:pPr>
            <w:r>
              <w:rPr>
                <w:rFonts w:ascii="Inter" w:hAnsi="Inter"/>
                <w:b/>
                <w:color w:val="E11D48"/>
                <w:spacing w:val="14"/>
                <w:sz w:val="16"/>
              </w:rPr>
              <w:t>À RETENIR</w:t>
            </w:r>
          </w:p>
          <w:p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L'HTA est un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facteur de risque cardiovasculaire majeur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: AVC, insuffisance cardiaque, coronaropathie, néphropathie.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keepNext/>
        <w:shd w:val="clear" w:color="auto" w:fill="E11D48"/>
        <w:spacing w:before="40" w:after="200"/>
      </w:pPr>
      <w:r>
        <w:rPr>
          <w:rFonts w:ascii="Playfair Display" w:hAnsi="Playfair Display"/>
          <w:b/>
          <w:color w:val="FFFFFF"/>
          <w:sz w:val="32"/>
        </w:rPr>
        <w:t>II.  Diagnostic et bilan initial</w:t>
      </w:r>
    </w:p>
    <w:tbl>
      <w:tblPr>
        <w:tblW w:type="auto" w:w="0"/>
        <w:jc w:val="center"/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663"/>
            <w:shd w:val="clear" w:color="auto" w:fill="E11D48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II</w:t>
            </w:r>
          </w:p>
        </w:tc>
        <w:tc>
          <w:tcPr>
            <w:tcW w:type="dxa" w:w="7201"/>
            <w:shd w:val="clear" w:color="auto" w:fill="FCE7EC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9F1239"/>
                <w:sz w:val="26"/>
              </w:rPr>
              <w:t>A.  Mesure de la pression artérielle</w:t>
            </w:r>
          </w:p>
        </w:tc>
      </w:tr>
      <w:t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937"/>
                <w:sz w:val="20"/>
              </w:rPr>
              <w:t>Conditions de mesure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patient au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repos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depuis 5 minutes, assis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brassard adapté à la circonférence du bras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mesure aux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deux bras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lors du bilan initial</w:t>
            </w:r>
          </w:p>
        </w:tc>
      </w:tr>
      <w:t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C9A961"/>
                <w:sz w:val="20"/>
              </w:rPr>
              <w:t>★</w:t>
            </w:r>
            <w:r>
              <w:rPr>
                <w:rFonts w:ascii="Inter" w:hAnsi="Inter"/>
                <w:b/>
                <w:i w:val="0"/>
                <w:color w:val="1F2937"/>
                <w:sz w:val="20"/>
              </w:rPr>
              <w:t xml:space="preserve"> MAPA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mesure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ambulatoire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de la PA sur 24 h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examen de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référence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pour confirmer le diagnostic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dépiste l'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HTA masquée</w:t>
            </w:r>
          </w:p>
        </w:tc>
      </w:tr>
      <w:tr>
        <w:tc>
          <w:tcPr>
            <w:tcW w:type="dxa" w:w="9865"/>
            <w:gridSpan w:val="2"/>
            <w:tcBorders>
              <w:top w:val="single" w:sz="4" w:space="0" w:color="9A7B33"/>
              <w:left w:val="single" w:sz="22" w:space="0" w:color="9A7B33"/>
              <w:bottom w:val="single" w:sz="4" w:space="0" w:color="9A7B33"/>
              <w:right w:val="single" w:sz="4" w:space="0" w:color="9A7B33"/>
            </w:tcBorders>
            <w:shd w:val="clear" w:color="auto" w:fill="FBF6E8"/>
            <w:vAlign w:val="top"/>
          </w:tcPr>
          <w:p>
            <w:pPr>
              <w:spacing w:before="40"/>
            </w:pPr>
            <w:r>
              <w:rPr>
                <w:rFonts w:ascii="Inter" w:hAnsi="Inter"/>
                <w:b/>
                <w:color w:val="9A7B33"/>
                <w:spacing w:val="14"/>
                <w:sz w:val="16"/>
              </w:rPr>
              <w:t>MOYEN MNÉMOTECHNIQUE</w:t>
            </w:r>
          </w:p>
          <w:p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Automesure —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règle des 3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: 3 mesures matin et soir, 3 jours de suite.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663"/>
            <w:shd w:val="clear" w:color="auto" w:fill="E11D48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II</w:t>
            </w:r>
          </w:p>
        </w:tc>
        <w:tc>
          <w:tcPr>
            <w:tcW w:type="dxa" w:w="7201"/>
            <w:shd w:val="clear" w:color="auto" w:fill="FCE7EC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9F1239"/>
                <w:sz w:val="26"/>
              </w:rPr>
              <w:t>B.  Bilan de retentissement</w:t>
            </w:r>
          </w:p>
        </w:tc>
      </w:tr>
      <w:t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E11D48"/>
                <w:sz w:val="20"/>
              </w:rPr>
              <w:t>◆</w:t>
            </w:r>
            <w:r>
              <w:rPr>
                <w:rFonts w:ascii="Inter" w:hAnsi="Inter"/>
                <w:b/>
                <w:i w:val="0"/>
                <w:color w:val="1F2937"/>
                <w:sz w:val="20"/>
              </w:rPr>
              <w:t xml:space="preserve"> Organes cibles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Cœur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: ECG, hypertrophie ventriculaire gauche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Rein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: créatininémie,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DFG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, protéinurie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Œil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: rétinopathie hypertensive si HTA sévère</w:t>
            </w:r>
          </w:p>
        </w:tc>
      </w:tr>
      <w:t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937"/>
                <w:sz w:val="20"/>
              </w:rPr>
              <w:t>Bilan biologique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kaliémie, glycémie à jeun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bilan lipidique, créatininémie</w:t>
            </w:r>
          </w:p>
        </w:tc>
      </w:tr>
      <w:tr>
        <w:tc>
          <w:tcPr>
            <w:tcW w:type="dxa" w:w="9865"/>
            <w:gridSpan w:val="2"/>
            <w:tcBorders>
              <w:top w:val="single" w:sz="4" w:space="0" w:color="B91C1C"/>
              <w:left w:val="single" w:sz="22" w:space="0" w:color="B91C1C"/>
              <w:bottom w:val="single" w:sz="4" w:space="0" w:color="B91C1C"/>
              <w:right w:val="single" w:sz="4" w:space="0" w:color="B91C1C"/>
            </w:tcBorders>
            <w:shd w:val="clear" w:color="auto" w:fill="FDEDEC"/>
            <w:vAlign w:val="top"/>
          </w:tcPr>
          <w:p>
            <w:pPr>
              <w:spacing w:before="40"/>
            </w:pPr>
            <w:r>
              <w:rPr>
                <w:rFonts w:ascii="Inter" w:hAnsi="Inter"/>
                <w:b/>
                <w:color w:val="B91C1C"/>
                <w:spacing w:val="14"/>
                <w:sz w:val="16"/>
              </w:rPr>
              <w:t>PIÈGE</w:t>
            </w:r>
          </w:p>
          <w:p>
            <w:r>
              <w:rPr>
                <w:rFonts w:ascii="Inter" w:hAnsi="Inter"/>
                <w:b/>
                <w:i w:val="0"/>
                <w:color w:val="B91C1C"/>
                <w:sz w:val="20"/>
              </w:rPr>
              <w:t>⚠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Rechercher une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HTA secondaire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si HTA résistante, sujet jeune ou signes d'orientation.</w:t>
            </w:r>
          </w:p>
        </w:tc>
      </w:tr>
      <w:tr>
        <w:tc>
          <w:tcPr>
            <w:tcW w:type="dxa" w:w="9865"/>
            <w:gridSpan w:val="2"/>
            <w:vAlign w:val="center"/>
          </w:tcPr>
          <w:p>
            <w:pPr>
              <w:spacing w:before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752000" cy="21285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ure_02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2000" cy="2128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60"/>
              <w:jc w:val="center"/>
            </w:pPr>
            <w:r>
              <w:rPr>
                <w:rFonts w:ascii="Cormorant Garamond" w:hAnsi="Cormorant Garamond"/>
                <w:i/>
                <w:color w:val="9CA3AF"/>
                <w:sz w:val="18"/>
              </w:rPr>
              <w:t>Figure 2 — Principaux organes cibles atteints par l'hypertension artérielle.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keepNext/>
        <w:shd w:val="clear" w:color="auto" w:fill="E11D48"/>
        <w:spacing w:before="40" w:after="200"/>
      </w:pPr>
      <w:r>
        <w:rPr>
          <w:rFonts w:ascii="Playfair Display" w:hAnsi="Playfair Display"/>
          <w:b/>
          <w:color w:val="FFFFFF"/>
          <w:sz w:val="32"/>
        </w:rPr>
        <w:t>III.  Prise en charge thérapeutique</w:t>
      </w:r>
    </w:p>
    <w:tbl>
      <w:tblPr>
        <w:tblW w:type="auto" w:w="0"/>
        <w:jc w:val="center"/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663"/>
            <w:shd w:val="clear" w:color="auto" w:fill="E11D48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III</w:t>
            </w:r>
          </w:p>
        </w:tc>
        <w:tc>
          <w:tcPr>
            <w:tcW w:type="dxa" w:w="7201"/>
            <w:shd w:val="clear" w:color="auto" w:fill="FCE7EC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9F1239"/>
                <w:sz w:val="26"/>
              </w:rPr>
              <w:t>A.  Mesures non médicamenteuses</w:t>
            </w:r>
          </w:p>
        </w:tc>
      </w:tr>
      <w:t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F2937"/>
                <w:sz w:val="20"/>
              </w:rPr>
              <w:t>Règles hygiéno-diététiques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réduction des apports en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sel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(&lt; 6 g/j)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perte de poids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en cas de surpoids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activité physique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régulière (30 min/j)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limitation de l'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alcool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, arrêt du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tabac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2663"/>
            <w:shd w:val="clear" w:color="auto" w:fill="E11D48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III</w:t>
            </w:r>
          </w:p>
        </w:tc>
        <w:tc>
          <w:tcPr>
            <w:tcW w:type="dxa" w:w="7201"/>
            <w:shd w:val="clear" w:color="auto" w:fill="FCE7EC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9F1239"/>
                <w:sz w:val="26"/>
              </w:rPr>
              <w:t>B.  Traitement médicamenteux</w:t>
            </w:r>
          </w:p>
        </w:tc>
      </w:tr>
      <w:t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C9A961"/>
                <w:sz w:val="20"/>
              </w:rPr>
              <w:t>★</w:t>
            </w:r>
            <w:r>
              <w:rPr>
                <w:rFonts w:ascii="Inter" w:hAnsi="Inter"/>
                <w:b/>
                <w:i w:val="0"/>
                <w:color w:val="1F2937"/>
                <w:sz w:val="20"/>
              </w:rPr>
              <w:t xml:space="preserve"> Classes de 1re intention</w:t>
            </w:r>
          </w:p>
        </w:tc>
        <w:tc>
          <w:tcPr>
            <w:tcW w:type="dxa" w:w="7201"/>
            <w:vAlign w:val="top"/>
          </w:tcPr>
          <w:tbl>
            <w:tblPr>
              <w:tblW w:type="auto" w:w="0"/>
              <w:jc w:val="center"/>
              <w:tblBorders>
                <w:top w:val="single" w:sz="4" w:space="0" w:color="9CA3AF"/>
                <w:left w:val="single" w:sz="4" w:space="0" w:color="9CA3AF"/>
                <w:bottom w:val="single" w:sz="4" w:space="0" w:color="9CA3AF"/>
                <w:right w:val="single" w:sz="4" w:space="0" w:color="9CA3AF"/>
                <w:insideH w:val="single" w:sz="4" w:space="0" w:color="9CA3AF"/>
                <w:insideV w:val="single" w:sz="4" w:space="0" w:color="9CA3AF"/>
              </w:tblBorders>
              <w:tblLayout w:type="autofit"/>
              <w:tblLook w:firstColumn="1" w:firstRow="1" w:lastColumn="0" w:lastRow="0" w:noHBand="0" w:noVBand="1" w:val="04A0"/>
            </w:tblPr>
            <w:tblGrid>
              <w:gridCol w:w="2400"/>
              <w:gridCol w:w="2400"/>
              <w:gridCol w:w="2400"/>
            </w:tblGrid>
            <w:tr>
              <w:tc>
                <w:tcPr>
                  <w:tcW w:type="dxa" w:w="2400"/>
                  <w:shd w:val="clear" w:color="auto" w:fill="FAF7F2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1F2937"/>
                      <w:sz w:val="18"/>
                    </w:rPr>
                    <w:t>Classe</w:t>
                  </w:r>
                </w:p>
              </w:tc>
              <w:tc>
                <w:tcPr>
                  <w:tcW w:type="dxa" w:w="2400"/>
                  <w:shd w:val="clear" w:color="auto" w:fill="FAF7F2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1F2937"/>
                      <w:sz w:val="18"/>
                    </w:rPr>
                    <w:t>Exemple</w:t>
                  </w:r>
                </w:p>
              </w:tc>
              <w:tc>
                <w:tcPr>
                  <w:tcW w:type="dxa" w:w="2400"/>
                  <w:shd w:val="clear" w:color="auto" w:fill="FAF7F2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1F2937"/>
                      <w:sz w:val="18"/>
                    </w:rPr>
                    <w:t>Indication</w:t>
                  </w:r>
                </w:p>
              </w:tc>
            </w:tr>
            <w:tr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BE123C"/>
                      <w:sz w:val="18"/>
                    </w:rPr>
                    <w:t>IEC</w:t>
                  </w:r>
                </w:p>
              </w:tc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>Ramipril</w:t>
                  </w:r>
                </w:p>
              </w:tc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>Diabète, IC</w:t>
                  </w:r>
                </w:p>
              </w:tc>
            </w:tr>
            <w:tr>
              <w:tc>
                <w:tcPr>
                  <w:tcW w:type="dxa" w:w="2400"/>
                  <w:shd w:val="clear" w:color="auto" w:fill="FCFBF7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BE123C"/>
                      <w:sz w:val="18"/>
                    </w:rPr>
                    <w:t>ARA II</w:t>
                  </w:r>
                </w:p>
              </w:tc>
              <w:tc>
                <w:tcPr>
                  <w:tcW w:type="dxa" w:w="2400"/>
                  <w:shd w:val="clear" w:color="auto" w:fill="FCFBF7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>Losartan</w:t>
                  </w:r>
                </w:p>
              </w:tc>
              <w:tc>
                <w:tcPr>
                  <w:tcW w:type="dxa" w:w="2400"/>
                  <w:shd w:val="clear" w:color="auto" w:fill="FCFBF7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>Intolérance aux IEC</w:t>
                  </w:r>
                </w:p>
              </w:tc>
            </w:tr>
            <w:tr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BE123C"/>
                      <w:sz w:val="18"/>
                    </w:rPr>
                    <w:t>I. calcique</w:t>
                  </w:r>
                </w:p>
              </w:tc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>Amlodipine</w:t>
                  </w:r>
                </w:p>
              </w:tc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>Sujet âgé</w:t>
                  </w:r>
                </w:p>
              </w:tc>
            </w:tr>
            <w:tr>
              <w:tc>
                <w:tcPr>
                  <w:tcW w:type="dxa" w:w="2400"/>
                  <w:shd w:val="clear" w:color="auto" w:fill="FCFBF7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BE123C"/>
                      <w:sz w:val="18"/>
                    </w:rPr>
                    <w:t>Diurétique</w:t>
                  </w:r>
                </w:p>
              </w:tc>
              <w:tc>
                <w:tcPr>
                  <w:tcW w:type="dxa" w:w="2400"/>
                  <w:shd w:val="clear" w:color="auto" w:fill="FCFBF7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>HCTZ</w:t>
                  </w:r>
                </w:p>
              </w:tc>
              <w:tc>
                <w:tcPr>
                  <w:tcW w:type="dxa" w:w="2400"/>
                  <w:shd w:val="clear" w:color="auto" w:fill="FCFBF7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F2937"/>
                      <w:sz w:val="18"/>
                    </w:rPr>
                    <w:t>Sujet âgé</w:t>
                  </w:r>
                </w:p>
              </w:tc>
            </w:tr>
          </w:tbl>
          <w:p/>
          <w:p>
            <w:pPr>
              <w:spacing w:after="80"/>
            </w:pPr>
          </w:p>
        </w:tc>
      </w:tr>
      <w:tr>
        <w:tc>
          <w:tcPr>
            <w:tcW w:type="dxa" w:w="2663"/>
            <w:shd w:val="clear" w:color="auto" w:fill="FAF7F2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E11D48"/>
                <w:sz w:val="20"/>
              </w:rPr>
              <w:t>◆</w:t>
            </w:r>
            <w:r>
              <w:rPr>
                <w:rFonts w:ascii="Inter" w:hAnsi="Inter"/>
                <w:b/>
                <w:i w:val="0"/>
                <w:color w:val="1F2937"/>
                <w:sz w:val="20"/>
              </w:rPr>
              <w:t xml:space="preserve"> Stratégie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bithérapie d'emblée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souvent recommandée</w:t>
            </w:r>
          </w:p>
          <w:p>
            <w:pPr>
              <w:pStyle w:val="ListBullet2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privilégier les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associations fixes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objectif :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&lt; 140/90 mmHg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, voire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&lt; 130/80 mmHg</w:t>
            </w:r>
          </w:p>
        </w:tc>
      </w:tr>
      <w:tr>
        <w:tc>
          <w:tcPr>
            <w:tcW w:type="dxa" w:w="9865"/>
            <w:gridSpan w:val="2"/>
            <w:tcBorders>
              <w:top w:val="single" w:sz="4" w:space="0" w:color="9A7B33"/>
              <w:left w:val="single" w:sz="22" w:space="0" w:color="9A7B33"/>
              <w:bottom w:val="single" w:sz="4" w:space="0" w:color="9A7B33"/>
              <w:right w:val="single" w:sz="4" w:space="0" w:color="9A7B33"/>
            </w:tcBorders>
            <w:shd w:val="clear" w:color="auto" w:fill="FBF6E8"/>
            <w:vAlign w:val="top"/>
          </w:tcPr>
          <w:p>
            <w:pPr>
              <w:spacing w:before="40"/>
            </w:pPr>
            <w:r>
              <w:rPr>
                <w:rFonts w:ascii="Inter" w:hAnsi="Inter"/>
                <w:b/>
                <w:color w:val="9A7B33"/>
                <w:spacing w:val="14"/>
                <w:sz w:val="16"/>
              </w:rPr>
              <w:t>MOYEN MNÉMOTECHNIQUE</w:t>
            </w:r>
          </w:p>
          <w:p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Les 5 classes — moyen mnémotechnique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« A-B-C-D »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: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A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RA II / IEC,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B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êtabloquants,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C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alciques,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D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iurétiques.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keepNext/>
        <w:shd w:val="clear" w:color="auto" w:fill="E11D48"/>
        <w:spacing w:before="40" w:after="200"/>
      </w:pPr>
      <w:r>
        <w:rPr>
          <w:rFonts w:ascii="Playfair Display" w:hAnsi="Playfair Display"/>
          <w:b/>
          <w:color w:val="FFFFFF"/>
          <w:sz w:val="32"/>
        </w:rPr>
        <w:t>Algorithmes décisionnels</w:t>
      </w:r>
    </w:p>
    <w:p>
      <w:pPr>
        <w:spacing w:before="160"/>
      </w:pPr>
      <w:r>
        <w:rPr>
          <w:rFonts w:ascii="Cormorant Garamond" w:hAnsi="Cormorant Garamond"/>
          <w:b/>
          <w:color w:val="E11D48"/>
          <w:sz w:val="26"/>
        </w:rPr>
        <w:t>Démarche diagnostique devant une PA élevée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tcBorders>
              <w:top w:val="single" w:sz="4" w:space="0" w:color="E11D48"/>
              <w:left w:val="single" w:sz="22" w:space="0" w:color="E11D48"/>
              <w:bottom w:val="single" w:sz="4" w:space="0" w:color="E11D48"/>
              <w:right w:val="single" w:sz="4" w:space="0" w:color="E11D48"/>
            </w:tcBorders>
            <w:shd w:val="clear" w:color="auto" w:fill="FAF7F2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>PA ≥ 140/90 mmHg au cabinet</w:t>
            </w:r>
          </w:p>
          <w:p>
            <w:pPr>
              <w:pStyle w:val="ListBullet2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OUI → confirmer par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MAPA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ou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automesure</w:t>
            </w:r>
          </w:p>
          <w:p>
            <w:pPr>
              <w:pStyle w:val="ListBullet3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MAPA ≥ 135/85 →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HTA confirmée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→ bilan + traitement</w:t>
            </w:r>
          </w:p>
          <w:p>
            <w:pPr>
              <w:pStyle w:val="ListBullet3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MAPA &lt; 135/85 →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HTA blouse blanche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→ surveillance</w:t>
            </w:r>
          </w:p>
          <w:p>
            <w:pPr>
              <w:pStyle w:val="ListBullet2"/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NON →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pas d'HTA</w:t>
            </w:r>
            <w:r>
              <w:rPr>
                <w:rFonts w:ascii="Inter" w:hAnsi="Inter"/>
                <w:b w:val="0"/>
                <w:i w:val="0"/>
                <w:color w:val="1F2937"/>
                <w:sz w:val="20"/>
              </w:rPr>
              <w:t xml:space="preserve"> → contrôle annuel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keepNext/>
        <w:shd w:val="clear" w:color="auto" w:fill="E11D48"/>
        <w:spacing w:before="40" w:after="200"/>
      </w:pPr>
      <w:r>
        <w:rPr>
          <w:rFonts w:ascii="Playfair Display" w:hAnsi="Playfair Display"/>
          <w:b/>
          <w:color w:val="FFFFFF"/>
          <w:sz w:val="32"/>
        </w:rPr>
        <w:t>Synthèse — Tableaux de révision</w:t>
      </w:r>
    </w:p>
    <w:p>
      <w:pPr>
        <w:spacing w:before="160"/>
      </w:pPr>
      <w:r>
        <w:rPr>
          <w:rFonts w:ascii="Cormorant Garamond" w:hAnsi="Cormorant Garamond"/>
          <w:b/>
          <w:color w:val="E11D48"/>
          <w:sz w:val="26"/>
        </w:rPr>
        <w:t>Chiffres-clés à connaître</w:t>
      </w:r>
    </w:p>
    <w:tbl>
      <w:tblPr>
        <w:tblW w:type="auto" w:w="0"/>
        <w:jc w:val="center"/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shd w:val="clear" w:color="auto" w:fill="E11D48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Paramètre</w:t>
            </w:r>
          </w:p>
        </w:tc>
        <w:tc>
          <w:tcPr>
            <w:tcW w:type="dxa" w:w="3289"/>
            <w:shd w:val="clear" w:color="auto" w:fill="E11D48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Valeur</w:t>
            </w:r>
          </w:p>
        </w:tc>
        <w:tc>
          <w:tcPr>
            <w:tcW w:type="dxa" w:w="3289"/>
            <w:shd w:val="clear" w:color="auto" w:fill="E11D48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Précision</w:t>
            </w:r>
          </w:p>
        </w:tc>
      </w:tr>
      <w:t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Seuil HTA au cabinet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140/90 mmHg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sur 2 consultations</w:t>
            </w:r>
          </w:p>
        </w:tc>
      </w:tr>
      <w:tr>
        <w:tc>
          <w:tcPr>
            <w:tcW w:type="dxa" w:w="3289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Seuil en automesure</w:t>
            </w:r>
          </w:p>
        </w:tc>
        <w:tc>
          <w:tcPr>
            <w:tcW w:type="dxa" w:w="3289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135/85 mmHg</w:t>
            </w:r>
          </w:p>
        </w:tc>
        <w:tc>
          <w:tcPr>
            <w:tcW w:type="dxa" w:w="3289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règle des 3</w:t>
            </w:r>
          </w:p>
        </w:tc>
      </w:tr>
      <w:t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Apports en sel conseillés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&lt; 6 g/j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mesure hygiéno-diététique</w:t>
            </w:r>
          </w:p>
        </w:tc>
      </w:tr>
      <w:tr>
        <w:tc>
          <w:tcPr>
            <w:tcW w:type="dxa" w:w="3289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Objectif tensionnel</w:t>
            </w:r>
          </w:p>
        </w:tc>
        <w:tc>
          <w:tcPr>
            <w:tcW w:type="dxa" w:w="3289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&lt; 140/90 mmHg</w:t>
            </w:r>
          </w:p>
        </w:tc>
        <w:tc>
          <w:tcPr>
            <w:tcW w:type="dxa" w:w="3289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voire &lt; 130/80 si toléré</w:t>
            </w:r>
          </w:p>
        </w:tc>
      </w:tr>
      <w:t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Prévalence de l'HTA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≈ 30 %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population adulte</w:t>
            </w:r>
          </w:p>
        </w:tc>
      </w:tr>
    </w:tbl>
    <w:p>
      <w:pPr>
        <w:spacing w:after="80"/>
      </w:pPr>
    </w:p>
    <w:p>
      <w:pPr>
        <w:spacing w:before="160"/>
      </w:pPr>
      <w:r>
        <w:rPr>
          <w:rFonts w:ascii="Cormorant Garamond" w:hAnsi="Cormorant Garamond"/>
          <w:b/>
          <w:color w:val="E11D48"/>
          <w:sz w:val="26"/>
        </w:rPr>
        <w:t>Grades de sévérité de l'HTA</w:t>
      </w:r>
    </w:p>
    <w:tbl>
      <w:tblPr>
        <w:tblW w:type="auto" w:w="0"/>
        <w:jc w:val="center"/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shd w:val="clear" w:color="auto" w:fill="E11D48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Grade</w:t>
            </w:r>
          </w:p>
        </w:tc>
        <w:tc>
          <w:tcPr>
            <w:tcW w:type="dxa" w:w="3289"/>
            <w:shd w:val="clear" w:color="auto" w:fill="E11D48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PAS (mmHg)</w:t>
            </w:r>
          </w:p>
        </w:tc>
        <w:tc>
          <w:tcPr>
            <w:tcW w:type="dxa" w:w="3289"/>
            <w:shd w:val="clear" w:color="auto" w:fill="E11D48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PAD (mmHg)</w:t>
            </w:r>
          </w:p>
        </w:tc>
      </w:tr>
      <w:t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Grade 1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140-159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90-99</w:t>
            </w:r>
          </w:p>
        </w:tc>
      </w:tr>
      <w:tr>
        <w:tc>
          <w:tcPr>
            <w:tcW w:type="dxa" w:w="3289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Grade 2</w:t>
            </w:r>
          </w:p>
        </w:tc>
        <w:tc>
          <w:tcPr>
            <w:tcW w:type="dxa" w:w="3289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160-179</w:t>
            </w:r>
          </w:p>
        </w:tc>
        <w:tc>
          <w:tcPr>
            <w:tcW w:type="dxa" w:w="3289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100-109</w:t>
            </w:r>
          </w:p>
        </w:tc>
      </w:tr>
      <w:t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Grade 3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≥ 180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≥ 110</w:t>
            </w:r>
          </w:p>
        </w:tc>
      </w:tr>
    </w:tbl>
    <w:p>
      <w:pPr>
        <w:spacing w:after="80"/>
      </w:pPr>
    </w:p>
    <w:p>
      <w:pPr>
        <w:spacing w:before="160"/>
      </w:pPr>
      <w:r>
        <w:rPr>
          <w:rFonts w:ascii="Cormorant Garamond" w:hAnsi="Cormorant Garamond"/>
          <w:b/>
          <w:color w:val="E11D48"/>
          <w:sz w:val="26"/>
        </w:rPr>
        <w:t>Classes thérapeutiques de première intention</w:t>
      </w:r>
    </w:p>
    <w:tbl>
      <w:tblPr>
        <w:tblW w:type="auto" w:w="0"/>
        <w:jc w:val="center"/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shd w:val="clear" w:color="auto" w:fill="E11D48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Classe</w:t>
            </w:r>
          </w:p>
        </w:tc>
        <w:tc>
          <w:tcPr>
            <w:tcW w:type="dxa" w:w="3289"/>
            <w:shd w:val="clear" w:color="auto" w:fill="E11D48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Exemple</w:t>
            </w:r>
          </w:p>
        </w:tc>
        <w:tc>
          <w:tcPr>
            <w:tcW w:type="dxa" w:w="3289"/>
            <w:shd w:val="clear" w:color="auto" w:fill="E11D48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Indication préférentielle</w:t>
            </w:r>
          </w:p>
        </w:tc>
      </w:tr>
      <w:t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IEC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Ramipril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Diabète, insuffisance cardiaque</w:t>
            </w:r>
          </w:p>
        </w:tc>
      </w:tr>
      <w:tr>
        <w:tc>
          <w:tcPr>
            <w:tcW w:type="dxa" w:w="3289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ARA II</w:t>
            </w:r>
          </w:p>
        </w:tc>
        <w:tc>
          <w:tcPr>
            <w:tcW w:type="dxa" w:w="3289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Losartan</w:t>
            </w:r>
          </w:p>
        </w:tc>
        <w:tc>
          <w:tcPr>
            <w:tcW w:type="dxa" w:w="3289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Intolérance aux IEC (toux)</w:t>
            </w:r>
          </w:p>
        </w:tc>
      </w:tr>
      <w:t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Inhibiteur calcique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Amlodipine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Sujet âgé</w:t>
            </w:r>
          </w:p>
        </w:tc>
      </w:tr>
      <w:tr>
        <w:tc>
          <w:tcPr>
            <w:tcW w:type="dxa" w:w="3289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Diurétique thiazidique</w:t>
            </w:r>
          </w:p>
        </w:tc>
        <w:tc>
          <w:tcPr>
            <w:tcW w:type="dxa" w:w="3289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HCTZ</w:t>
            </w:r>
          </w:p>
        </w:tc>
        <w:tc>
          <w:tcPr>
            <w:tcW w:type="dxa" w:w="3289"/>
            <w:shd w:val="clear" w:color="auto" w:fill="FAF7F2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Sujet âgé</w:t>
            </w:r>
          </w:p>
        </w:tc>
      </w:tr>
      <w:t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Bêtabloquant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Bisoprolol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F2937"/>
                <w:sz w:val="18"/>
              </w:rPr>
              <w:t>Coronaropathie associée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before="320"/>
        <w:jc w:val="center"/>
      </w:pPr>
      <w:r>
        <w:rPr>
          <w:rFonts w:ascii="Inter" w:hAnsi="Inter"/>
          <w:color w:val="C9A961"/>
          <w:spacing w:val="56"/>
          <w:sz w:val="18"/>
        </w:rPr>
        <w:t>RÉVISION EXPRESS</w:t>
      </w:r>
    </w:p>
    <w:p>
      <w:pPr>
        <w:jc w:val="center"/>
      </w:pPr>
      <w:r>
        <w:rPr>
          <w:rFonts w:ascii="Playfair Display" w:hAnsi="Playfair Display"/>
          <w:b/>
          <w:color w:val="1F2937"/>
          <w:sz w:val="52"/>
        </w:rPr>
        <w:t>Fiche éclair</w:t>
      </w:r>
    </w:p>
    <w:p>
      <w:pPr>
        <w:spacing w:after="240"/>
        <w:jc w:val="center"/>
      </w:pPr>
      <w:r>
        <w:rPr>
          <w:rFonts w:ascii="Cormorant Garamond" w:hAnsi="Cormorant Garamond"/>
          <w:i/>
          <w:color w:val="E11D48"/>
          <w:sz w:val="26"/>
        </w:rPr>
        <w:t>Hypertension Artérielle</w:t>
      </w:r>
    </w:p>
    <w:p>
      <w:r>
        <w:rPr>
          <w:rFonts w:ascii="Inter" w:hAnsi="Inter"/>
          <w:b/>
          <w:i w:val="0"/>
          <w:color w:val="BE123C"/>
          <w:sz w:val="20"/>
        </w:rPr>
        <w:t>Définition</w:t>
      </w:r>
      <w:r>
        <w:rPr>
          <w:rFonts w:ascii="Inter" w:hAnsi="Inter"/>
          <w:b w:val="0"/>
          <w:i w:val="0"/>
          <w:color w:val="1F2937"/>
          <w:sz w:val="20"/>
        </w:rPr>
        <w:t xml:space="preserve"> : PA ≥ 140/90 mmHg au cabinet (135/85 en automesure), confirmée sur 2 consultations.</w:t>
      </w:r>
    </w:p>
    <w:p>
      <w:r>
        <w:rPr>
          <w:rFonts w:ascii="Inter" w:hAnsi="Inter"/>
          <w:b/>
          <w:i w:val="0"/>
          <w:color w:val="BE123C"/>
          <w:sz w:val="20"/>
        </w:rPr>
        <w:t>Diagnostic</w:t>
      </w:r>
      <w:r>
        <w:rPr>
          <w:rFonts w:ascii="Inter" w:hAnsi="Inter"/>
          <w:b w:val="0"/>
          <w:i w:val="0"/>
          <w:color w:val="1F2937"/>
          <w:sz w:val="20"/>
        </w:rPr>
        <w:t xml:space="preserve"> : MAPA = examen de référence ; rechercher HTA blouse blanche et HTA masquée.</w:t>
      </w:r>
    </w:p>
    <w:p>
      <w:r>
        <w:rPr>
          <w:rFonts w:ascii="Inter" w:hAnsi="Inter"/>
          <w:b/>
          <w:i w:val="0"/>
          <w:color w:val="BE123C"/>
          <w:sz w:val="20"/>
        </w:rPr>
        <w:t>Bilan</w:t>
      </w:r>
      <w:r>
        <w:rPr>
          <w:rFonts w:ascii="Inter" w:hAnsi="Inter"/>
          <w:b w:val="0"/>
          <w:i w:val="0"/>
          <w:color w:val="1F2937"/>
          <w:sz w:val="20"/>
        </w:rPr>
        <w:t xml:space="preserve"> : organes cibles (cœur, rein, œil) + bilan biologique minimal ; évoquer une HTA secondaire si résistance ou sujet jeune.</w:t>
      </w:r>
    </w:p>
    <w:p>
      <w:r>
        <w:rPr>
          <w:rFonts w:ascii="Inter" w:hAnsi="Inter"/>
          <w:b/>
          <w:i w:val="0"/>
          <w:color w:val="BE123C"/>
          <w:sz w:val="20"/>
        </w:rPr>
        <w:t>Traitement</w:t>
      </w:r>
      <w:r>
        <w:rPr>
          <w:rFonts w:ascii="Inter" w:hAnsi="Inter"/>
          <w:b w:val="0"/>
          <w:i w:val="0"/>
          <w:color w:val="1F2937"/>
          <w:sz w:val="20"/>
        </w:rPr>
        <w:t xml:space="preserve"> : RHD systématiques + 5 classes (IEC, ARA II, calciques, diurétiques, bêtabloquants) ; bithérapie d'emblée fréquente ; objectif &lt; 140/90 mmHg.</w:t>
      </w:r>
    </w:p>
    <w:p>
      <w:pPr>
        <w:pBdr>
          <w:bottom w:val="single" w:sz="4" w:space="4" w:color="C9A961"/>
        </w:pBdr>
        <w:spacing w:before="180" w:after="40"/>
      </w:pPr>
      <w:r>
        <w:rPr>
          <w:rFonts w:ascii="Cormorant Garamond" w:hAnsi="Cormorant Garamond"/>
          <w:b/>
          <w:color w:val="E11D48"/>
          <w:sz w:val="26"/>
        </w:rPr>
        <w:t>À retenir absolument</w:t>
      </w:r>
    </w:p>
    <w:p>
      <w:pPr>
        <w:pStyle w:val="ListBullet"/>
        <w:spacing w:after="80"/>
      </w:pPr>
      <w:r>
        <w:rPr>
          <w:rFonts w:ascii="Inter" w:hAnsi="Inter"/>
          <w:b w:val="0"/>
          <w:i w:val="0"/>
          <w:color w:val="1F2937"/>
          <w:sz w:val="21"/>
        </w:rPr>
        <w:t>L'</w:t>
      </w:r>
      <w:r>
        <w:rPr>
          <w:rFonts w:ascii="Inter" w:hAnsi="Inter"/>
          <w:b/>
          <w:i w:val="0"/>
          <w:color w:val="BE123C"/>
          <w:sz w:val="21"/>
        </w:rPr>
        <w:t>HTA</w:t>
      </w:r>
      <w:r>
        <w:rPr>
          <w:rFonts w:ascii="Inter" w:hAnsi="Inter"/>
          <w:b w:val="0"/>
          <w:i w:val="0"/>
          <w:color w:val="1F2937"/>
          <w:sz w:val="21"/>
        </w:rPr>
        <w:t xml:space="preserve"> est définie par une PA </w:t>
      </w:r>
      <w:r>
        <w:rPr>
          <w:rFonts w:ascii="Inter" w:hAnsi="Inter"/>
          <w:b/>
          <w:i w:val="0"/>
          <w:color w:val="BE123C"/>
          <w:sz w:val="21"/>
        </w:rPr>
        <w:t>≥ 140/90 mmHg</w:t>
      </w:r>
      <w:r>
        <w:rPr>
          <w:rFonts w:ascii="Inter" w:hAnsi="Inter"/>
          <w:b w:val="0"/>
          <w:i w:val="0"/>
          <w:color w:val="1F2937"/>
          <w:sz w:val="21"/>
        </w:rPr>
        <w:t xml:space="preserve"> au cabinet, confirmée sur des mesures répétées.</w:t>
      </w:r>
    </w:p>
    <w:p>
      <w:pPr>
        <w:pStyle w:val="ListBullet"/>
        <w:spacing w:after="80"/>
      </w:pPr>
      <w:r>
        <w:rPr>
          <w:rFonts w:ascii="Inter" w:hAnsi="Inter"/>
          <w:b w:val="0"/>
          <w:i w:val="0"/>
          <w:color w:val="1F2937"/>
          <w:sz w:val="21"/>
        </w:rPr>
        <w:t xml:space="preserve">La </w:t>
      </w:r>
      <w:r>
        <w:rPr>
          <w:rFonts w:ascii="Inter" w:hAnsi="Inter"/>
          <w:b/>
          <w:i w:val="0"/>
          <w:color w:val="BE123C"/>
          <w:sz w:val="21"/>
        </w:rPr>
        <w:t>MAPA</w:t>
      </w:r>
      <w:r>
        <w:rPr>
          <w:rFonts w:ascii="Inter" w:hAnsi="Inter"/>
          <w:b w:val="0"/>
          <w:i w:val="0"/>
          <w:color w:val="1F2937"/>
          <w:sz w:val="21"/>
        </w:rPr>
        <w:t xml:space="preserve"> et l'</w:t>
      </w:r>
      <w:r>
        <w:rPr>
          <w:rFonts w:ascii="Inter" w:hAnsi="Inter"/>
          <w:b/>
          <w:i w:val="0"/>
          <w:color w:val="BE123C"/>
          <w:sz w:val="21"/>
        </w:rPr>
        <w:t>automesure</w:t>
      </w:r>
      <w:r>
        <w:rPr>
          <w:rFonts w:ascii="Inter" w:hAnsi="Inter"/>
          <w:b w:val="0"/>
          <w:i w:val="0"/>
          <w:color w:val="1F2937"/>
          <w:sz w:val="21"/>
        </w:rPr>
        <w:t xml:space="preserve"> confirment le diagnostic et dépistent l'HTA blouse blanche et l'HTA masquée.</w:t>
      </w:r>
    </w:p>
    <w:p>
      <w:pPr>
        <w:pStyle w:val="ListBullet"/>
        <w:spacing w:after="80"/>
      </w:pPr>
      <w:r>
        <w:rPr>
          <w:rFonts w:ascii="Inter" w:hAnsi="Inter"/>
          <w:b w:val="0"/>
          <w:i w:val="0"/>
          <w:color w:val="1F2937"/>
          <w:sz w:val="21"/>
        </w:rPr>
        <w:t xml:space="preserve">Le bilan initial recherche une </w:t>
      </w:r>
      <w:r>
        <w:rPr>
          <w:rFonts w:ascii="Inter" w:hAnsi="Inter"/>
          <w:b/>
          <w:i w:val="0"/>
          <w:color w:val="BE123C"/>
          <w:sz w:val="21"/>
        </w:rPr>
        <w:t>atteinte des organes cibles</w:t>
      </w:r>
      <w:r>
        <w:rPr>
          <w:rFonts w:ascii="Inter" w:hAnsi="Inter"/>
          <w:b w:val="0"/>
          <w:i w:val="0"/>
          <w:color w:val="1F2937"/>
          <w:sz w:val="21"/>
        </w:rPr>
        <w:t xml:space="preserve"> et une </w:t>
      </w:r>
      <w:r>
        <w:rPr>
          <w:rFonts w:ascii="Inter" w:hAnsi="Inter"/>
          <w:b/>
          <w:i w:val="0"/>
          <w:color w:val="BE123C"/>
          <w:sz w:val="21"/>
        </w:rPr>
        <w:t>HTA secondaire</w:t>
      </w:r>
      <w:r>
        <w:rPr>
          <w:rFonts w:ascii="Inter" w:hAnsi="Inter"/>
          <w:b w:val="0"/>
          <w:i w:val="0"/>
          <w:color w:val="1F2937"/>
          <w:sz w:val="21"/>
        </w:rPr>
        <w:t>.</w:t>
      </w:r>
    </w:p>
    <w:p>
      <w:pPr>
        <w:pStyle w:val="ListBullet"/>
        <w:spacing w:after="80"/>
      </w:pPr>
      <w:r>
        <w:rPr>
          <w:rFonts w:ascii="Inter" w:hAnsi="Inter"/>
          <w:b w:val="0"/>
          <w:i w:val="0"/>
          <w:color w:val="1F2937"/>
          <w:sz w:val="21"/>
        </w:rPr>
        <w:t xml:space="preserve">Les </w:t>
      </w:r>
      <w:r>
        <w:rPr>
          <w:rFonts w:ascii="Inter" w:hAnsi="Inter"/>
          <w:b/>
          <w:i w:val="0"/>
          <w:color w:val="BE123C"/>
          <w:sz w:val="21"/>
        </w:rPr>
        <w:t>règles hygiéno-diététiques</w:t>
      </w:r>
      <w:r>
        <w:rPr>
          <w:rFonts w:ascii="Inter" w:hAnsi="Inter"/>
          <w:b w:val="0"/>
          <w:i w:val="0"/>
          <w:color w:val="1F2937"/>
          <w:sz w:val="21"/>
        </w:rPr>
        <w:t xml:space="preserve"> sont la base du traitement.</w:t>
      </w:r>
    </w:p>
    <w:p>
      <w:pPr>
        <w:pStyle w:val="ListBullet"/>
        <w:spacing w:after="80"/>
      </w:pPr>
      <w:r>
        <w:rPr>
          <w:rFonts w:ascii="Inter" w:hAnsi="Inter"/>
          <w:b w:val="0"/>
          <w:i w:val="0"/>
          <w:color w:val="1F2937"/>
          <w:sz w:val="21"/>
        </w:rPr>
        <w:t xml:space="preserve">Cinq classes de 1re intention ; la </w:t>
      </w:r>
      <w:r>
        <w:rPr>
          <w:rFonts w:ascii="Inter" w:hAnsi="Inter"/>
          <w:b/>
          <w:i w:val="0"/>
          <w:color w:val="BE123C"/>
          <w:sz w:val="21"/>
        </w:rPr>
        <w:t>bithérapie</w:t>
      </w:r>
      <w:r>
        <w:rPr>
          <w:rFonts w:ascii="Inter" w:hAnsi="Inter"/>
          <w:b w:val="0"/>
          <w:i w:val="0"/>
          <w:color w:val="1F2937"/>
          <w:sz w:val="21"/>
        </w:rPr>
        <w:t xml:space="preserve"> est souvent d'emblée.</w:t>
      </w:r>
    </w:p>
    <w:p>
      <w:pPr>
        <w:pStyle w:val="ListBullet"/>
        <w:spacing w:after="80"/>
      </w:pPr>
      <w:r>
        <w:rPr>
          <w:rFonts w:ascii="Inter" w:hAnsi="Inter"/>
          <w:b w:val="0"/>
          <w:i w:val="0"/>
          <w:color w:val="1F2937"/>
          <w:sz w:val="21"/>
        </w:rPr>
        <w:t xml:space="preserve">Objectif : </w:t>
      </w:r>
      <w:r>
        <w:rPr>
          <w:rFonts w:ascii="Inter" w:hAnsi="Inter"/>
          <w:b/>
          <w:i w:val="0"/>
          <w:color w:val="BE123C"/>
          <w:sz w:val="21"/>
        </w:rPr>
        <w:t>&lt; 140/90 mmHg</w:t>
      </w:r>
      <w:r>
        <w:rPr>
          <w:rFonts w:ascii="Inter" w:hAnsi="Inter"/>
          <w:b w:val="0"/>
          <w:i w:val="0"/>
          <w:color w:val="1F2937"/>
          <w:sz w:val="21"/>
        </w:rPr>
        <w:t xml:space="preserve">, idéalement </w:t>
      </w:r>
      <w:r>
        <w:rPr>
          <w:rFonts w:ascii="Inter" w:hAnsi="Inter"/>
          <w:b/>
          <w:i w:val="0"/>
          <w:color w:val="BE123C"/>
          <w:sz w:val="21"/>
        </w:rPr>
        <w:t>&lt; 130/80 mmHg</w:t>
      </w:r>
      <w:r>
        <w:rPr>
          <w:rFonts w:ascii="Inter" w:hAnsi="Inter"/>
          <w:b w:val="0"/>
          <w:i w:val="0"/>
          <w:color w:val="1F2937"/>
          <w:sz w:val="21"/>
        </w:rPr>
        <w:t xml:space="preserve"> si toléré.</w:t>
      </w:r>
    </w:p>
    <w:p>
      <w:pPr>
        <w:spacing w:before="320"/>
        <w:jc w:val="center"/>
      </w:pPr>
      <w:r>
        <w:drawing>
          <wp:inline xmlns:a="http://schemas.openxmlformats.org/drawingml/2006/main" xmlns:pic="http://schemas.openxmlformats.org/drawingml/2006/picture">
            <wp:extent cx="792000" cy="396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major_ec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92000" cy="3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Inter" w:hAnsi="Inter"/>
          <w:color w:val="9CA3AF"/>
          <w:spacing w:val="36"/>
          <w:sz w:val="17"/>
        </w:rPr>
        <w:t>MAJOR ECN  ·  2025-2026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020" w:bottom="1020" w:left="102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865" w:val="right"/>
      </w:tabs>
    </w:pPr>
    <w:r/>
    <w:r>
      <w:rPr>
        <w:rFonts w:ascii="Inter" w:hAnsi="Inter"/>
        <w:color w:val="9CA3AF"/>
        <w:spacing w:val="24"/>
        <w:sz w:val="16"/>
      </w:rPr>
      <w:t>MAJOR ECN  ·  2025-2026</w:t>
      <w:tab/>
    </w:r>
    <w:r>
      <w:rPr>
        <w:rFonts w:ascii="Inter" w:hAnsi="Inter"/>
        <w:b/>
        <w:color w:val="E11D48"/>
        <w:sz w:val="17"/>
      </w:rPr>
      <w:fldChar w:fldCharType="begin"/>
      <w:instrText xml:space="preserve">PAGE</w:instrText>
      <w:fldChar w:fldCharType="end"/>
    </w:r>
    <w:r>
      <w:rPr>
        <w:rFonts w:ascii="Inter" w:hAnsi="Inter"/>
        <w:b/>
        <w:color w:val="E11D48"/>
        <w:sz w:val="17"/>
      </w:rPr>
      <w:t xml:space="preserve">  /  </w:t>
    </w:r>
    <w:r>
      <w:rPr>
        <w:rFonts w:ascii="Inter" w:hAnsi="Inter"/>
        <w:b/>
        <w:color w:val="E11D48"/>
        <w:sz w:val="17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E11D48"/>
      </w:pBdr>
    </w:pPr>
    <w:r/>
    <w:r>
      <w:rPr>
        <w:rFonts w:ascii="Inter" w:hAnsi="Inter"/>
        <w:i/>
        <w:color w:val="9CA3AF"/>
        <w:sz w:val="16"/>
      </w:rPr>
      <w:t>Hypertension Artérielle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Inter" w:hAnsi="Inter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