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14173" w:hRule="atLeast"/>
        </w:trPr>
        <w:tc>
          <w:tcPr>
            <w:tcW w:type="dxa" w:w="1361"/>
            <w:shd w:val="clear" w:color="auto" w:fill="E11D48"/>
          </w:tcPr>
          <w:p/>
        </w:tc>
        <w:tc>
          <w:tcPr>
            <w:tcW w:type="dxa" w:w="850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ajor_ec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28"/>
              </w:rPr>
            </w:r>
          </w:p>
          <w:p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rFonts w:ascii="Inter" w:hAnsi="Inter"/>
                <w:b/>
                <w:color w:val="C9A961"/>
                <w:spacing w:val="80"/>
                <w:sz w:val="26"/>
              </w:rPr>
              <w:t>HÉMATOLOGIE</w:t>
            </w:r>
          </w:p>
          <w:p>
            <w:pPr>
              <w:jc w:val="center"/>
            </w:pPr>
            <w:r>
              <w:rPr>
                <w:rFonts w:ascii="Cormorant Garamond" w:hAnsi="Cormorant Garamond"/>
                <w:color w:val="C9A961"/>
                <w:sz w:val="24"/>
              </w:rPr>
              <w:t>— · —</w:t>
            </w:r>
          </w:p>
          <w:p>
            <w:pPr>
              <w:jc w:val="center"/>
            </w:pPr>
            <w:r>
              <w:rPr>
                <w:rFonts w:ascii="Playfair Display" w:hAnsi="Playfair Display"/>
                <w:b/>
                <w:color w:val="1F2937"/>
                <w:sz w:val="68"/>
              </w:rPr>
              <w:t>Hématopoïèse</w:t>
            </w:r>
          </w:p>
          <w:p>
            <w:pPr>
              <w:jc w:val="center"/>
            </w:pPr>
            <w:r>
              <w:rPr>
                <w:rFonts w:ascii="Cormorant Garamond" w:hAnsi="Cormorant Garamond"/>
                <w:color w:val="C9A961"/>
                <w:sz w:val="24"/>
              </w:rPr>
              <w:t>— · —</w:t>
            </w:r>
          </w:p>
          <w:p>
            <w:pPr>
              <w:jc w:val="center"/>
            </w:pPr>
            <w:r>
              <w:rPr>
                <w:rFonts w:ascii="Cormorant Garamond" w:hAnsi="Cormorant Garamond"/>
                <w:i/>
                <w:color w:val="1F2937"/>
                <w:sz w:val="32"/>
              </w:rPr>
              <w:t>Année 2025-2026</w:t>
            </w:r>
          </w:p>
          <w:p>
            <w:r>
              <w:rPr>
                <w:sz w:val="28"/>
              </w:rPr>
            </w:r>
          </w:p>
          <w:p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rFonts w:ascii="Cormorant Garamond" w:hAnsi="Cormorant Garamond"/>
                <w:i/>
                <w:color w:val="E11D48"/>
                <w:sz w:val="24"/>
              </w:rPr>
              <w:t>Hématologie</w:t>
            </w:r>
          </w:p>
          <w:p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rFonts w:ascii="Inter" w:hAnsi="Inter"/>
                <w:b/>
                <w:color w:val="C9A961"/>
                <w:spacing w:val="44"/>
                <w:sz w:val="18"/>
              </w:rPr>
              <w:t>LÉGENDE</w:t>
            </w:r>
          </w:p>
          <w:p>
            <w:pPr>
              <w:spacing w:after="40"/>
              <w:jc w:val="center"/>
            </w:pPr>
            <w:r>
              <w:rPr>
                <w:b/>
                <w:color w:val="C9A961"/>
                <w:sz w:val="22"/>
              </w:rPr>
              <w:t xml:space="preserve">★  </w:t>
            </w:r>
            <w:r>
              <w:rPr>
                <w:rFonts w:ascii="Inter" w:hAnsi="Inter"/>
                <w:color w:val="1F2937"/>
                <w:sz w:val="18"/>
              </w:rPr>
              <w:t>Déjà tombé aux ECN</w:t>
            </w:r>
          </w:p>
          <w:p>
            <w:pPr>
              <w:spacing w:after="40"/>
              <w:jc w:val="center"/>
            </w:pPr>
            <w:r>
              <w:rPr>
                <w:b/>
                <w:color w:val="E11D48"/>
                <w:sz w:val="22"/>
              </w:rPr>
              <w:t xml:space="preserve">◆  </w:t>
            </w:r>
            <w:r>
              <w:rPr>
                <w:rFonts w:ascii="Inter" w:hAnsi="Inter"/>
                <w:color w:val="1F2937"/>
                <w:sz w:val="18"/>
              </w:rPr>
              <w:t>Notion à haut rendement</w:t>
            </w:r>
          </w:p>
          <w:p>
            <w:pPr>
              <w:spacing w:after="40"/>
              <w:jc w:val="center"/>
            </w:pPr>
            <w:r>
              <w:rPr>
                <w:b/>
                <w:color w:val="B91C1C"/>
                <w:sz w:val="22"/>
              </w:rPr>
              <w:t xml:space="preserve">⚠  </w:t>
            </w:r>
            <w:r>
              <w:rPr>
                <w:rFonts w:ascii="Inter" w:hAnsi="Inter"/>
                <w:color w:val="1F2937"/>
                <w:sz w:val="18"/>
              </w:rPr>
              <w:t>Piège classique</w:t>
            </w:r>
          </w:p>
        </w:tc>
      </w:tr>
    </w:tbl>
    <w:p>
      <w:r>
        <w:br w:type="page"/>
      </w:r>
    </w:p>
    <w:p>
      <w:pPr>
        <w:pBdr>
          <w:top w:val="single" w:sz="12" w:space="6" w:color="E11D48"/>
          <w:bottom w:val="single" w:sz="12" w:space="6" w:color="E11D48"/>
        </w:pBdr>
        <w:spacing w:before="80"/>
        <w:jc w:val="center"/>
      </w:pPr>
      <w:r>
        <w:rPr>
          <w:rFonts w:ascii="Playfair Display" w:hAnsi="Playfair Display"/>
          <w:b/>
          <w:color w:val="1F2937"/>
          <w:sz w:val="46"/>
        </w:rPr>
        <w:t>Plan du cours</w:t>
      </w:r>
    </w:p>
    <w:p>
      <w:pPr>
        <w:spacing w:after="240"/>
        <w:jc w:val="center"/>
      </w:pPr>
      <w:r>
        <w:rPr>
          <w:rFonts w:ascii="Cormorant Garamond" w:hAnsi="Cormorant Garamond"/>
          <w:i/>
          <w:color w:val="C9A961"/>
          <w:sz w:val="24"/>
        </w:rPr>
        <w:t>Hématologie  ·  Hématopoïèse</w:t>
      </w:r>
    </w:p>
    <w:p>
      <w:pPr>
        <w:spacing w:before="160"/>
      </w:pPr>
      <w:r>
        <w:rPr>
          <w:rFonts w:ascii="Playfair Display" w:hAnsi="Playfair Display"/>
          <w:b/>
          <w:color w:val="E11D48"/>
          <w:sz w:val="28"/>
        </w:rPr>
        <w:t xml:space="preserve">I.  </w:t>
      </w:r>
      <w:r>
        <w:rPr>
          <w:rFonts w:ascii="Cormorant Garamond" w:hAnsi="Cormorant Garamond"/>
          <w:b/>
          <w:color w:val="1F2937"/>
          <w:sz w:val="27"/>
        </w:rPr>
        <w:t>Organisation du tissu hématopoïétique</w:t>
      </w:r>
    </w:p>
    <w:p>
      <w:pPr>
        <w:ind w:left="454"/>
      </w:pPr>
      <w:r>
        <w:rPr>
          <w:rFonts w:ascii="Cormorant Garamond" w:hAnsi="Cormorant Garamond"/>
          <w:i/>
          <w:color w:val="9CA3AF"/>
          <w:sz w:val="21"/>
        </w:rPr>
        <w:t>Sites de l'hématopoïèse, moelle osseuse et organes lymphoïdes.</w:t>
      </w:r>
    </w:p>
    <w:p>
      <w:pPr>
        <w:ind w:left="567"/>
      </w:pPr>
      <w:r>
        <w:rPr>
          <w:b/>
          <w:color w:val="C9A961"/>
          <w:sz w:val="21"/>
        </w:rPr>
        <w:t xml:space="preserve">A.  </w:t>
      </w:r>
      <w:r>
        <w:rPr>
          <w:b/>
          <w:sz w:val="21"/>
        </w:rPr>
        <w:t>Moelle osseuse hématopoïétique</w:t>
      </w:r>
      <w:r>
        <w:rPr>
          <w:rFonts w:ascii="Cormorant Garamond" w:hAnsi="Cormorant Garamond"/>
          <w:i/>
          <w:color w:val="9CA3AF"/>
          <w:sz w:val="20"/>
        </w:rPr>
        <w:t xml:space="preserve"> — Localisation et microenvironnement.</w:t>
      </w:r>
    </w:p>
    <w:p>
      <w:pPr>
        <w:ind w:left="567"/>
      </w:pPr>
      <w:r>
        <w:rPr>
          <w:b/>
          <w:color w:val="C9A961"/>
          <w:sz w:val="21"/>
        </w:rPr>
        <w:t xml:space="preserve">B.  </w:t>
      </w:r>
      <w:r>
        <w:rPr>
          <w:b/>
          <w:sz w:val="21"/>
        </w:rPr>
        <w:t>Organes lymphoïdes</w:t>
      </w:r>
      <w:r>
        <w:rPr>
          <w:rFonts w:ascii="Cormorant Garamond" w:hAnsi="Cormorant Garamond"/>
          <w:i/>
          <w:color w:val="9CA3AF"/>
          <w:sz w:val="20"/>
        </w:rPr>
        <w:t xml:space="preserve"> — Organes centraux et périphériques.</w:t>
      </w:r>
    </w:p>
    <w:p>
      <w:pPr>
        <w:spacing w:before="160"/>
      </w:pPr>
      <w:r>
        <w:rPr>
          <w:rFonts w:ascii="Playfair Display" w:hAnsi="Playfair Display"/>
          <w:b/>
          <w:color w:val="E11D48"/>
          <w:sz w:val="28"/>
        </w:rPr>
        <w:t xml:space="preserve">II.  </w:t>
      </w:r>
      <w:r>
        <w:rPr>
          <w:rFonts w:ascii="Cormorant Garamond" w:hAnsi="Cormorant Garamond"/>
          <w:b/>
          <w:color w:val="1F2937"/>
          <w:sz w:val="27"/>
        </w:rPr>
        <w:t>Cellules souches et cascade hématopoïétique</w:t>
      </w:r>
    </w:p>
    <w:p>
      <w:pPr>
        <w:ind w:left="454"/>
      </w:pPr>
      <w:r>
        <w:rPr>
          <w:rFonts w:ascii="Cormorant Garamond" w:hAnsi="Cormorant Garamond"/>
          <w:i/>
          <w:color w:val="9CA3AF"/>
          <w:sz w:val="21"/>
        </w:rPr>
        <w:t>Cellules souches et compartiments de différenciation.</w:t>
      </w:r>
    </w:p>
    <w:p>
      <w:pPr>
        <w:ind w:left="567"/>
      </w:pPr>
      <w:r>
        <w:rPr>
          <w:b/>
          <w:color w:val="C9A961"/>
          <w:sz w:val="21"/>
        </w:rPr>
        <w:t xml:space="preserve">A.  </w:t>
      </w:r>
      <w:r>
        <w:rPr>
          <w:b/>
          <w:sz w:val="21"/>
        </w:rPr>
        <w:t>Cellules souches hématopoïétiques</w:t>
      </w:r>
      <w:r>
        <w:rPr>
          <w:rFonts w:ascii="Cormorant Garamond" w:hAnsi="Cormorant Garamond"/>
          <w:i/>
          <w:color w:val="9CA3AF"/>
          <w:sz w:val="20"/>
        </w:rPr>
        <w:t xml:space="preserve"> — Définition, propriétés, marqueurs.</w:t>
      </w:r>
    </w:p>
    <w:p>
      <w:pPr>
        <w:ind w:left="567"/>
      </w:pPr>
      <w:r>
        <w:rPr>
          <w:b/>
          <w:color w:val="C9A961"/>
          <w:sz w:val="21"/>
        </w:rPr>
        <w:t xml:space="preserve">B.  </w:t>
      </w:r>
      <w:r>
        <w:rPr>
          <w:b/>
          <w:sz w:val="21"/>
        </w:rPr>
        <w:t>Les trois compartiments de la cascade</w:t>
      </w:r>
      <w:r>
        <w:rPr>
          <w:rFonts w:ascii="Cormorant Garamond" w:hAnsi="Cormorant Garamond"/>
          <w:i/>
          <w:color w:val="9CA3AF"/>
          <w:sz w:val="20"/>
        </w:rPr>
        <w:t xml:space="preserve"> — Progéniteurs, précurseurs, cellules matures.</w:t>
      </w:r>
    </w:p>
    <w:p>
      <w:pPr>
        <w:spacing w:before="160"/>
      </w:pPr>
      <w:r>
        <w:rPr>
          <w:rFonts w:ascii="Playfair Display" w:hAnsi="Playfair Display"/>
          <w:b/>
          <w:color w:val="E11D48"/>
          <w:sz w:val="28"/>
        </w:rPr>
        <w:t xml:space="preserve">III.  </w:t>
      </w:r>
      <w:r>
        <w:rPr>
          <w:rFonts w:ascii="Cormorant Garamond" w:hAnsi="Cormorant Garamond"/>
          <w:b/>
          <w:color w:val="1F2937"/>
          <w:sz w:val="27"/>
        </w:rPr>
        <w:t>Régulation de l'hématopoïèse</w:t>
      </w:r>
    </w:p>
    <w:p>
      <w:pPr>
        <w:ind w:left="454"/>
      </w:pPr>
      <w:r>
        <w:rPr>
          <w:rFonts w:ascii="Cormorant Garamond" w:hAnsi="Cormorant Garamond"/>
          <w:i/>
          <w:color w:val="9CA3AF"/>
          <w:sz w:val="21"/>
        </w:rPr>
        <w:t>Facteurs de croissance et microenvironnement.</w:t>
      </w:r>
    </w:p>
    <w:p>
      <w:pPr>
        <w:ind w:left="567"/>
      </w:pPr>
      <w:r>
        <w:rPr>
          <w:b/>
          <w:color w:val="C9A961"/>
          <w:sz w:val="21"/>
        </w:rPr>
        <w:t xml:space="preserve">A.  </w:t>
      </w:r>
      <w:r>
        <w:rPr>
          <w:b/>
          <w:sz w:val="21"/>
        </w:rPr>
        <w:t>Facteurs de croissance hématopoïétiques</w:t>
      </w:r>
      <w:r>
        <w:rPr>
          <w:rFonts w:ascii="Cormorant Garamond" w:hAnsi="Cormorant Garamond"/>
          <w:i/>
          <w:color w:val="9CA3AF"/>
          <w:sz w:val="20"/>
        </w:rPr>
        <w:t xml:space="preserve"> — Facteurs de différenciation et facteurs amont.</w:t>
      </w:r>
    </w:p>
    <w:p>
      <w:pPr>
        <w:ind w:left="567"/>
      </w:pPr>
      <w:r>
        <w:rPr>
          <w:b/>
          <w:color w:val="C9A961"/>
          <w:sz w:val="21"/>
        </w:rPr>
        <w:t xml:space="preserve">B.  </w:t>
      </w:r>
      <w:r>
        <w:rPr>
          <w:b/>
          <w:sz w:val="21"/>
        </w:rPr>
        <w:t>Microenvironnement et régulation cellulaire</w:t>
      </w:r>
      <w:r>
        <w:rPr>
          <w:rFonts w:ascii="Cormorant Garamond" w:hAnsi="Cormorant Garamond"/>
          <w:i/>
          <w:color w:val="9CA3AF"/>
          <w:sz w:val="20"/>
        </w:rPr>
        <w:t xml:space="preserve"> — Hypoxie et îlot érythroblastique.</w:t>
      </w:r>
    </w:p>
    <w:p>
      <w:pPr>
        <w:spacing w:before="160"/>
      </w:pPr>
      <w:r>
        <w:rPr>
          <w:rFonts w:ascii="Playfair Display" w:hAnsi="Playfair Display"/>
          <w:b/>
          <w:color w:val="E11D48"/>
          <w:sz w:val="28"/>
        </w:rPr>
        <w:t xml:space="preserve">IV.  </w:t>
      </w:r>
      <w:r>
        <w:rPr>
          <w:rFonts w:ascii="Cormorant Garamond" w:hAnsi="Cormorant Garamond"/>
          <w:b/>
          <w:color w:val="1F2937"/>
          <w:sz w:val="27"/>
        </w:rPr>
        <w:t>Lignée érythrocytaire et hémoglobine</w:t>
      </w:r>
    </w:p>
    <w:p>
      <w:pPr>
        <w:ind w:left="454"/>
      </w:pPr>
      <w:r>
        <w:rPr>
          <w:rFonts w:ascii="Cormorant Garamond" w:hAnsi="Cormorant Garamond"/>
          <w:i/>
          <w:color w:val="9CA3AF"/>
          <w:sz w:val="21"/>
        </w:rPr>
        <w:t>Érythropoïèse, structure de l'hématie et hémolyse.</w:t>
      </w:r>
    </w:p>
    <w:p>
      <w:pPr>
        <w:ind w:left="567"/>
      </w:pPr>
      <w:r>
        <w:rPr>
          <w:b/>
          <w:color w:val="C9A961"/>
          <w:sz w:val="21"/>
        </w:rPr>
        <w:t xml:space="preserve">A.  </w:t>
      </w:r>
      <w:r>
        <w:rPr>
          <w:b/>
          <w:sz w:val="21"/>
        </w:rPr>
        <w:t>Érythropoïèse</w:t>
      </w:r>
      <w:r>
        <w:rPr>
          <w:rFonts w:ascii="Cormorant Garamond" w:hAnsi="Cormorant Garamond"/>
          <w:i/>
          <w:color w:val="9CA3AF"/>
          <w:sz w:val="20"/>
        </w:rPr>
        <w:t xml:space="preserve"> — Cascade et réticulocyte.</w:t>
      </w:r>
    </w:p>
    <w:p>
      <w:pPr>
        <w:ind w:left="567"/>
      </w:pPr>
      <w:r>
        <w:rPr>
          <w:b/>
          <w:color w:val="C9A961"/>
          <w:sz w:val="21"/>
        </w:rPr>
        <w:t xml:space="preserve">B.  </w:t>
      </w:r>
      <w:r>
        <w:rPr>
          <w:b/>
          <w:sz w:val="21"/>
        </w:rPr>
        <w:t>Structure de l'hématie et hémoglobine</w:t>
      </w:r>
      <w:r>
        <w:rPr>
          <w:rFonts w:ascii="Cormorant Garamond" w:hAnsi="Cormorant Garamond"/>
          <w:i/>
          <w:color w:val="9CA3AF"/>
          <w:sz w:val="20"/>
        </w:rPr>
        <w:t xml:space="preserve"> — Membrane, cytosquelette, hémoglobine.</w:t>
      </w:r>
    </w:p>
    <w:p>
      <w:pPr>
        <w:ind w:left="567"/>
      </w:pPr>
      <w:r>
        <w:rPr>
          <w:b/>
          <w:color w:val="C9A961"/>
          <w:sz w:val="21"/>
        </w:rPr>
        <w:t xml:space="preserve">C.  </w:t>
      </w:r>
      <w:r>
        <w:rPr>
          <w:b/>
          <w:sz w:val="21"/>
        </w:rPr>
        <w:t>Métabolisme et hémolyse de l'hématie</w:t>
      </w:r>
      <w:r>
        <w:rPr>
          <w:rFonts w:ascii="Cormorant Garamond" w:hAnsi="Cormorant Garamond"/>
          <w:i/>
          <w:color w:val="9CA3AF"/>
          <w:sz w:val="20"/>
        </w:rPr>
        <w:t xml:space="preserve"> — Glycolyse, durée de vie, hémolyse.</w:t>
      </w:r>
    </w:p>
    <w:p>
      <w:pPr>
        <w:spacing w:before="160"/>
      </w:pPr>
      <w:r>
        <w:rPr>
          <w:rFonts w:ascii="Playfair Display" w:hAnsi="Playfair Display"/>
          <w:b/>
          <w:color w:val="E11D48"/>
          <w:sz w:val="28"/>
        </w:rPr>
        <w:t xml:space="preserve">V.  </w:t>
      </w:r>
      <w:r>
        <w:rPr>
          <w:rFonts w:ascii="Cormorant Garamond" w:hAnsi="Cormorant Garamond"/>
          <w:b/>
          <w:color w:val="1F2937"/>
          <w:sz w:val="27"/>
        </w:rPr>
        <w:t>Facteurs nutritionnels de l'érythropoïèse</w:t>
      </w:r>
    </w:p>
    <w:p>
      <w:pPr>
        <w:ind w:left="454"/>
      </w:pPr>
      <w:r>
        <w:rPr>
          <w:rFonts w:ascii="Cormorant Garamond" w:hAnsi="Cormorant Garamond"/>
          <w:i/>
          <w:color w:val="9CA3AF"/>
          <w:sz w:val="21"/>
        </w:rPr>
        <w:t>Métabolisme du fer, des folates et de la vitamine B12.</w:t>
      </w:r>
    </w:p>
    <w:p>
      <w:pPr>
        <w:ind w:left="567"/>
      </w:pPr>
      <w:r>
        <w:rPr>
          <w:b/>
          <w:color w:val="C9A961"/>
          <w:sz w:val="21"/>
        </w:rPr>
        <w:t xml:space="preserve">A.  </w:t>
      </w:r>
      <w:r>
        <w:rPr>
          <w:b/>
          <w:sz w:val="21"/>
        </w:rPr>
        <w:t>Métabolisme du fer</w:t>
      </w:r>
      <w:r>
        <w:rPr>
          <w:rFonts w:ascii="Cormorant Garamond" w:hAnsi="Cormorant Garamond"/>
          <w:i/>
          <w:color w:val="9CA3AF"/>
          <w:sz w:val="20"/>
        </w:rPr>
        <w:t xml:space="preserve"> — Répartition, absorption, transport.</w:t>
      </w:r>
    </w:p>
    <w:p>
      <w:pPr>
        <w:ind w:left="567"/>
      </w:pPr>
      <w:r>
        <w:rPr>
          <w:b/>
          <w:color w:val="C9A961"/>
          <w:sz w:val="21"/>
        </w:rPr>
        <w:t xml:space="preserve">B.  </w:t>
      </w:r>
      <w:r>
        <w:rPr>
          <w:b/>
          <w:sz w:val="21"/>
        </w:rPr>
        <w:t>Folates (B9) et vitamine B12</w:t>
      </w:r>
      <w:r>
        <w:rPr>
          <w:rFonts w:ascii="Cormorant Garamond" w:hAnsi="Cormorant Garamond"/>
          <w:i/>
          <w:color w:val="9CA3AF"/>
          <w:sz w:val="20"/>
        </w:rPr>
        <w:t xml:space="preserve"> — Apports, absorption, rôle.</w:t>
      </w:r>
    </w:p>
    <w:p>
      <w:pPr>
        <w:spacing w:before="160"/>
      </w:pPr>
      <w:r>
        <w:rPr>
          <w:rFonts w:ascii="Playfair Display" w:hAnsi="Playfair Display"/>
          <w:b/>
          <w:color w:val="E11D48"/>
          <w:sz w:val="28"/>
        </w:rPr>
        <w:t xml:space="preserve">VI.  </w:t>
      </w:r>
      <w:r>
        <w:rPr>
          <w:rFonts w:ascii="Cormorant Garamond" w:hAnsi="Cormorant Garamond"/>
          <w:b/>
          <w:color w:val="1F2937"/>
          <w:sz w:val="27"/>
        </w:rPr>
        <w:t>Leucocytes et plaquettes</w:t>
      </w:r>
    </w:p>
    <w:p>
      <w:pPr>
        <w:ind w:left="454"/>
      </w:pPr>
      <w:r>
        <w:rPr>
          <w:rFonts w:ascii="Cormorant Garamond" w:hAnsi="Cormorant Garamond"/>
          <w:i/>
          <w:color w:val="9CA3AF"/>
          <w:sz w:val="21"/>
        </w:rPr>
        <w:t>Granulopoïèse, monocytes, lymphocytes et plaquettes.</w:t>
      </w:r>
    </w:p>
    <w:p>
      <w:pPr>
        <w:ind w:left="567"/>
      </w:pPr>
      <w:r>
        <w:rPr>
          <w:b/>
          <w:color w:val="C9A961"/>
          <w:sz w:val="21"/>
        </w:rPr>
        <w:t xml:space="preserve">A.  </w:t>
      </w:r>
      <w:r>
        <w:rPr>
          <w:b/>
          <w:sz w:val="21"/>
        </w:rPr>
        <w:t>Polynucléaires (granulocytes)</w:t>
      </w:r>
      <w:r>
        <w:rPr>
          <w:rFonts w:ascii="Cormorant Garamond" w:hAnsi="Cormorant Garamond"/>
          <w:i/>
          <w:color w:val="9CA3AF"/>
          <w:sz w:val="20"/>
        </w:rPr>
        <w:t xml:space="preserve"> — Neutrophiles, éosinophiles, basophiles.</w:t>
      </w:r>
    </w:p>
    <w:p>
      <w:pPr>
        <w:ind w:left="567"/>
      </w:pPr>
      <w:r>
        <w:rPr>
          <w:b/>
          <w:color w:val="C9A961"/>
          <w:sz w:val="21"/>
        </w:rPr>
        <w:t xml:space="preserve">B.  </w:t>
      </w:r>
      <w:r>
        <w:rPr>
          <w:b/>
          <w:sz w:val="21"/>
        </w:rPr>
        <w:t>Monocytes et lymphocytes</w:t>
      </w:r>
      <w:r>
        <w:rPr>
          <w:rFonts w:ascii="Cormorant Garamond" w:hAnsi="Cormorant Garamond"/>
          <w:i/>
          <w:color w:val="9CA3AF"/>
          <w:sz w:val="20"/>
        </w:rPr>
        <w:t xml:space="preserve"> — Lymphopoïèse B et T, cellules NK.</w:t>
      </w:r>
    </w:p>
    <w:p>
      <w:pPr>
        <w:ind w:left="567"/>
      </w:pPr>
      <w:r>
        <w:rPr>
          <w:b/>
          <w:color w:val="C9A961"/>
          <w:sz w:val="21"/>
        </w:rPr>
        <w:t xml:space="preserve">C.  </w:t>
      </w:r>
      <w:r>
        <w:rPr>
          <w:b/>
          <w:sz w:val="21"/>
        </w:rPr>
        <w:t>Plaquettes sanguines</w:t>
      </w:r>
      <w:r>
        <w:rPr>
          <w:rFonts w:ascii="Cormorant Garamond" w:hAnsi="Cormorant Garamond"/>
          <w:i/>
          <w:color w:val="9CA3AF"/>
          <w:sz w:val="20"/>
        </w:rPr>
        <w:t xml:space="preserve"> — Origine mégacaryocytaire.</w:t>
      </w:r>
    </w:p>
    <w:p>
      <w:pPr>
        <w:spacing w:before="160"/>
      </w:pPr>
      <w:r>
        <w:rPr>
          <w:rFonts w:ascii="Playfair Display" w:hAnsi="Playfair Display"/>
          <w:b/>
          <w:color w:val="E11D48"/>
          <w:sz w:val="28"/>
        </w:rPr>
        <w:t xml:space="preserve">VII.  </w:t>
      </w:r>
      <w:r>
        <w:rPr>
          <w:rFonts w:ascii="Cormorant Garamond" w:hAnsi="Cormorant Garamond"/>
          <w:b/>
          <w:color w:val="1F2937"/>
          <w:sz w:val="27"/>
        </w:rPr>
        <w:t>Exploration hématologique et principales hémopathies</w:t>
      </w:r>
    </w:p>
    <w:p>
      <w:pPr>
        <w:ind w:left="454"/>
      </w:pPr>
      <w:r>
        <w:rPr>
          <w:rFonts w:ascii="Cormorant Garamond" w:hAnsi="Cormorant Garamond"/>
          <w:i/>
          <w:color w:val="9CA3AF"/>
          <w:sz w:val="21"/>
        </w:rPr>
        <w:t>Examens d'exploration et grandes hémopathies.</w:t>
      </w:r>
    </w:p>
    <w:p>
      <w:pPr>
        <w:ind w:left="567"/>
      </w:pPr>
      <w:r>
        <w:rPr>
          <w:b/>
          <w:color w:val="C9A961"/>
          <w:sz w:val="21"/>
        </w:rPr>
        <w:t xml:space="preserve">A.  </w:t>
      </w:r>
      <w:r>
        <w:rPr>
          <w:b/>
          <w:sz w:val="21"/>
        </w:rPr>
        <w:t>Exploration du sang et de la moelle</w:t>
      </w:r>
      <w:r>
        <w:rPr>
          <w:rFonts w:ascii="Cormorant Garamond" w:hAnsi="Cormorant Garamond"/>
          <w:i/>
          <w:color w:val="9CA3AF"/>
          <w:sz w:val="20"/>
        </w:rPr>
        <w:t xml:space="preserve"> — NFS, myélogramme, BOM, immunophénotypage.</w:t>
      </w:r>
    </w:p>
    <w:p>
      <w:pPr>
        <w:ind w:left="567"/>
      </w:pPr>
      <w:r>
        <w:rPr>
          <w:b/>
          <w:color w:val="C9A961"/>
          <w:sz w:val="21"/>
        </w:rPr>
        <w:t xml:space="preserve">B.  </w:t>
      </w:r>
      <w:r>
        <w:rPr>
          <w:b/>
          <w:sz w:val="21"/>
        </w:rPr>
        <w:t>Principales hémopathies</w:t>
      </w:r>
      <w:r>
        <w:rPr>
          <w:rFonts w:ascii="Cormorant Garamond" w:hAnsi="Cormorant Garamond"/>
          <w:i/>
          <w:color w:val="9CA3AF"/>
          <w:sz w:val="20"/>
        </w:rPr>
        <w:t xml:space="preserve"> — Hémopathies malignes et insuffisance médullaire.</w:t>
      </w:r>
    </w:p>
    <w:p>
      <w:r>
        <w:br w:type="page"/>
      </w:r>
    </w:p>
    <w:p>
      <w:pPr>
        <w:keepNext/>
        <w:shd w:val="clear" w:color="auto" w:fill="E11D48"/>
        <w:spacing w:before="40" w:after="200"/>
      </w:pPr>
      <w:r>
        <w:rPr>
          <w:rFonts w:ascii="Playfair Display" w:hAnsi="Playfair Display"/>
          <w:b/>
          <w:color w:val="FFFFFF"/>
          <w:sz w:val="32"/>
        </w:rPr>
        <w:t>I.  Organisation du tissu hématopoïétique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A.  Moelle osseuse hématopoïétique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Sites de l'hématopoïèse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Apparition du sang dès 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21ᵉ jour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 l'embryogenèse (mésoderme du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sac vitellin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Entre 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2ᵉ et le 7ᵉ mois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relais par 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foie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et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rate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2 derniers mois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 vie intra-utérine :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moelle osseuse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devient prédominante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Après la naissance : la moelle est le site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exclusif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 production sanguine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Topographie chez l'adulte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Au cours de l'enfance, le tissu hématopoïétique des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os longs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est remplacé par du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tissu adipeux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Chez l'adulte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3/4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 la moelle hématopoïétique dans les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os plats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(bassin, sternum) et les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vertèbres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Microenvironnement médullaire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Espace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contraint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(cadre osseux non extensible), très richement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vascularisé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(sinus)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Matrice extracellulaire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fibronectine, laminine, collagènes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Cellules stromales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interactions via des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molécules d'adhésion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Niches hématopoïétiques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les cellules immatures y sont fixées ; leur maturation modifie les facteurs d'ancrage et favorise la libération des cellules différenciées dans le sang</w:t>
            </w:r>
          </w:p>
        </w:tc>
      </w:tr>
      <w:tr>
        <w:tc>
          <w:tcPr>
            <w:tcW w:type="dxa" w:w="9865"/>
            <w:gridSpan w:val="2"/>
            <w:tcBorders>
              <w:top w:val="single" w:sz="4" w:space="0" w:color="E11D48"/>
              <w:left w:val="single" w:sz="22" w:space="0" w:color="E11D48"/>
              <w:bottom w:val="single" w:sz="4" w:space="0" w:color="E11D48"/>
              <w:right w:val="single" w:sz="4" w:space="0" w:color="E11D48"/>
            </w:tcBorders>
            <w:shd w:val="clear" w:color="auto" w:fill="FAF7F2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E11D48"/>
                <w:spacing w:val="14"/>
                <w:sz w:val="16"/>
              </w:rPr>
              <w:t>À RETENIR</w:t>
            </w:r>
          </w:p>
          <w:p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Chez l'adulte, la moelle osseuse est le site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exclusif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 l'hématopoïèse, localisée pour les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3/4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dans les os plats et les vertèbres.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B.  Organes lymphoïdes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Organes lymphoïdes centraux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Moelle osseuse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tissu lymphoïde diffus, non folliculaire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Thymus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structure non folliculaire, lobules avec une zone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corticale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(thymocytes immatures CD3+ CD4+ CD8+) et une zone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médullaire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(lymphocytes T matures)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apparaît à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6ᵉ semaine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involue à partir de la puberté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, persiste à l'état de traces jusqu'à ~60 ans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Organes lymphoïdes périphériques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Ganglions lymphatiques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rate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, amygdales, tissu lymphoïde des muqueuses (MALT), système lymphoïde cutané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Des lymphocytes sont présents dans presque tous les organes (sauf 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système nerveux central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)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Structure du ganglion lymphatique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Zone corticale externe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follicules lymphoïdes (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lymphocytes B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Zone paracorticale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lymphocytes T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+ cellules dendritiques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Zone médullaire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pauvre en cellules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Follicule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secondaire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(après stimulation antigénique) : manteau,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centre germinatif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avec zone sombre centroblastique (prolifération,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commutation isotypique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) et zone claire centrocytique (sélection par l'antigène)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Rate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Pulpe rouge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sinus veineux + cordons de Billroth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Pulpe blanche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périartériolaire : manchons lymphoïdes (LT) + follicules lymphoïdes (LB) en périphérie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Organe hématopoïétique jusqu'au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9ᵉ mois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 vie intra-utérine</w:t>
            </w:r>
          </w:p>
        </w:tc>
      </w:tr>
      <w:tr>
        <w:tc>
          <w:tcPr>
            <w:tcW w:type="dxa" w:w="9865"/>
            <w:gridSpan w:val="2"/>
            <w:tcBorders>
              <w:top w:val="single" w:sz="4" w:space="0" w:color="B91C1C"/>
              <w:left w:val="single" w:sz="22" w:space="0" w:color="B91C1C"/>
              <w:bottom w:val="single" w:sz="4" w:space="0" w:color="B91C1C"/>
              <w:right w:val="single" w:sz="4" w:space="0" w:color="B91C1C"/>
            </w:tcBorders>
            <w:shd w:val="clear" w:color="auto" w:fill="FDEDEC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B91C1C"/>
                <w:spacing w:val="14"/>
                <w:sz w:val="16"/>
              </w:rPr>
              <w:t>PIÈGE</w:t>
            </w:r>
          </w:p>
          <w:p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Le thymus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involue à partir de la puberté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ce n'est pas un organe lymphoïde fonctionnellement actif chez l'adulte.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hd w:val="clear" w:color="auto" w:fill="E11D48"/>
        <w:spacing w:before="40" w:after="200"/>
      </w:pPr>
      <w:r>
        <w:rPr>
          <w:rFonts w:ascii="Playfair Display" w:hAnsi="Playfair Display"/>
          <w:b/>
          <w:color w:val="FFFFFF"/>
          <w:sz w:val="32"/>
        </w:rPr>
        <w:t>II.  Cellules souches et cascade hématopoïétique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A.  Cellules souches hématopoïétiques (CSH)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Définition et fonctions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Sous-population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très minoritaire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 progéniteurs immatures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multipotents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Deux fonctions : l'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auto-renouvellement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et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production de cellules différenciées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Capables de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reconstituer à long terme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une hématopoïèse complète (lymphoïde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et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myéloïde) après myéloablation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Modes d'auto-renouvellement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Embryogenèse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auto-renouvellement d'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expansion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— division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symétrique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(1 CSH → 2 CSH), amplification du pool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Après la naissance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auto-renouvellement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de maintien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— division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asymétrique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(1 CSH + 1 progéniteur engagé dans la différenciation)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Quiescence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Au sein des niches, les CSH font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très peu de mitoses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et sont majoritairement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quiescentes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Cette quiescence les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protège des chimiothérapies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(antimitotiques) à doses conventionnelles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Marqueur CD34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Les progéniteurs expriment la sialomucine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CD34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Les cellules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CD34+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représentent environ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1 %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des cellules mononucléées médullaires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Les progéniteurs les plus immatures sont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CD34+ CD38−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Propriétés (thérapie cellulaire)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Résistent à la congélation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à −196 °C (azote liquide)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Capables de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migrer dans le sang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collecte par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cytaphérèse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(cellules souches périphériques)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Cellules souches mésenchymateuses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Présentes aussi dans la moelle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À l'origine du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stroma médullaire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des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ostéoblastes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, des adipocytes et des cellules musculaires lisses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B.  Les trois compartiments de la cascade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Progéniteurs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Non identifiables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morphologiquement ; quantification par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culture cellulaire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Progéniteurs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clonogéniques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CFU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(colony-forming unit) — CFU-GEMM, CFU-GM, CFU-G, CFU-M, BFU-E, CFU-E…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La capacité d'auto-renouvellement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diminue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avec la maturation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Précurseurs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Identifiables morphologiquement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(myélogramme, frottis)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Nom terminé par le suffixe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« …blaste »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(ex : érythroblaste) témoignant du caractère jeune/immature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Cellules matures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Cellules spécialisées qui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quittent la moelle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pour rejoindre la circulation sanguine</w:t>
            </w:r>
          </w:p>
        </w:tc>
      </w:tr>
      <w:tr>
        <w:tc>
          <w:tcPr>
            <w:tcW w:type="dxa" w:w="9865"/>
            <w:gridSpan w:val="2"/>
            <w:tcBorders>
              <w:top w:val="single" w:sz="4" w:space="0" w:color="B91C1C"/>
              <w:left w:val="single" w:sz="22" w:space="0" w:color="B91C1C"/>
              <w:bottom w:val="single" w:sz="4" w:space="0" w:color="B91C1C"/>
              <w:right w:val="single" w:sz="4" w:space="0" w:color="B91C1C"/>
            </w:tcBorders>
            <w:shd w:val="clear" w:color="auto" w:fill="FDEDEC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B91C1C"/>
                <w:spacing w:val="14"/>
                <w:sz w:val="16"/>
              </w:rPr>
              <w:t>PIÈGE</w:t>
            </w:r>
          </w:p>
          <w:p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Le terme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« blastes »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employé seul désigne a priori des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cellules malignes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— à distinguer des précurseurs normaux en « …blaste ».</w:t>
            </w:r>
          </w:p>
        </w:tc>
      </w:tr>
      <w:tr>
        <w:tc>
          <w:tcPr>
            <w:tcW w:type="dxa" w:w="9865"/>
            <w:gridSpan w:val="2"/>
            <w:tcBorders>
              <w:top w:val="single" w:sz="4" w:space="0" w:color="E11D48"/>
              <w:left w:val="single" w:sz="22" w:space="0" w:color="E11D48"/>
              <w:bottom w:val="single" w:sz="4" w:space="0" w:color="E11D48"/>
              <w:right w:val="single" w:sz="4" w:space="0" w:color="E11D48"/>
            </w:tcBorders>
            <w:shd w:val="clear" w:color="auto" w:fill="FAF7F2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E11D48"/>
                <w:spacing w:val="14"/>
                <w:sz w:val="16"/>
              </w:rPr>
              <w:t>À RETENIR</w:t>
            </w:r>
          </w:p>
          <w:p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Cascade hématopoïétique =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3 compartiments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progéniteurs → précurseurs → cellules matures.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CD34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est le marqueur des progéniteurs.</w:t>
            </w:r>
          </w:p>
        </w:tc>
      </w:tr>
      <w:tr>
        <w:tc>
          <w:tcPr>
            <w:tcW w:type="dxa" w:w="9865"/>
            <w:gridSpan w:val="2"/>
            <w:vAlign w:val="center"/>
          </w:tcPr>
          <w:p>
            <w:pPr>
              <w:spacing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2000" cy="24357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mato_cascad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435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9CA3AF"/>
                <w:sz w:val="18"/>
              </w:rPr>
              <w:t>Figure 1 — Cascade hématopoïétique : de la cellule souche aux cellules matures du sang.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hd w:val="clear" w:color="auto" w:fill="E11D48"/>
        <w:spacing w:before="40" w:after="200"/>
      </w:pPr>
      <w:r>
        <w:rPr>
          <w:rFonts w:ascii="Playfair Display" w:hAnsi="Playfair Display"/>
          <w:b/>
          <w:color w:val="FFFFFF"/>
          <w:sz w:val="32"/>
        </w:rPr>
        <w:t>III.  Régulation de l'hématopoïèse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III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A.  Facteurs de croissance hématopoïétiques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Production médullaire quotidienne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200 × 10⁹ érythrocytes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100 × 10⁹ plaquettes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50 × 10⁹ polynucléaires neutrophiles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Régulation très fine, adaptée aux besoins de chaque lignée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Facteurs de différenciation terminale</w:t>
            </w:r>
          </w:p>
        </w:tc>
        <w:tc>
          <w:tcPr>
            <w:tcW w:type="dxa" w:w="7201"/>
            <w:vAlign w:val="top"/>
          </w:tcPr>
          <w:tbl>
            <w:tblPr>
              <w:tblW w:type="auto" w:w="0"/>
              <w:jc w:val="center"/>
              <w:tblBorders>
                <w:top w:val="single" w:sz="4" w:space="0" w:color="9CA3AF"/>
                <w:left w:val="single" w:sz="4" w:space="0" w:color="9CA3AF"/>
                <w:bottom w:val="single" w:sz="4" w:space="0" w:color="9CA3AF"/>
                <w:right w:val="single" w:sz="4" w:space="0" w:color="9CA3AF"/>
                <w:insideH w:val="single" w:sz="4" w:space="0" w:color="9CA3AF"/>
                <w:insideV w:val="single" w:sz="4" w:space="0" w:color="9CA3AF"/>
              </w:tblBorders>
              <w:tblLayout w:type="autofit"/>
              <w:tblLook w:firstColumn="1" w:firstRow="1" w:lastColumn="0" w:lastRow="0" w:noHBand="0" w:noVBand="1" w:val="04A0"/>
            </w:tblPr>
            <w:tblGrid>
              <w:gridCol w:w="3600"/>
              <w:gridCol w:w="3600"/>
            </w:tblGrid>
            <w:tr>
              <w:tc>
                <w:tcPr>
                  <w:tcW w:type="dxa" w:w="3600"/>
                  <w:shd w:val="clear" w:color="auto" w:fill="FAF7F2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937"/>
                      <w:sz w:val="18"/>
                    </w:rPr>
                    <w:t>Facteur</w:t>
                  </w:r>
                </w:p>
              </w:tc>
              <w:tc>
                <w:tcPr>
                  <w:tcW w:type="dxa" w:w="3600"/>
                  <w:shd w:val="clear" w:color="auto" w:fill="FAF7F2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937"/>
                      <w:sz w:val="18"/>
                    </w:rPr>
                    <w:t>Lignée</w:t>
                  </w:r>
                </w:p>
              </w:tc>
            </w:tr>
            <w:tr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EPO</w:t>
                  </w: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 xml:space="preserve"> (érythropoïétine)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Érythroïde</w:t>
                  </w:r>
                </w:p>
              </w:tc>
            </w:tr>
            <w:tr>
              <w:tc>
                <w:tcPr>
                  <w:tcW w:type="dxa" w:w="36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TPO</w:t>
                  </w: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 xml:space="preserve"> (thrombopoïétine)</w:t>
                  </w:r>
                </w:p>
              </w:tc>
              <w:tc>
                <w:tcPr>
                  <w:tcW w:type="dxa" w:w="36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Mégacaryocytaire</w:t>
                  </w:r>
                </w:p>
              </w:tc>
            </w:tr>
            <w:tr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GM-CSF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Granuleuse + monocytaire</w:t>
                  </w:r>
                </w:p>
              </w:tc>
            </w:tr>
            <w:tr>
              <w:tc>
                <w:tcPr>
                  <w:tcW w:type="dxa" w:w="36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G-CSF</w:t>
                  </w:r>
                </w:p>
              </w:tc>
              <w:tc>
                <w:tcPr>
                  <w:tcW w:type="dxa" w:w="36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Granuleuse</w:t>
                  </w:r>
                </w:p>
              </w:tc>
            </w:tr>
            <w:tr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M-CSF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Monocytaire</w:t>
                  </w:r>
                </w:p>
              </w:tc>
            </w:tr>
            <w:tr>
              <w:tc>
                <w:tcPr>
                  <w:tcW w:type="dxa" w:w="36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IL-5</w:t>
                  </w:r>
                </w:p>
              </w:tc>
              <w:tc>
                <w:tcPr>
                  <w:tcW w:type="dxa" w:w="36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Éosinophile</w:t>
                  </w:r>
                </w:p>
              </w:tc>
            </w:tr>
            <w:tr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SCF / kit ligand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Basophile</w:t>
                  </w:r>
                </w:p>
              </w:tc>
            </w:tr>
          </w:tbl>
          <w:p/>
          <w:p>
            <w:pPr>
              <w:spacing w:after="80"/>
            </w:pP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Facteurs actifs en amont (CSH)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SCF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TPO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GM-CSF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interleukines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IL-3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et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IL-6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actifs sur le cycle cellulaire des CSH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SDF-1 (CXCL-12)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chimiokine fortement concentrée dans les niches, attire les CSH exprimant le récepteur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CXCR4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Récepteurs et signalisation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Récepteurs membranaires spécifiques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c-Kit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(SCF),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MPL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(TPO), récepteur de l'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EPO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Signalisation du récepteur de l'EPO : voie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JAK/STAT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(JAK2, STAT5) → activation du facteur de transcription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GATA1</w:t>
            </w:r>
          </w:p>
        </w:tc>
      </w:tr>
      <w:tr>
        <w:tc>
          <w:tcPr>
            <w:tcW w:type="dxa" w:w="9865"/>
            <w:gridSpan w:val="2"/>
            <w:tcBorders>
              <w:top w:val="single" w:sz="4" w:space="0" w:color="E11D48"/>
              <w:left w:val="single" w:sz="22" w:space="0" w:color="E11D48"/>
              <w:bottom w:val="single" w:sz="4" w:space="0" w:color="E11D48"/>
              <w:right w:val="single" w:sz="4" w:space="0" w:color="E11D48"/>
            </w:tcBorders>
            <w:shd w:val="clear" w:color="auto" w:fill="FAF7F2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E11D48"/>
                <w:spacing w:val="14"/>
                <w:sz w:val="16"/>
              </w:rPr>
              <w:t>À RETENIR</w:t>
            </w:r>
          </w:p>
          <w:p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L'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EPO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est synthétisée essentiellement par 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rein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TPO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par 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foie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ce sont des régulations de type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hormonal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III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B.  Microenvironnement et régulation cellulaire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Gradient d'oxygène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Gradient entre le vaisseau (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pO₂ ≈ 4 %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) et le fond des niches (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pO₂ &lt; 1 %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Les CSH fonctionnent de façon optimale en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hypoxie chronique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Îlot érythroblastique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Érythroblastes étroitement au contact, autour d'un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macrophage pourvoyeur de fer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Régulation par le système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Fas / Fas-L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les érythroblastes matures présentent Fas-L aux proérythroblastes voisins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apoptose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frein de l'érythropoïèse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hd w:val="clear" w:color="auto" w:fill="E11D48"/>
        <w:spacing w:before="40" w:after="200"/>
      </w:pPr>
      <w:r>
        <w:rPr>
          <w:rFonts w:ascii="Playfair Display" w:hAnsi="Playfair Display"/>
          <w:b/>
          <w:color w:val="FFFFFF"/>
          <w:sz w:val="32"/>
        </w:rPr>
        <w:t>IV.  Lignée érythrocytaire et hémoglobine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IV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A.  Érythropoïèse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Cascade érythroïde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Progéniteurs : CFU-GEMM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BFU-E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CFU-E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Précurseurs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proérythroblaste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érythroblastes basophiles I et II → polychromatophile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acidophile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Après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énucléation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réticulocyte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hématie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1 proérythroblaste donne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16 réticulocytes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Maturation érythroblastique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Chaque division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↓ taille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↓ rapport nucléocytoplasmique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, condensation de la chromatine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Cytoplasme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acidophile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(orangé au MGG) = traduit la fabrication d'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hémoglobine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Réticulocyte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Hématie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jeune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anucléée, riche en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ARN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Séjour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1-3 j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dans la moelle,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1-2 j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dans le sang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Valeur normale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20-100 G/L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Reflète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production médullaire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caractère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régénératif ou non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d'une anémie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Durée et délais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Érythropoïèse normale =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7 jours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(raccourcie si besoins augmentés)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Après une hémorragie : délai minimal de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3 jours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avant délivrance de nouvelles hématies</w:t>
            </w:r>
          </w:p>
        </w:tc>
      </w:tr>
      <w:tr>
        <w:tc>
          <w:tcPr>
            <w:tcW w:type="dxa" w:w="9865"/>
            <w:gridSpan w:val="2"/>
            <w:tcBorders>
              <w:top w:val="single" w:sz="4" w:space="0" w:color="B91C1C"/>
              <w:left w:val="single" w:sz="22" w:space="0" w:color="B91C1C"/>
              <w:bottom w:val="single" w:sz="4" w:space="0" w:color="B91C1C"/>
              <w:right w:val="single" w:sz="4" w:space="0" w:color="B91C1C"/>
            </w:tcBorders>
            <w:shd w:val="clear" w:color="auto" w:fill="FDEDEC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B91C1C"/>
                <w:spacing w:val="14"/>
                <w:sz w:val="16"/>
              </w:rPr>
              <w:t>PIÈGE</w:t>
            </w:r>
          </w:p>
          <w:p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La présence de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corps de Howell-Jolly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(reliquat nucléaire) sur le frottis est constante après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splénectomie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ou fait suspecter une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asplénie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.</w:t>
            </w:r>
          </w:p>
        </w:tc>
      </w:tr>
      <w:tr>
        <w:tc>
          <w:tcPr>
            <w:tcW w:type="dxa" w:w="9865"/>
            <w:gridSpan w:val="2"/>
            <w:vAlign w:val="center"/>
          </w:tcPr>
          <w:p>
            <w:pPr>
              <w:spacing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8782" cy="24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mato_erythropoies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782" cy="24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9CA3AF"/>
                <w:sz w:val="18"/>
              </w:rPr>
              <w:t>Figure 2 — Érythropoïèse : de la BFU-E à l'hématie mature.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IV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B.  Structure de l'hématie et hémoglobine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Hématie mature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Disque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biconcave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anucléé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diamètre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7,8 µm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, épaisseur 1,7 µm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Grande capacité de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déformation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(capillaires de 5 µm)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20 × 10¹² hématies ; durée de vie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120 jours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Membrane et cytosquelette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Bicouche lipidique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 phospholipides stabilisée par du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cholestérol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Cytosquelette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spectrine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(tétramères),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actine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protéine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bande 4.1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ankyrine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(relie la spectrine à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bande 3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transmembranaire)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Anomalies → ↓ déformabilité → hémolyse (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sphérocytose héréditaire / maladie de Minkowski-Chauffard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)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Hémoglobine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4 chaînes de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globine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identiques 2 à 2 + 4 molécules d'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hème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Hème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= porphyrine + atome de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fer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central (fixe l'O₂)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2,3-DPG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se fixe à l'état désoxygéné et régule l'affinité de l'Hb pour l'O₂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Types d'hémoglobine</w:t>
            </w:r>
          </w:p>
        </w:tc>
        <w:tc>
          <w:tcPr>
            <w:tcW w:type="dxa" w:w="7201"/>
            <w:vAlign w:val="top"/>
          </w:tcPr>
          <w:tbl>
            <w:tblPr>
              <w:tblW w:type="auto" w:w="0"/>
              <w:jc w:val="center"/>
              <w:tblBorders>
                <w:top w:val="single" w:sz="4" w:space="0" w:color="9CA3AF"/>
                <w:left w:val="single" w:sz="4" w:space="0" w:color="9CA3AF"/>
                <w:bottom w:val="single" w:sz="4" w:space="0" w:color="9CA3AF"/>
                <w:right w:val="single" w:sz="4" w:space="0" w:color="9CA3AF"/>
                <w:insideH w:val="single" w:sz="4" w:space="0" w:color="9CA3AF"/>
                <w:insideV w:val="single" w:sz="4" w:space="0" w:color="9CA3AF"/>
              </w:tblBorders>
              <w:tblLayout w:type="autofit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  <w:shd w:val="clear" w:color="auto" w:fill="FAF7F2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937"/>
                      <w:sz w:val="18"/>
                    </w:rPr>
                    <w:t>Hémoglobine</w:t>
                  </w:r>
                </w:p>
              </w:tc>
              <w:tc>
                <w:tcPr>
                  <w:tcW w:type="dxa" w:w="2400"/>
                  <w:shd w:val="clear" w:color="auto" w:fill="FAF7F2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937"/>
                      <w:sz w:val="18"/>
                    </w:rPr>
                    <w:t>Composition</w:t>
                  </w:r>
                </w:p>
              </w:tc>
              <w:tc>
                <w:tcPr>
                  <w:tcW w:type="dxa" w:w="2400"/>
                  <w:shd w:val="clear" w:color="auto" w:fill="FAF7F2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937"/>
                      <w:sz w:val="18"/>
                    </w:rPr>
                    <w:t>Proportion (adulte)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HbA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α2β2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97-99 %</w:t>
                  </w:r>
                </w:p>
              </w:tc>
            </w:tr>
            <w:tr>
              <w:tc>
                <w:tcPr>
                  <w:tcW w:type="dxa" w:w="24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HbA2</w:t>
                  </w:r>
                </w:p>
              </w:tc>
              <w:tc>
                <w:tcPr>
                  <w:tcW w:type="dxa" w:w="24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α2δ2</w:t>
                  </w:r>
                </w:p>
              </w:tc>
              <w:tc>
                <w:tcPr>
                  <w:tcW w:type="dxa" w:w="24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1-3,5 %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HbF</w:t>
                  </w: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 xml:space="preserve"> (fœtale)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α2γ2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traces (prédominante chez le fœtus)</w:t>
                  </w:r>
                </w:p>
              </w:tc>
            </w:tr>
          </w:tbl>
          <w:p/>
          <w:p>
            <w:pPr>
              <w:spacing w:after="80"/>
            </w:pP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HbA1c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= HbA glycosylée,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augmentée dans le diabète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Courbe de dissociation de l'O₂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↑ affinité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pour l'O₂ → décalage vers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gauche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↓ affinité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décalage vers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droite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IV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C.  Métabolisme et hémolyse de l'hématie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Métabolisme énergétique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Énergie fournie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exclusivement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par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glycolyse intra-érythrocytaire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Voie principale anaérobie (90 %) d'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Embden-Meyerhof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pyruvate kinase (PK)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ATP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Voie accessoire (10 %),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shunt des pentoses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G6PD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NADPH (lutte contre l'oxydation)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B91C1C"/>
                <w:sz w:val="20"/>
              </w:rPr>
              <w:t>⚠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Déficits enzymatiques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Tout déficit de la glycolyse, en particulier en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G6PD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ou en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PK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peut être à l'origine d'une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hémolyse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Hémolyse physiologique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Durée de vie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120 j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; hématies vieillies phagocytées par les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macrophages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(foie, moelle)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Globine → acides aminés ;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fer recyclé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vers les érythroblastes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Hème → biliverdine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bilirubine libre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(non conjuguée, liée à l'albumine)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glycuroconjugaison hépatique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bile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Hémolyse intravasculaire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L'hémoglobine libérée dans le plasma est captée par l'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haptoglobine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L'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effondrement de l'haptoglobine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sérique est un marqueur d'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hyperhémolyse</w:t>
            </w:r>
          </w:p>
        </w:tc>
      </w:tr>
      <w:tr>
        <w:tc>
          <w:tcPr>
            <w:tcW w:type="dxa" w:w="9865"/>
            <w:gridSpan w:val="2"/>
            <w:tcBorders>
              <w:top w:val="single" w:sz="4" w:space="0" w:color="E11D48"/>
              <w:left w:val="single" w:sz="22" w:space="0" w:color="E11D48"/>
              <w:bottom w:val="single" w:sz="4" w:space="0" w:color="E11D48"/>
              <w:right w:val="single" w:sz="4" w:space="0" w:color="E11D48"/>
            </w:tcBorders>
            <w:shd w:val="clear" w:color="auto" w:fill="FAF7F2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E11D48"/>
                <w:spacing w:val="14"/>
                <w:sz w:val="16"/>
              </w:rPr>
              <w:t>À RETENIR</w:t>
            </w:r>
          </w:p>
          <w:p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Bilirubine libre normale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&lt; 17 µmol/L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; liposoluble, elle traverse la barrière hémato-encéphalique en cas de dépassement de l'albumine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ictère nucléaire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du nouveau-né.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hd w:val="clear" w:color="auto" w:fill="E11D48"/>
        <w:spacing w:before="40" w:after="200"/>
      </w:pPr>
      <w:r>
        <w:rPr>
          <w:rFonts w:ascii="Playfair Display" w:hAnsi="Playfair Display"/>
          <w:b/>
          <w:color w:val="FFFFFF"/>
          <w:sz w:val="32"/>
        </w:rPr>
        <w:t>V.  Facteurs nutritionnels de l'érythropoïèse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V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A.  Métabolisme du fer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Répartition du fer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Organisme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4 à 5 g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 fer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80 %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sous forme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héminique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hémoglobine, myoglobine, cytochromes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20 %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sous forme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non héminique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ferritine, transferrine, hémosidérine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Besoins et pertes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Pertes physiologiques ≈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1 mg/j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(urines, fèces, desquamation)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Majorées par les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menstruations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(2-3 mg/j) et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grossesse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(8-10 mg/j)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Apports alimentaires 10-25 mg/j dont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10-20 % absorbés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essentiellement au niveau du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duodénum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Absorption et régulation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Fer ferreux capté au pôle apical de l'entérocyte par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DMT1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Relargué dans la circulation au pôle basolatéral par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ferroportine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L'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hepcidine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(synthétisée par 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foie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) est l'hormone de régulation : elle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inhibe la ferroportine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↓ absorption et ↑ rétention macrophagique du fer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Transport et réserves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Transport plasmatique par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transferrine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(sidérophiline) — le fer n'est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jamais libre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dans le plasma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Réserves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ferritine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(rapidement disponible) et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hémosidérine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(lentement disponible)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Exploration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ferritine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, fer sérique, coefficient de saturation de la transferrine</w:t>
            </w:r>
          </w:p>
        </w:tc>
      </w:tr>
      <w:tr>
        <w:tc>
          <w:tcPr>
            <w:tcW w:type="dxa" w:w="9865"/>
            <w:gridSpan w:val="2"/>
            <w:tcBorders>
              <w:top w:val="single" w:sz="4" w:space="0" w:color="B91C1C"/>
              <w:left w:val="single" w:sz="22" w:space="0" w:color="B91C1C"/>
              <w:bottom w:val="single" w:sz="4" w:space="0" w:color="B91C1C"/>
              <w:right w:val="single" w:sz="4" w:space="0" w:color="B91C1C"/>
            </w:tcBorders>
            <w:shd w:val="clear" w:color="auto" w:fill="FDEDEC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B91C1C"/>
                <w:spacing w:val="14"/>
                <w:sz w:val="16"/>
              </w:rPr>
              <w:t>PIÈGE</w:t>
            </w:r>
          </w:p>
          <w:p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Carence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martiale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anémie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microcytaire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sans autre cytopénie. Carence en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B9/B12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anémie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macrocytaire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, parfois avec thrombopénie/leucopénie (pancytopénie).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V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B.  Folates (B9) et vitamine B12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Acide folique (vitamine B9)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Vitamine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hydrosoluble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thermolabile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; légumes verts, céréales, foie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Besoins adulte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400 µg/j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(600 grossesse, 500 allaitement)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Absorption dans 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jéjunum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;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réserves faibles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(foie), épuisables en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2 à 4 mois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Vitamine B12 (cobalamines)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Absente du règne végétal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foie, viandes, laitages, œufs, poissons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Besoins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3 µg/j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;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réserves hépatiques importantes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(suffisantes ~4 ans)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Absorption de la vitamine B12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Liée au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facteur intrinsèque (FI)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— glycoprotéine sécrétée par les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cellules pariétales fundiques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Absorption au niveau de l'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iléon terminal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(récepteur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cubuline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Transport plasmatique par les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transcobalamines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TCII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= la plus importante physiologiquement)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Rôle métabolique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B9 et B12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sont indispensables à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synthèse de l'ADN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(donc à toutes les lignées hématopoïétiques)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B12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intervient dans la conversion de l'homocystéine en méthionine et le catabolisme du méthylmalonyl-CoA (sa carence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complications neurologiques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)</w:t>
            </w:r>
          </w:p>
        </w:tc>
      </w:tr>
      <w:tr>
        <w:tc>
          <w:tcPr>
            <w:tcW w:type="dxa" w:w="9865"/>
            <w:gridSpan w:val="2"/>
            <w:tcBorders>
              <w:top w:val="single" w:sz="4" w:space="0" w:color="9A7B33"/>
              <w:left w:val="single" w:sz="22" w:space="0" w:color="9A7B33"/>
              <w:bottom w:val="single" w:sz="4" w:space="0" w:color="9A7B33"/>
              <w:right w:val="single" w:sz="4" w:space="0" w:color="9A7B33"/>
            </w:tcBorders>
            <w:shd w:val="clear" w:color="auto" w:fill="FBF6E8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9A7B33"/>
                <w:spacing w:val="14"/>
                <w:sz w:val="16"/>
              </w:rPr>
              <w:t>MOYEN MNÉMOTECHNIQUE</w:t>
            </w:r>
          </w:p>
          <w:p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Médicaments inhibant le cycle des folates : 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méthotrexate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(dihydrofolate réductase) et 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5-fluoro-uracile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(thymidylate synthase).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hd w:val="clear" w:color="auto" w:fill="E11D48"/>
        <w:spacing w:before="40" w:after="200"/>
      </w:pPr>
      <w:r>
        <w:rPr>
          <w:rFonts w:ascii="Playfair Display" w:hAnsi="Playfair Display"/>
          <w:b/>
          <w:color w:val="FFFFFF"/>
          <w:sz w:val="32"/>
        </w:rPr>
        <w:t>VI.  Leucocytes et plaquettes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VI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A.  Polynucléaires (granulocytes)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Granulopoïèse neutrophile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Progéniteurs : CFU-GEMM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CFU-GM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CFU-G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Durée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10 jours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, deux secteurs :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multiplication/différenciation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myéloblaste, promyélocyte, myélocyte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maturation/stockage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métamyélocyte, polynucléaire neutrophile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Compartiment de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réserve médullaire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considérable (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8 ×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le compartiment sanguin), mobilisable en cas de besoin aigu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Polynucléaires neutrophiles (PNN)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Noyau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polylobé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(2 à 5 lobes) ; granulations primaires azurophiles (myéloperoxydase) et secondaires neutrophiles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Durée de vie sanguine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24 h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; fonction =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défense antibactérienne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par phagocytose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Répartition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pool circulant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+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pool marginé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(la NFS ne reflète que le pool circulant)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Étapes : chimiotactisme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diapédèse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phagocytose → bactéricidie (dérivés oxygénés, H₂O₂)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Polynucléaires éosinophiles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Cytokines clés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IL-5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(la plus importante), IL-3, GM-CSF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Fonctions : phagocytose des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helminthes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, neutralisation de l'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hypersensibilité immédiate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Éosinophilopoïèse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inhibée par les corticoïdes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Polynucléaires basophiles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moins nombreux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des leucocytes ; granulations riches en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histamine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Contrôle par IL-3, GM-CSF,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SCF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; équivalents tissulaires =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mastocytes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Récepteurs pour les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IgE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hypersensibilité immédiate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(dégranulation)</w:t>
            </w:r>
          </w:p>
        </w:tc>
      </w:tr>
      <w:tr>
        <w:tc>
          <w:tcPr>
            <w:tcW w:type="dxa" w:w="9865"/>
            <w:gridSpan w:val="2"/>
            <w:vAlign w:val="center"/>
          </w:tcPr>
          <w:p>
            <w:pPr>
              <w:spacing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2000" cy="191346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mato_granulopoies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913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9CA3AF"/>
                <w:sz w:val="18"/>
              </w:rPr>
              <w:t>Figure 3 — Granulopoïèse neutrophile : du myéloblaste au polynucléaire.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VI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B.  Monocytes et lymphocytes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Monocytes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Progéniteurs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CFU-GM → CFU-M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; monocytopoïèse rapide (~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48 h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) ;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M-CSF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spécifique de la lignée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Séjour sanguin 2-3 j puis passage tissulaire :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macrophages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phagocytose, survivent après la phagocytose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cellules dendritiques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présentation de l'antigène aux lymphocytes T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Lymphopoïèse B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Survient dans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moelle osseuse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Stades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pro-B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(CD34+ CD19+ CD10+)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pré-B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(chaîne µ intracytoplasmique)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B immature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(IgM de surface)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B mature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(IgM + IgD)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~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10 %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des lymphocytes circulants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Lymphopoïèse T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Survient dans le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thymus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Stades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prothymocyte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(CD2+ CD7+)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thymocyte cortical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(CD4+ CD8+)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thymocyte médullaire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CD3+ (CD4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ou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CD8)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Récepteur T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TCR αβ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(majoritaire) ou γδ ; ~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70-80 %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des lymphocytes circulants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Lymphocytes NK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~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10 %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des lymphocytes circulants ; phénotype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CD3− CD16+ CD56+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Cytotoxicité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indépendante de l'antigène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sans activation préalable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VI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C.  Plaquettes sanguines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Origine des plaquettes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Issues de la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fragmentation du cytoplasme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mégacaryocytes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(grandes cellules hyperploïdes de la moelle)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Facteur de croissance =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thrombopoïétine (TPO)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hd w:val="clear" w:color="auto" w:fill="E11D48"/>
        <w:spacing w:before="40" w:after="200"/>
      </w:pPr>
      <w:r>
        <w:rPr>
          <w:rFonts w:ascii="Playfair Display" w:hAnsi="Playfair Display"/>
          <w:b/>
          <w:color w:val="FFFFFF"/>
          <w:sz w:val="32"/>
        </w:rPr>
        <w:t>VII.  Exploration hématologique et principales hémopathies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VII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A.  Exploration du sang et de la moelle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Hémogramme (NFS)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Prélèvement de sang veineux sur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EDTA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(chélateur du calcium)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Paramètres : Hb, GR, leucocytes, plaquettes,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VGM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CCMH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Formule leucocytaire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frottis coloré au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May-Grünwald-Giemsa (MGG)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, décompte de 100 leucocytes en 5 catégories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Myélogramme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Ponction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 moelle (sternum ou épine iliaque), étalement + coloration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MGG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Analyse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cytologique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et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qualitative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richesse, pourcentages des lignées, anomalies morphologiques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Ne fournit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pas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 numération par unité de volume ; résultat obtenu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dans la journée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Biopsie ostéomédullaire (BOM)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Prélèvement d'un cylindre d'os spongieux (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épine iliaque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), examen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histologique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Réalisée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après vérification de l'absence de thrombopénie sévère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et de trouble de la coagulation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Seul examen appréciant l'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architecture médullaire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(myélofibrose, envahissement nodulaire)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Immunophénotypage (cytométrie en flux)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Analyse rapide par anticorps fluorescents ; positivité si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&gt; 20 %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 cellules positives</w:t>
            </w:r>
          </w:p>
          <w:tbl>
            <w:tblPr>
              <w:tblW w:type="auto" w:w="0"/>
              <w:jc w:val="center"/>
              <w:tblBorders>
                <w:top w:val="single" w:sz="4" w:space="0" w:color="9CA3AF"/>
                <w:left w:val="single" w:sz="4" w:space="0" w:color="9CA3AF"/>
                <w:bottom w:val="single" w:sz="4" w:space="0" w:color="9CA3AF"/>
                <w:right w:val="single" w:sz="4" w:space="0" w:color="9CA3AF"/>
                <w:insideH w:val="single" w:sz="4" w:space="0" w:color="9CA3AF"/>
                <w:insideV w:val="single" w:sz="4" w:space="0" w:color="9CA3AF"/>
              </w:tblBorders>
              <w:tblLayout w:type="autofit"/>
              <w:tblLook w:firstColumn="1" w:firstRow="1" w:lastColumn="0" w:lastRow="0" w:noHBand="0" w:noVBand="1" w:val="04A0"/>
            </w:tblPr>
            <w:tblGrid>
              <w:gridCol w:w="3600"/>
              <w:gridCol w:w="3600"/>
            </w:tblGrid>
            <w:tr>
              <w:tc>
                <w:tcPr>
                  <w:tcW w:type="dxa" w:w="3600"/>
                  <w:shd w:val="clear" w:color="auto" w:fill="FAF7F2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937"/>
                      <w:sz w:val="18"/>
                    </w:rPr>
                    <w:t>Lignée</w:t>
                  </w:r>
                </w:p>
              </w:tc>
              <w:tc>
                <w:tcPr>
                  <w:tcW w:type="dxa" w:w="3600"/>
                  <w:shd w:val="clear" w:color="auto" w:fill="FAF7F2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937"/>
                      <w:sz w:val="18"/>
                    </w:rPr>
                    <w:t>Marqueur (CD)</w:t>
                  </w:r>
                </w:p>
              </w:tc>
            </w:tr>
            <w:tr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Progéniteurs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CD34</w:t>
                  </w:r>
                </w:p>
              </w:tc>
            </w:tr>
            <w:tr>
              <w:tc>
                <w:tcPr>
                  <w:tcW w:type="dxa" w:w="36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Lymphoïde B</w:t>
                  </w:r>
                </w:p>
              </w:tc>
              <w:tc>
                <w:tcPr>
                  <w:tcW w:type="dxa" w:w="36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CD19, CD20</w:t>
                  </w:r>
                </w:p>
              </w:tc>
            </w:tr>
            <w:tr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Lymphoïde T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CD3</w:t>
                  </w:r>
                </w:p>
              </w:tc>
            </w:tr>
            <w:tr>
              <w:tc>
                <w:tcPr>
                  <w:tcW w:type="dxa" w:w="36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Érythroïde</w:t>
                  </w:r>
                </w:p>
              </w:tc>
              <w:tc>
                <w:tcPr>
                  <w:tcW w:type="dxa" w:w="36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CD235a (glycophorine A)</w:t>
                  </w:r>
                </w:p>
              </w:tc>
            </w:tr>
            <w:tr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Plaquettaire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CD41a, CD61</w:t>
                  </w:r>
                </w:p>
              </w:tc>
            </w:tr>
            <w:tr>
              <w:tc>
                <w:tcPr>
                  <w:tcW w:type="dxa" w:w="36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Monocytaire</w:t>
                  </w:r>
                </w:p>
              </w:tc>
              <w:tc>
                <w:tcPr>
                  <w:tcW w:type="dxa" w:w="36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CD14</w:t>
                  </w:r>
                </w:p>
              </w:tc>
            </w:tr>
          </w:tbl>
          <w:p/>
          <w:p>
            <w:pPr>
              <w:spacing w:after="80"/>
            </w:pP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Cytogénétique et biologie moléculaire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Caryotype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et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FISH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translocations et délétions (ex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t(9;22)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= chromosome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Philadelphie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Biologie moléculaire : mutations (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JAK2 V617F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) et transcrits de fusion (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BCR::ABL1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)</w:t>
            </w:r>
          </w:p>
        </w:tc>
      </w:tr>
      <w:tr>
        <w:tc>
          <w:tcPr>
            <w:tcW w:type="dxa" w:w="9865"/>
            <w:gridSpan w:val="2"/>
            <w:tcBorders>
              <w:top w:val="single" w:sz="4" w:space="0" w:color="B91C1C"/>
              <w:left w:val="single" w:sz="22" w:space="0" w:color="B91C1C"/>
              <w:bottom w:val="single" w:sz="4" w:space="0" w:color="B91C1C"/>
              <w:right w:val="single" w:sz="4" w:space="0" w:color="B91C1C"/>
            </w:tcBorders>
            <w:shd w:val="clear" w:color="auto" w:fill="FDEDEC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B91C1C"/>
                <w:spacing w:val="14"/>
                <w:sz w:val="16"/>
              </w:rPr>
              <w:t>PIÈGE</w:t>
            </w:r>
          </w:p>
          <w:p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Myélogramme = examen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cytologique et qualitatif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; BOM = examen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histologique et quantitatif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. Seule la BOM met en évidence l'architecture médullaire.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VII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B.  Principales hémopathies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Mécanisme général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Anomalies génomiques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acquises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(mutations, translocations) dans un progéniteur/précurseur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clone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cellulaire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Le clone envahit moelle, sang, ganglions, rate et inhibe les fonctions normales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91C1C"/>
                <w:sz w:val="20"/>
              </w:rPr>
              <w:t>⚠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Pas de métastases au sens strict → la classification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TNM n'est pas utilisée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en hématologie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Hémopathies malignes aiguës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Perte de la capacité de différenciation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accumulation de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blastes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dans la moelle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Leucémie aiguë myéloïde (LAM)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ou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lymphoïde (LAL)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; début souvent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brutal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Syndromes myéloprolifératifs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Capacité de différenciation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conservée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production dérégulée de cellules matures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Polyglobulie primitive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(maladie de Vaquez)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Leucémie myéloïde chronique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(chromosome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Philadelphie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, t(9;22), BCR::ABL1)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Thrombocytémie essentielle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Splénomégalie myéloïde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(myélofibrose primitive)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Syndromes lymphoprolifératifs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Leucémie lymphoïde chronique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hyperlymphocytose B monoclonale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Lymphomes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(B ou T) : prolifération préférentiellement ganglionnaire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Myélome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prolifération de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plasmocytes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tumoraux (ostéolyse, immunoglobuline monoclonale)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Déficit de production intramédullaire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4 conditions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indispensables : présence de CSH, absence de dysfonctionnement des CSH, apports en fer/folates/B12, espace médullaire suffisant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Défaillances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aplasie médullaire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(absence de CSH),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syndromes myélodysplasiques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(dysfonctionnement),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carences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envahissement / myélofibrose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(manque d'espace)</w:t>
            </w:r>
          </w:p>
        </w:tc>
      </w:tr>
      <w:tr>
        <w:tc>
          <w:tcPr>
            <w:tcW w:type="dxa" w:w="9865"/>
            <w:gridSpan w:val="2"/>
            <w:vAlign w:val="center"/>
          </w:tcPr>
          <w:p>
            <w:pPr>
              <w:spacing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5551" cy="24479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mato_hemopath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551" cy="244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/>
              <w:jc w:val="center"/>
            </w:pPr>
            <w:r>
              <w:rPr>
                <w:rFonts w:ascii="Cormorant Garamond" w:hAnsi="Cormorant Garamond"/>
                <w:i/>
                <w:color w:val="9CA3AF"/>
                <w:sz w:val="18"/>
              </w:rPr>
              <w:t>Figure 4 — Schéma de l'hématopoïèse normale et localisation des principales hémopathies myéloïdes et lymphoïdes.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hd w:val="clear" w:color="auto" w:fill="E11D48"/>
        <w:spacing w:before="40" w:after="200"/>
      </w:pPr>
      <w:r>
        <w:rPr>
          <w:rFonts w:ascii="Playfair Display" w:hAnsi="Playfair Display"/>
          <w:b/>
          <w:color w:val="FFFFFF"/>
          <w:sz w:val="32"/>
        </w:rPr>
        <w:t>Algorithmes décisionnels</w:t>
      </w:r>
    </w:p>
    <w:p>
      <w:pPr>
        <w:spacing w:before="160"/>
      </w:pPr>
      <w:r>
        <w:rPr>
          <w:rFonts w:ascii="Cormorant Garamond" w:hAnsi="Cormorant Garamond"/>
          <w:b/>
          <w:color w:val="E11D48"/>
          <w:sz w:val="26"/>
        </w:rPr>
        <w:t>Orientation devant une hémopathie maligne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4" w:space="0" w:color="E11D48"/>
              <w:left w:val="single" w:sz="22" w:space="0" w:color="E11D48"/>
              <w:bottom w:val="single" w:sz="4" w:space="0" w:color="E11D48"/>
              <w:right w:val="single" w:sz="4" w:space="0" w:color="E11D48"/>
            </w:tcBorders>
            <w:shd w:val="clear" w:color="auto" w:fill="FAF7F2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Anomalie génomique acquise dans un progéniteur/précurseur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Capacité de différenciation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perdue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accumulation de blastes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leucémie aiguë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(LAM ou LAL)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Capacité de différenciation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conservée</w:t>
            </w:r>
          </w:p>
          <w:p>
            <w:pPr>
              <w:pStyle w:val="ListBullet3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Lignée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myéloïde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syndrome myéloprolifératif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(Vaquez, LMC, thrombocytémie essentielle, myélofibrose)</w:t>
            </w:r>
          </w:p>
          <w:p>
            <w:pPr>
              <w:pStyle w:val="ListBullet3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Lignée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lymphoïde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syndrome lymphoprolifératif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(LLC, lymphome, myélome)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rFonts w:ascii="Cormorant Garamond" w:hAnsi="Cormorant Garamond"/>
          <w:b/>
          <w:color w:val="E11D48"/>
          <w:sz w:val="26"/>
        </w:rPr>
        <w:t>Déficit de production intramédullaire : les 4 conditions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4" w:space="0" w:color="E11D48"/>
              <w:left w:val="single" w:sz="22" w:space="0" w:color="E11D48"/>
              <w:bottom w:val="single" w:sz="4" w:space="0" w:color="E11D48"/>
              <w:right w:val="single" w:sz="4" w:space="0" w:color="E11D48"/>
            </w:tcBorders>
            <w:shd w:val="clear" w:color="auto" w:fill="FAF7F2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Hématopoïèse normale = 4 conditions réunies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Absence de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CSH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aplasie médullaire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Dysfonctionnement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des CSH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syndrome myélodysplasique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Apports insuffisants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carence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en fer, folates ou B12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Manque d'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espace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envahissement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ou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myélofibrose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hd w:val="clear" w:color="auto" w:fill="E11D48"/>
        <w:spacing w:before="40" w:after="200"/>
      </w:pPr>
      <w:r>
        <w:rPr>
          <w:rFonts w:ascii="Playfair Display" w:hAnsi="Playfair Display"/>
          <w:b/>
          <w:color w:val="FFFFFF"/>
          <w:sz w:val="32"/>
        </w:rPr>
        <w:t>Synthèse — Tableaux de révision</w:t>
      </w:r>
    </w:p>
    <w:p>
      <w:pPr>
        <w:spacing w:before="160"/>
      </w:pPr>
      <w:r>
        <w:rPr>
          <w:rFonts w:ascii="Cormorant Garamond" w:hAnsi="Cormorant Garamond"/>
          <w:b/>
          <w:color w:val="E11D48"/>
          <w:sz w:val="26"/>
        </w:rPr>
        <w:t>Chiffres-clés à connaître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Paramètre</w:t>
            </w:r>
          </w:p>
        </w:tc>
        <w:tc>
          <w:tcPr>
            <w:tcW w:type="dxa" w:w="4933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Production quotidienne d'érythrocytes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200 × 10⁹</w:t>
            </w:r>
          </w:p>
        </w:tc>
      </w:tr>
      <w:tr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Production quotidienne de plaquettes</w:t>
            </w:r>
          </w:p>
        </w:tc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100 × 10⁹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Production quotidienne de PNN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50 × 10⁹</w:t>
            </w:r>
          </w:p>
        </w:tc>
      </w:tr>
      <w:tr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Durée de vie de l'hématie</w:t>
            </w:r>
          </w:p>
        </w:tc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120 jours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Durée de vie sanguine du PNN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24 heures</w:t>
            </w:r>
          </w:p>
        </w:tc>
      </w:tr>
      <w:tr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Durée de l'érythropoïèse / granulopoïèse</w:t>
            </w:r>
          </w:p>
        </w:tc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7 j / 10 j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Réticulocytes (valeur normale)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20-100 G/L</w:t>
            </w:r>
          </w:p>
        </w:tc>
      </w:tr>
      <w:tr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Cellules CD34+ dans la moelle</w:t>
            </w:r>
          </w:p>
        </w:tc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≈ 1 %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Fer total de l'organisme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4-5 g</w:t>
            </w:r>
          </w:p>
        </w:tc>
      </w:tr>
      <w:tr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Bilirubine libre (normale)</w:t>
            </w:r>
          </w:p>
        </w:tc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&lt; 17 µmol/L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HbA / HbA2 chez l'adulte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97-99 % / 1-3,5 %</w:t>
            </w:r>
          </w:p>
        </w:tc>
      </w:tr>
      <w:tr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Besoins en folates / vitamine B12</w:t>
            </w:r>
          </w:p>
        </w:tc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400 µg/j / 3 µg/j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rFonts w:ascii="Cormorant Garamond" w:hAnsi="Cormorant Garamond"/>
          <w:b/>
          <w:color w:val="E11D48"/>
          <w:sz w:val="26"/>
        </w:rPr>
        <w:t>Les trois compartiments de l'hématopoïèse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Compartiment</w:t>
            </w:r>
          </w:p>
        </w:tc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Identification</w:t>
            </w:r>
          </w:p>
        </w:tc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Exemples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Progéniteurs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Non identifiables (culture)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CSH, CFU-GEMM, BFU-E, CFU-GM</w:t>
            </w:r>
          </w:p>
        </w:tc>
      </w:tr>
      <w:tr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Précurseurs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Morphologie (myélogramme)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Proérythroblaste, myéloblaste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Cellules matures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Frottis sanguin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Hématie, PNN, plaquette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rFonts w:ascii="Cormorant Garamond" w:hAnsi="Cormorant Garamond"/>
          <w:b/>
          <w:color w:val="E11D48"/>
          <w:sz w:val="26"/>
        </w:rPr>
        <w:t>Facteurs de croissance hématopoïétiques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Facteur</w:t>
            </w:r>
          </w:p>
        </w:tc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Lignée stimulée</w:t>
            </w:r>
          </w:p>
        </w:tc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Source principale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EPO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Érythroïde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Rein</w:t>
            </w:r>
          </w:p>
        </w:tc>
      </w:tr>
      <w:tr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TPO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Mégacaryocytaire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Foie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G-CSF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Granuleuse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Cellules stromales</w:t>
            </w:r>
          </w:p>
        </w:tc>
      </w:tr>
      <w:tr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GM-CSF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Granuleuse + monocytaire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Cellules stromales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M-CSF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Monocytaire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Cellules stromales</w:t>
            </w:r>
          </w:p>
        </w:tc>
      </w:tr>
      <w:tr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IL-5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Éosinophile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Lymphocytes T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rFonts w:ascii="Cormorant Garamond" w:hAnsi="Cormorant Garamond"/>
          <w:b/>
          <w:color w:val="E11D48"/>
          <w:sz w:val="26"/>
        </w:rPr>
        <w:t>Myélogramme normal de l'adulte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Lignée</w:t>
            </w:r>
          </w:p>
        </w:tc>
        <w:tc>
          <w:tcPr>
            <w:tcW w:type="dxa" w:w="4933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Pourcentage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Cellules indifférenciées (hémoblastes)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1-2 %</w:t>
            </w:r>
          </w:p>
        </w:tc>
      </w:tr>
      <w:tr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Lignée granuleuse neutrophile (totale)</w:t>
            </w:r>
          </w:p>
        </w:tc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≈ 50-60 %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Lignée éosinophile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1-4 %</w:t>
            </w:r>
          </w:p>
        </w:tc>
      </w:tr>
      <w:tr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Lignée basophile</w:t>
            </w:r>
          </w:p>
        </w:tc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0,5-1 %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Lignée érythroblastique (totale)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≈ 15-30 %</w:t>
            </w:r>
          </w:p>
        </w:tc>
      </w:tr>
      <w:tr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Lymphocytes</w:t>
            </w:r>
          </w:p>
        </w:tc>
        <w:tc>
          <w:tcPr>
            <w:tcW w:type="dxa" w:w="4933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5-15 %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Plasmocytes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1-3 %</w:t>
            </w:r>
          </w:p>
        </w:tc>
      </w:tr>
    </w:tbl>
    <w:p>
      <w:pPr>
        <w:spacing w:after="80"/>
      </w:pPr>
    </w:p>
    <w:p>
      <w:r>
        <w:rPr>
          <w:rFonts w:ascii="Inter" w:hAnsi="Inter"/>
          <w:b w:val="0"/>
          <w:i/>
          <w:color w:val="1F2937"/>
          <w:sz w:val="20"/>
        </w:rPr>
        <w:t>Rapport érythroblastes / granuleux normal : 1/3 à 1/4.</w:t>
      </w:r>
    </w:p>
    <w:p>
      <w:pPr>
        <w:spacing w:before="160"/>
      </w:pPr>
      <w:r>
        <w:rPr>
          <w:rFonts w:ascii="Cormorant Garamond" w:hAnsi="Cormorant Garamond"/>
          <w:b/>
          <w:color w:val="E11D48"/>
          <w:sz w:val="26"/>
        </w:rPr>
        <w:t>Carences et anémies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Carence</w:t>
            </w:r>
          </w:p>
        </w:tc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Type d'anémie</w:t>
            </w:r>
          </w:p>
        </w:tc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Particularités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Fer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Microcytaire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Sans autre cytopénie</w:t>
            </w:r>
          </w:p>
        </w:tc>
      </w:tr>
      <w:tr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Folates (B9)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Macrocytaire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± thrombopénie / leucopénie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Vitamine B12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Macrocytaire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+ signes neurologiques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rFonts w:ascii="Cormorant Garamond" w:hAnsi="Cormorant Garamond"/>
          <w:b/>
          <w:color w:val="E11D48"/>
          <w:sz w:val="26"/>
        </w:rPr>
        <w:t>Myélogramme vs biopsie ostéomédullaire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Critère</w:t>
            </w:r>
          </w:p>
        </w:tc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Myélogramme</w:t>
            </w:r>
          </w:p>
        </w:tc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Biopsie ostéomédullaire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Nature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Cytologique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Histologique</w:t>
            </w:r>
          </w:p>
        </w:tc>
      </w:tr>
      <w:tr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Apport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Qualitatif (morphologie)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Quantitatif (richesse, architecture)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Architecture médullaire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Non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Oui</w:t>
            </w: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 xml:space="preserve"> (myélofibrose…)</w:t>
            </w:r>
          </w:p>
        </w:tc>
      </w:tr>
      <w:tr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Délai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Dans la journée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2-3 jours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/>
        <w:jc w:val="center"/>
      </w:pPr>
      <w:r>
        <w:rPr>
          <w:rFonts w:ascii="Inter" w:hAnsi="Inter"/>
          <w:color w:val="C9A961"/>
          <w:spacing w:val="56"/>
          <w:sz w:val="18"/>
        </w:rPr>
        <w:t>RÉVISION EXPRESS</w:t>
      </w:r>
    </w:p>
    <w:p>
      <w:pPr>
        <w:jc w:val="center"/>
      </w:pPr>
      <w:r>
        <w:rPr>
          <w:rFonts w:ascii="Playfair Display" w:hAnsi="Playfair Display"/>
          <w:b/>
          <w:color w:val="1F2937"/>
          <w:sz w:val="52"/>
        </w:rPr>
        <w:t>Fiche éclair</w:t>
      </w:r>
    </w:p>
    <w:p>
      <w:pPr>
        <w:spacing w:after="240"/>
        <w:jc w:val="center"/>
      </w:pPr>
      <w:r>
        <w:rPr>
          <w:rFonts w:ascii="Cormorant Garamond" w:hAnsi="Cormorant Garamond"/>
          <w:i/>
          <w:color w:val="E11D48"/>
          <w:sz w:val="26"/>
        </w:rPr>
        <w:t>Hématopoïèse</w:t>
      </w:r>
    </w:p>
    <w:p>
      <w:r>
        <w:rPr>
          <w:rFonts w:ascii="Inter" w:hAnsi="Inter"/>
          <w:b/>
          <w:i w:val="0"/>
          <w:color w:val="BE123C"/>
          <w:sz w:val="20"/>
        </w:rPr>
        <w:t>Sites</w:t>
      </w:r>
      <w:r>
        <w:rPr>
          <w:rFonts w:ascii="Inter" w:hAnsi="Inter"/>
          <w:b w:val="0"/>
          <w:i w:val="0"/>
          <w:color w:val="1F2937"/>
          <w:sz w:val="20"/>
        </w:rPr>
        <w:t xml:space="preserve"> : embryon (sac vitellin) → foie/rate → moelle osseuse, site exclusif après la naissance (os plats + vertèbres).</w:t>
      </w:r>
    </w:p>
    <w:p>
      <w:r>
        <w:rPr>
          <w:rFonts w:ascii="Inter" w:hAnsi="Inter"/>
          <w:b/>
          <w:i w:val="0"/>
          <w:color w:val="BE123C"/>
          <w:sz w:val="20"/>
        </w:rPr>
        <w:t>Cellules souches</w:t>
      </w:r>
      <w:r>
        <w:rPr>
          <w:rFonts w:ascii="Inter" w:hAnsi="Inter"/>
          <w:b w:val="0"/>
          <w:i w:val="0"/>
          <w:color w:val="1F2937"/>
          <w:sz w:val="20"/>
        </w:rPr>
        <w:t xml:space="preserve"> : auto-renouvellement + différenciation ; quiescentes ; marqueur </w:t>
      </w:r>
      <w:r>
        <w:rPr>
          <w:rFonts w:ascii="Inter" w:hAnsi="Inter"/>
          <w:b/>
          <w:i w:val="0"/>
          <w:color w:val="BE123C"/>
          <w:sz w:val="20"/>
        </w:rPr>
        <w:t>CD34</w:t>
      </w:r>
      <w:r>
        <w:rPr>
          <w:rFonts w:ascii="Inter" w:hAnsi="Inter"/>
          <w:b w:val="0"/>
          <w:i w:val="0"/>
          <w:color w:val="1F2937"/>
          <w:sz w:val="20"/>
        </w:rPr>
        <w:t xml:space="preserve"> ; cascade en 3 compartiments (progéniteurs → précurseurs → cellules matures).</w:t>
      </w:r>
    </w:p>
    <w:p>
      <w:r>
        <w:rPr>
          <w:rFonts w:ascii="Inter" w:hAnsi="Inter"/>
          <w:b/>
          <w:i w:val="0"/>
          <w:color w:val="BE123C"/>
          <w:sz w:val="20"/>
        </w:rPr>
        <w:t>Régulation</w:t>
      </w:r>
      <w:r>
        <w:rPr>
          <w:rFonts w:ascii="Inter" w:hAnsi="Inter"/>
          <w:b w:val="0"/>
          <w:i w:val="0"/>
          <w:color w:val="1F2937"/>
          <w:sz w:val="20"/>
        </w:rPr>
        <w:t xml:space="preserve"> : facteurs de croissance — </w:t>
      </w:r>
      <w:r>
        <w:rPr>
          <w:rFonts w:ascii="Inter" w:hAnsi="Inter"/>
          <w:b/>
          <w:i w:val="0"/>
          <w:color w:val="BE123C"/>
          <w:sz w:val="20"/>
        </w:rPr>
        <w:t>EPO</w:t>
      </w:r>
      <w:r>
        <w:rPr>
          <w:rFonts w:ascii="Inter" w:hAnsi="Inter"/>
          <w:b w:val="0"/>
          <w:i w:val="0"/>
          <w:color w:val="1F2937"/>
          <w:sz w:val="20"/>
        </w:rPr>
        <w:t xml:space="preserve"> (rein, érythroïde), </w:t>
      </w:r>
      <w:r>
        <w:rPr>
          <w:rFonts w:ascii="Inter" w:hAnsi="Inter"/>
          <w:b/>
          <w:i w:val="0"/>
          <w:color w:val="BE123C"/>
          <w:sz w:val="20"/>
        </w:rPr>
        <w:t>TPO</w:t>
      </w:r>
      <w:r>
        <w:rPr>
          <w:rFonts w:ascii="Inter" w:hAnsi="Inter"/>
          <w:b w:val="0"/>
          <w:i w:val="0"/>
          <w:color w:val="1F2937"/>
          <w:sz w:val="20"/>
        </w:rPr>
        <w:t xml:space="preserve"> (foie, plaquettes), G/GM/M-CSF, IL-5 ; microenvironnement (niches, hypoxie, îlot érythroblastique).</w:t>
      </w:r>
    </w:p>
    <w:p>
      <w:r>
        <w:rPr>
          <w:rFonts w:ascii="Inter" w:hAnsi="Inter"/>
          <w:b/>
          <w:i w:val="0"/>
          <w:color w:val="BE123C"/>
          <w:sz w:val="20"/>
        </w:rPr>
        <w:t>Lignée rouge</w:t>
      </w:r>
      <w:r>
        <w:rPr>
          <w:rFonts w:ascii="Inter" w:hAnsi="Inter"/>
          <w:b w:val="0"/>
          <w:i w:val="0"/>
          <w:color w:val="1F2937"/>
          <w:sz w:val="20"/>
        </w:rPr>
        <w:t xml:space="preserve"> : érythropoïèse 7 j (BFU-E → … → réticulocyte → hématie 120 j) ; hémoglobine = globine + hème + fer ; hémolyse → bilirubine libre, haptoglobine.</w:t>
      </w:r>
    </w:p>
    <w:p>
      <w:r>
        <w:rPr>
          <w:rFonts w:ascii="Inter" w:hAnsi="Inter"/>
          <w:b/>
          <w:i w:val="0"/>
          <w:color w:val="BE123C"/>
          <w:sz w:val="20"/>
        </w:rPr>
        <w:t>Facteurs nutritionnels</w:t>
      </w:r>
      <w:r>
        <w:rPr>
          <w:rFonts w:ascii="Inter" w:hAnsi="Inter"/>
          <w:b w:val="0"/>
          <w:i w:val="0"/>
          <w:color w:val="1F2937"/>
          <w:sz w:val="20"/>
        </w:rPr>
        <w:t xml:space="preserve"> : fer (hepcidine, transferrine, ferritine), folates et B12 (facteur intrinsèque, iléon) — synthèse de l'ADN.</w:t>
      </w:r>
    </w:p>
    <w:p>
      <w:r>
        <w:rPr>
          <w:rFonts w:ascii="Inter" w:hAnsi="Inter"/>
          <w:b/>
          <w:i w:val="0"/>
          <w:color w:val="BE123C"/>
          <w:sz w:val="20"/>
        </w:rPr>
        <w:t>Autres lignées</w:t>
      </w:r>
      <w:r>
        <w:rPr>
          <w:rFonts w:ascii="Inter" w:hAnsi="Inter"/>
          <w:b w:val="0"/>
          <w:i w:val="0"/>
          <w:color w:val="1F2937"/>
          <w:sz w:val="20"/>
        </w:rPr>
        <w:t xml:space="preserve"> : granulopoïèse 10 j (PNN), monocytes/macrophages, lymphopoïèse B (moelle) et T (thymus), plaquettes (mégacaryocytes).</w:t>
      </w:r>
    </w:p>
    <w:p>
      <w:r>
        <w:rPr>
          <w:rFonts w:ascii="Inter" w:hAnsi="Inter"/>
          <w:b/>
          <w:i w:val="0"/>
          <w:color w:val="BE123C"/>
          <w:sz w:val="20"/>
        </w:rPr>
        <w:t>Exploration</w:t>
      </w:r>
      <w:r>
        <w:rPr>
          <w:rFonts w:ascii="Inter" w:hAnsi="Inter"/>
          <w:b w:val="0"/>
          <w:i w:val="0"/>
          <w:color w:val="1F2937"/>
          <w:sz w:val="20"/>
        </w:rPr>
        <w:t xml:space="preserve"> : NFS, myélogramme (cytologie), BOM (histologie), immunophénotypage (CD), cytogénétique.</w:t>
      </w:r>
    </w:p>
    <w:p>
      <w:r>
        <w:rPr>
          <w:rFonts w:ascii="Inter" w:hAnsi="Inter"/>
          <w:b/>
          <w:i w:val="0"/>
          <w:color w:val="BE123C"/>
          <w:sz w:val="20"/>
        </w:rPr>
        <w:t>Hémopathies</w:t>
      </w:r>
      <w:r>
        <w:rPr>
          <w:rFonts w:ascii="Inter" w:hAnsi="Inter"/>
          <w:b w:val="0"/>
          <w:i w:val="0"/>
          <w:color w:val="1F2937"/>
          <w:sz w:val="20"/>
        </w:rPr>
        <w:t xml:space="preserve"> : leucémies aiguës (blastes), syndromes myélo- et lymphoprolifératifs ; déficit médullaire (aplasie, SMD, carences, envahissement).</w:t>
      </w:r>
    </w:p>
    <w:p>
      <w:pPr>
        <w:pBdr>
          <w:bottom w:val="single" w:sz="4" w:space="4" w:color="C9A961"/>
        </w:pBdr>
        <w:spacing w:before="180" w:after="40"/>
      </w:pPr>
      <w:r>
        <w:rPr>
          <w:rFonts w:ascii="Cormorant Garamond" w:hAnsi="Cormorant Garamond"/>
          <w:b/>
          <w:color w:val="E11D48"/>
          <w:sz w:val="26"/>
        </w:rPr>
        <w:t>À retenir absolument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1F2937"/>
          <w:sz w:val="21"/>
        </w:rPr>
        <w:t xml:space="preserve">Chez l'adulte, la </w:t>
      </w:r>
      <w:r>
        <w:rPr>
          <w:rFonts w:ascii="Inter" w:hAnsi="Inter"/>
          <w:b/>
          <w:i w:val="0"/>
          <w:color w:val="BE123C"/>
          <w:sz w:val="21"/>
        </w:rPr>
        <w:t>moelle osseuse</w:t>
      </w:r>
      <w:r>
        <w:rPr>
          <w:rFonts w:ascii="Inter" w:hAnsi="Inter"/>
          <w:b w:val="0"/>
          <w:i w:val="0"/>
          <w:color w:val="1F2937"/>
          <w:sz w:val="21"/>
        </w:rPr>
        <w:t xml:space="preserve"> (os plats, vertèbres) est le site </w:t>
      </w:r>
      <w:r>
        <w:rPr>
          <w:rFonts w:ascii="Inter" w:hAnsi="Inter"/>
          <w:b/>
          <w:i w:val="0"/>
          <w:color w:val="BE123C"/>
          <w:sz w:val="21"/>
        </w:rPr>
        <w:t>exclusif</w:t>
      </w:r>
      <w:r>
        <w:rPr>
          <w:rFonts w:ascii="Inter" w:hAnsi="Inter"/>
          <w:b w:val="0"/>
          <w:i w:val="0"/>
          <w:color w:val="1F2937"/>
          <w:sz w:val="21"/>
        </w:rPr>
        <w:t xml:space="preserve"> de l'hématopoïèse.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1F2937"/>
          <w:sz w:val="21"/>
        </w:rPr>
        <w:t xml:space="preserve">Les </w:t>
      </w:r>
      <w:r>
        <w:rPr>
          <w:rFonts w:ascii="Inter" w:hAnsi="Inter"/>
          <w:b/>
          <w:i w:val="0"/>
          <w:color w:val="BE123C"/>
          <w:sz w:val="21"/>
        </w:rPr>
        <w:t>cellules souches hématopoïétiques</w:t>
      </w:r>
      <w:r>
        <w:rPr>
          <w:rFonts w:ascii="Inter" w:hAnsi="Inter"/>
          <w:b w:val="0"/>
          <w:i w:val="0"/>
          <w:color w:val="1F2937"/>
          <w:sz w:val="21"/>
        </w:rPr>
        <w:t xml:space="preserve"> assurent l'</w:t>
      </w:r>
      <w:r>
        <w:rPr>
          <w:rFonts w:ascii="Inter" w:hAnsi="Inter"/>
          <w:b/>
          <w:i w:val="0"/>
          <w:color w:val="BE123C"/>
          <w:sz w:val="21"/>
        </w:rPr>
        <w:t>auto-renouvellement</w:t>
      </w:r>
      <w:r>
        <w:rPr>
          <w:rFonts w:ascii="Inter" w:hAnsi="Inter"/>
          <w:b w:val="0"/>
          <w:i w:val="0"/>
          <w:color w:val="1F2937"/>
          <w:sz w:val="21"/>
        </w:rPr>
        <w:t xml:space="preserve"> et la production de cellules différenciées ; elles sont </w:t>
      </w:r>
      <w:r>
        <w:rPr>
          <w:rFonts w:ascii="Inter" w:hAnsi="Inter"/>
          <w:b/>
          <w:i w:val="0"/>
          <w:color w:val="BE123C"/>
          <w:sz w:val="21"/>
        </w:rPr>
        <w:t>quiescentes</w:t>
      </w:r>
      <w:r>
        <w:rPr>
          <w:rFonts w:ascii="Inter" w:hAnsi="Inter"/>
          <w:b w:val="0"/>
          <w:i w:val="0"/>
          <w:color w:val="1F2937"/>
          <w:sz w:val="21"/>
        </w:rPr>
        <w:t xml:space="preserve"> et expriment le </w:t>
      </w:r>
      <w:r>
        <w:rPr>
          <w:rFonts w:ascii="Inter" w:hAnsi="Inter"/>
          <w:b/>
          <w:i w:val="0"/>
          <w:color w:val="BE123C"/>
          <w:sz w:val="21"/>
        </w:rPr>
        <w:t>CD34</w:t>
      </w:r>
      <w:r>
        <w:rPr>
          <w:rFonts w:ascii="Inter" w:hAnsi="Inter"/>
          <w:b w:val="0"/>
          <w:i w:val="0"/>
          <w:color w:val="1F2937"/>
          <w:sz w:val="21"/>
        </w:rPr>
        <w:t>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1F2937"/>
          <w:sz w:val="21"/>
        </w:rPr>
        <w:t xml:space="preserve">La cascade comprend </w:t>
      </w:r>
      <w:r>
        <w:rPr>
          <w:rFonts w:ascii="Inter" w:hAnsi="Inter"/>
          <w:b/>
          <w:i w:val="0"/>
          <w:color w:val="BE123C"/>
          <w:sz w:val="21"/>
        </w:rPr>
        <w:t>3 compartiments</w:t>
      </w:r>
      <w:r>
        <w:rPr>
          <w:rFonts w:ascii="Inter" w:hAnsi="Inter"/>
          <w:b w:val="0"/>
          <w:i w:val="0"/>
          <w:color w:val="1F2937"/>
          <w:sz w:val="21"/>
        </w:rPr>
        <w:t xml:space="preserve"> : progéniteurs → précurseurs (« …blaste ») → cellules matures.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1F2937"/>
          <w:sz w:val="21"/>
        </w:rPr>
        <w:t>L'</w:t>
      </w:r>
      <w:r>
        <w:rPr>
          <w:rFonts w:ascii="Inter" w:hAnsi="Inter"/>
          <w:b/>
          <w:i w:val="0"/>
          <w:color w:val="BE123C"/>
          <w:sz w:val="21"/>
        </w:rPr>
        <w:t>EPO</w:t>
      </w:r>
      <w:r>
        <w:rPr>
          <w:rFonts w:ascii="Inter" w:hAnsi="Inter"/>
          <w:b w:val="0"/>
          <w:i w:val="0"/>
          <w:color w:val="1F2937"/>
          <w:sz w:val="21"/>
        </w:rPr>
        <w:t xml:space="preserve"> (rein) régule l'érythropoïèse, la </w:t>
      </w:r>
      <w:r>
        <w:rPr>
          <w:rFonts w:ascii="Inter" w:hAnsi="Inter"/>
          <w:b/>
          <w:i w:val="0"/>
          <w:color w:val="BE123C"/>
          <w:sz w:val="21"/>
        </w:rPr>
        <w:t>TPO</w:t>
      </w:r>
      <w:r>
        <w:rPr>
          <w:rFonts w:ascii="Inter" w:hAnsi="Inter"/>
          <w:b w:val="0"/>
          <w:i w:val="0"/>
          <w:color w:val="1F2937"/>
          <w:sz w:val="21"/>
        </w:rPr>
        <w:t xml:space="preserve"> (foie) la lignée plaquettaire : régulations hormonales.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1F2937"/>
          <w:sz w:val="21"/>
        </w:rPr>
        <w:t>L'</w:t>
      </w:r>
      <w:r>
        <w:rPr>
          <w:rFonts w:ascii="Inter" w:hAnsi="Inter"/>
          <w:b/>
          <w:i w:val="0"/>
          <w:color w:val="BE123C"/>
          <w:sz w:val="21"/>
        </w:rPr>
        <w:t>érythropoïèse</w:t>
      </w:r>
      <w:r>
        <w:rPr>
          <w:rFonts w:ascii="Inter" w:hAnsi="Inter"/>
          <w:b w:val="0"/>
          <w:i w:val="0"/>
          <w:color w:val="1F2937"/>
          <w:sz w:val="21"/>
        </w:rPr>
        <w:t xml:space="preserve"> dure 7 jours ; le </w:t>
      </w:r>
      <w:r>
        <w:rPr>
          <w:rFonts w:ascii="Inter" w:hAnsi="Inter"/>
          <w:b/>
          <w:i w:val="0"/>
          <w:color w:val="BE123C"/>
          <w:sz w:val="21"/>
        </w:rPr>
        <w:t>réticulocyte</w:t>
      </w:r>
      <w:r>
        <w:rPr>
          <w:rFonts w:ascii="Inter" w:hAnsi="Inter"/>
          <w:b w:val="0"/>
          <w:i w:val="0"/>
          <w:color w:val="1F2937"/>
          <w:sz w:val="21"/>
        </w:rPr>
        <w:t xml:space="preserve"> reflète la production médullaire et le caractère régénératif d'une anémie.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1F2937"/>
          <w:sz w:val="21"/>
        </w:rPr>
        <w:t xml:space="preserve">La </w:t>
      </w:r>
      <w:r>
        <w:rPr>
          <w:rFonts w:ascii="Inter" w:hAnsi="Inter"/>
          <w:b/>
          <w:i w:val="0"/>
          <w:color w:val="BE123C"/>
          <w:sz w:val="21"/>
        </w:rPr>
        <w:t>vitamine B12</w:t>
      </w:r>
      <w:r>
        <w:rPr>
          <w:rFonts w:ascii="Inter" w:hAnsi="Inter"/>
          <w:b w:val="0"/>
          <w:i w:val="0"/>
          <w:color w:val="1F2937"/>
          <w:sz w:val="21"/>
        </w:rPr>
        <w:t xml:space="preserve"> est absorbée dans l'</w:t>
      </w:r>
      <w:r>
        <w:rPr>
          <w:rFonts w:ascii="Inter" w:hAnsi="Inter"/>
          <w:b/>
          <w:i w:val="0"/>
          <w:color w:val="BE123C"/>
          <w:sz w:val="21"/>
        </w:rPr>
        <w:t>iléon</w:t>
      </w:r>
      <w:r>
        <w:rPr>
          <w:rFonts w:ascii="Inter" w:hAnsi="Inter"/>
          <w:b w:val="0"/>
          <w:i w:val="0"/>
          <w:color w:val="1F2937"/>
          <w:sz w:val="21"/>
        </w:rPr>
        <w:t xml:space="preserve"> grâce au </w:t>
      </w:r>
      <w:r>
        <w:rPr>
          <w:rFonts w:ascii="Inter" w:hAnsi="Inter"/>
          <w:b/>
          <w:i w:val="0"/>
          <w:color w:val="BE123C"/>
          <w:sz w:val="21"/>
        </w:rPr>
        <w:t>facteur intrinsèque</w:t>
      </w:r>
      <w:r>
        <w:rPr>
          <w:rFonts w:ascii="Inter" w:hAnsi="Inter"/>
          <w:b w:val="0"/>
          <w:i w:val="0"/>
          <w:color w:val="1F2937"/>
          <w:sz w:val="21"/>
        </w:rPr>
        <w:t xml:space="preserve"> ; B9 et B12 sont indispensables à la synthèse de l'ADN.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1F2937"/>
          <w:sz w:val="21"/>
        </w:rPr>
        <w:t xml:space="preserve">Le </w:t>
      </w:r>
      <w:r>
        <w:rPr>
          <w:rFonts w:ascii="Inter" w:hAnsi="Inter"/>
          <w:b/>
          <w:i w:val="0"/>
          <w:color w:val="BE123C"/>
          <w:sz w:val="21"/>
        </w:rPr>
        <w:t>fer</w:t>
      </w:r>
      <w:r>
        <w:rPr>
          <w:rFonts w:ascii="Inter" w:hAnsi="Inter"/>
          <w:b w:val="0"/>
          <w:i w:val="0"/>
          <w:color w:val="1F2937"/>
          <w:sz w:val="21"/>
        </w:rPr>
        <w:t xml:space="preserve"> est régulé par l'</w:t>
      </w:r>
      <w:r>
        <w:rPr>
          <w:rFonts w:ascii="Inter" w:hAnsi="Inter"/>
          <w:b/>
          <w:i w:val="0"/>
          <w:color w:val="BE123C"/>
          <w:sz w:val="21"/>
        </w:rPr>
        <w:t>hepcidine</w:t>
      </w:r>
      <w:r>
        <w:rPr>
          <w:rFonts w:ascii="Inter" w:hAnsi="Inter"/>
          <w:b w:val="0"/>
          <w:i w:val="0"/>
          <w:color w:val="1F2937"/>
          <w:sz w:val="21"/>
        </w:rPr>
        <w:t xml:space="preserve"> (foie) ; carence martiale → anémie </w:t>
      </w:r>
      <w:r>
        <w:rPr>
          <w:rFonts w:ascii="Inter" w:hAnsi="Inter"/>
          <w:b/>
          <w:i w:val="0"/>
          <w:color w:val="BE123C"/>
          <w:sz w:val="21"/>
        </w:rPr>
        <w:t>microcytaire</w:t>
      </w:r>
      <w:r>
        <w:rPr>
          <w:rFonts w:ascii="Inter" w:hAnsi="Inter"/>
          <w:b w:val="0"/>
          <w:i w:val="0"/>
          <w:color w:val="1F2937"/>
          <w:sz w:val="21"/>
        </w:rPr>
        <w:t xml:space="preserve">, carence B9/B12 → anémie </w:t>
      </w:r>
      <w:r>
        <w:rPr>
          <w:rFonts w:ascii="Inter" w:hAnsi="Inter"/>
          <w:b/>
          <w:i w:val="0"/>
          <w:color w:val="BE123C"/>
          <w:sz w:val="21"/>
        </w:rPr>
        <w:t>macrocytaire</w:t>
      </w:r>
      <w:r>
        <w:rPr>
          <w:rFonts w:ascii="Inter" w:hAnsi="Inter"/>
          <w:b w:val="0"/>
          <w:i w:val="0"/>
          <w:color w:val="1F2937"/>
          <w:sz w:val="21"/>
        </w:rPr>
        <w:t>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1F2937"/>
          <w:sz w:val="21"/>
        </w:rPr>
        <w:t xml:space="preserve">Les hémopathies malignes naissent d'un </w:t>
      </w:r>
      <w:r>
        <w:rPr>
          <w:rFonts w:ascii="Inter" w:hAnsi="Inter"/>
          <w:b/>
          <w:i w:val="0"/>
          <w:color w:val="BE123C"/>
          <w:sz w:val="21"/>
        </w:rPr>
        <w:t>clone</w:t>
      </w:r>
      <w:r>
        <w:rPr>
          <w:rFonts w:ascii="Inter" w:hAnsi="Inter"/>
          <w:b w:val="0"/>
          <w:i w:val="0"/>
          <w:color w:val="1F2937"/>
          <w:sz w:val="21"/>
        </w:rPr>
        <w:t xml:space="preserve"> : différenciation perdue → </w:t>
      </w:r>
      <w:r>
        <w:rPr>
          <w:rFonts w:ascii="Inter" w:hAnsi="Inter"/>
          <w:b/>
          <w:i w:val="0"/>
          <w:color w:val="BE123C"/>
          <w:sz w:val="21"/>
        </w:rPr>
        <w:t>leucémie aiguë</w:t>
      </w:r>
      <w:r>
        <w:rPr>
          <w:rFonts w:ascii="Inter" w:hAnsi="Inter"/>
          <w:b w:val="0"/>
          <w:i w:val="0"/>
          <w:color w:val="1F2937"/>
          <w:sz w:val="21"/>
        </w:rPr>
        <w:t xml:space="preserve">, conservée → </w:t>
      </w:r>
      <w:r>
        <w:rPr>
          <w:rFonts w:ascii="Inter" w:hAnsi="Inter"/>
          <w:b/>
          <w:i w:val="0"/>
          <w:color w:val="BE123C"/>
          <w:sz w:val="21"/>
        </w:rPr>
        <w:t>syndrome myélo- ou lymphoprolifératif</w:t>
      </w:r>
      <w:r>
        <w:rPr>
          <w:rFonts w:ascii="Inter" w:hAnsi="Inter"/>
          <w:b w:val="0"/>
          <w:i w:val="0"/>
          <w:color w:val="1F2937"/>
          <w:sz w:val="21"/>
        </w:rPr>
        <w:t>.</w:t>
      </w:r>
    </w:p>
    <w:p>
      <w:pPr>
        <w:spacing w:before="320"/>
        <w:jc w:val="center"/>
      </w:pPr>
      <w:r>
        <w:drawing>
          <wp:inline xmlns:a="http://schemas.openxmlformats.org/drawingml/2006/main" xmlns:pic="http://schemas.openxmlformats.org/drawingml/2006/picture">
            <wp:extent cx="792000" cy="39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ajor_e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Inter" w:hAnsi="Inter"/>
          <w:color w:val="9CA3AF"/>
          <w:spacing w:val="36"/>
          <w:sz w:val="17"/>
        </w:rPr>
        <w:t>MAJOR ECN  ·  2025-2026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020" w:bottom="1020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</w:pPr>
    <w:r/>
    <w:r>
      <w:rPr>
        <w:rFonts w:ascii="Inter" w:hAnsi="Inter"/>
        <w:color w:val="9CA3AF"/>
        <w:spacing w:val="24"/>
        <w:sz w:val="16"/>
      </w:rPr>
      <w:t>MAJOR ECN  ·  2025-2026</w:t>
      <w:tab/>
    </w:r>
    <w:r>
      <w:rPr>
        <w:rFonts w:ascii="Inter" w:hAnsi="Inter"/>
        <w:b/>
        <w:color w:val="E11D48"/>
        <w:sz w:val="17"/>
      </w:rPr>
      <w:fldChar w:fldCharType="begin"/>
      <w:instrText xml:space="preserve">PAGE</w:instrText>
      <w:fldChar w:fldCharType="end"/>
    </w:r>
    <w:r>
      <w:rPr>
        <w:rFonts w:ascii="Inter" w:hAnsi="Inter"/>
        <w:b/>
        <w:color w:val="E11D48"/>
        <w:sz w:val="17"/>
      </w:rPr>
      <w:t xml:space="preserve">  /  </w:t>
    </w:r>
    <w:r>
      <w:rPr>
        <w:rFonts w:ascii="Inter" w:hAnsi="Inter"/>
        <w:b/>
        <w:color w:val="E11D48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E11D48"/>
      </w:pBdr>
    </w:pPr>
    <w:r/>
    <w:r>
      <w:rPr>
        <w:rFonts w:ascii="Inter" w:hAnsi="Inter"/>
        <w:i/>
        <w:color w:val="9CA3AF"/>
        <w:sz w:val="16"/>
      </w:rPr>
      <w:t>Hématopoïèse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Inter" w:hAnsi="Inter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