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7BF34">
      <w:pPr>
        <w:keepNext w:val="0"/>
        <w:spacing w:before="0" w:after="0" w:line="240" w:lineRule="auto"/>
        <w:ind w:firstLine="0"/>
        <w:jc w:val="center"/>
      </w:pPr>
      <w:bookmarkStart w:id="0" w:name="_GoBack"/>
      <w:bookmarkEnd w:id="0"/>
    </w:p>
    <w:p w14:paraId="50C1B506">
      <w:pPr>
        <w:keepNext w:val="0"/>
        <w:spacing w:before="0" w:after="0" w:line="240" w:lineRule="auto"/>
        <w:ind w:firstLine="0"/>
        <w:jc w:val="center"/>
      </w:pPr>
    </w:p>
    <w:p w14:paraId="50EDBB56">
      <w:pPr>
        <w:keepNext w:val="0"/>
        <w:spacing w:before="0" w:after="0" w:line="240" w:lineRule="auto"/>
        <w:ind w:firstLine="0"/>
        <w:jc w:val="center"/>
      </w:pPr>
    </w:p>
    <w:p w14:paraId="4B4660B9">
      <w:pPr>
        <w:keepNext w:val="0"/>
        <w:spacing w:before="0" w:after="0" w:line="240" w:lineRule="auto"/>
        <w:ind w:firstLine="0"/>
        <w:jc w:val="center"/>
      </w:pPr>
    </w:p>
    <w:p w14:paraId="1A9CDDDE">
      <w:pPr>
        <w:keepNext w:val="0"/>
        <w:spacing w:before="0" w:after="0" w:line="240" w:lineRule="auto"/>
        <w:ind w:firstLine="0"/>
        <w:jc w:val="center"/>
      </w:pPr>
    </w:p>
    <w:p w14:paraId="5D75F56C">
      <w:pPr>
        <w:keepNext w:val="0"/>
        <w:spacing w:before="600" w:after="200" w:line="312" w:lineRule="auto"/>
        <w:ind w:firstLine="0"/>
        <w:jc w:val="center"/>
      </w:pPr>
      <w:r>
        <w:rPr>
          <w:rFonts w:ascii="Times New Roman" w:hAnsi="Times New Roman" w:eastAsia="宋体" w:cs="Times New Roman"/>
          <w:b/>
          <w:sz w:val="52"/>
        </w:rPr>
        <w:t>指代式图像编辑中的空间控制决策</w:t>
      </w:r>
    </w:p>
    <w:p w14:paraId="1369DA87">
      <w:pPr>
        <w:keepNext w:val="0"/>
        <w:spacing w:before="0" w:after="280" w:line="312" w:lineRule="auto"/>
        <w:ind w:firstLine="0"/>
        <w:jc w:val="center"/>
      </w:pPr>
      <w:r>
        <w:rPr>
          <w:rFonts w:ascii="Times New Roman" w:hAnsi="Times New Roman" w:eastAsia="宋体" w:cs="Times New Roman"/>
          <w:b/>
          <w:sz w:val="40"/>
        </w:rPr>
        <w:t>研究报告</w:t>
      </w:r>
    </w:p>
    <w:p w14:paraId="5DA99576">
      <w:pPr>
        <w:keepNext w:val="0"/>
        <w:spacing w:before="160" w:after="160" w:line="307" w:lineRule="auto"/>
        <w:ind w:firstLine="0"/>
        <w:jc w:val="center"/>
      </w:pPr>
      <w:r>
        <w:rPr>
          <w:rFonts w:ascii="Times New Roman" w:hAnsi="Times New Roman" w:eastAsia="宋体" w:cs="Times New Roman"/>
          <w:b w:val="0"/>
          <w:i/>
          <w:color w:val="404040"/>
          <w:sz w:val="26"/>
        </w:rPr>
        <w:t>Decision-Oriented Spatial Control for Referring Image Editing</w:t>
      </w:r>
    </w:p>
    <w:p w14:paraId="0AB8839E">
      <w:pPr>
        <w:keepNext w:val="0"/>
        <w:spacing w:before="0" w:after="0" w:line="240" w:lineRule="auto"/>
        <w:ind w:firstLine="0"/>
        <w:jc w:val="center"/>
      </w:pPr>
    </w:p>
    <w:p w14:paraId="1B18FE12">
      <w:pPr>
        <w:keepNext w:val="0"/>
        <w:spacing w:before="0" w:after="0" w:line="240" w:lineRule="auto"/>
        <w:ind w:firstLine="0"/>
        <w:jc w:val="center"/>
      </w:pPr>
    </w:p>
    <w:p w14:paraId="17E9D9D9">
      <w:pPr>
        <w:keepNext w:val="0"/>
        <w:spacing w:before="0" w:after="0" w:line="240" w:lineRule="auto"/>
        <w:ind w:firstLine="0"/>
        <w:jc w:val="center"/>
      </w:pPr>
    </w:p>
    <w:p w14:paraId="7EF0329A">
      <w:pPr>
        <w:keepNext w:val="0"/>
        <w:spacing w:before="360" w:after="120" w:line="312" w:lineRule="auto"/>
        <w:ind w:firstLine="0"/>
        <w:jc w:val="center"/>
      </w:pPr>
      <w:r>
        <w:rPr>
          <w:rFonts w:ascii="Times New Roman" w:hAnsi="Times New Roman" w:eastAsia="宋体" w:cs="Times New Roman"/>
          <w:b w:val="0"/>
          <w:sz w:val="28"/>
        </w:rPr>
        <w:t>团队成员：孙彧、何劲、黄天志</w:t>
      </w:r>
    </w:p>
    <w:p w14:paraId="21527832">
      <w:pPr>
        <w:keepNext w:val="0"/>
        <w:spacing w:before="0" w:after="0" w:line="240" w:lineRule="auto"/>
        <w:ind w:firstLine="0"/>
        <w:jc w:val="center"/>
      </w:pPr>
    </w:p>
    <w:p w14:paraId="6BBDEBD4">
      <w:pPr>
        <w:keepNext w:val="0"/>
        <w:spacing w:before="0" w:after="0" w:line="240" w:lineRule="auto"/>
        <w:ind w:firstLine="0"/>
        <w:jc w:val="center"/>
      </w:pPr>
    </w:p>
    <w:p w14:paraId="3A5AC322">
      <w:pPr>
        <w:keepNext w:val="0"/>
        <w:spacing w:before="0" w:after="0" w:line="240" w:lineRule="auto"/>
        <w:ind w:firstLine="0"/>
        <w:jc w:val="center"/>
      </w:pPr>
    </w:p>
    <w:p w14:paraId="68BD497E">
      <w:pPr>
        <w:keepNext w:val="0"/>
        <w:spacing w:before="0" w:after="0" w:line="240" w:lineRule="auto"/>
        <w:ind w:firstLine="0"/>
        <w:jc w:val="center"/>
      </w:pPr>
    </w:p>
    <w:p w14:paraId="6889561F">
      <w:pPr>
        <w:keepNext w:val="0"/>
        <w:spacing w:before="0" w:after="0" w:line="240" w:lineRule="auto"/>
        <w:ind w:firstLine="0"/>
        <w:jc w:val="center"/>
      </w:pPr>
    </w:p>
    <w:p w14:paraId="56C40CE1">
      <w:pPr>
        <w:keepNext w:val="0"/>
        <w:spacing w:before="0" w:after="0" w:line="240" w:lineRule="auto"/>
        <w:ind w:firstLine="0"/>
        <w:jc w:val="center"/>
      </w:pPr>
    </w:p>
    <w:p w14:paraId="15726A45">
      <w:pPr>
        <w:keepNext w:val="0"/>
        <w:spacing w:before="0" w:after="0" w:line="312" w:lineRule="auto"/>
        <w:ind w:firstLine="0"/>
        <w:jc w:val="center"/>
      </w:pPr>
      <w:r>
        <w:rPr>
          <w:rFonts w:ascii="Times New Roman" w:hAnsi="Times New Roman" w:eastAsia="宋体" w:cs="Times New Roman"/>
          <w:b w:val="0"/>
          <w:sz w:val="28"/>
        </w:rPr>
        <w:t>2026 年 10 月 26 日</w:t>
      </w:r>
    </w:p>
    <w:p w14:paraId="1D87302F">
      <w:r>
        <w:br w:type="page"/>
      </w:r>
    </w:p>
    <w:p w14:paraId="353ABE7A">
      <w:pPr>
        <w:keepNext/>
        <w:keepLines/>
        <w:spacing w:before="360" w:after="160" w:line="312" w:lineRule="auto"/>
        <w:ind w:firstLine="0"/>
        <w:jc w:val="center"/>
        <w:outlineLvl w:val="0"/>
      </w:pPr>
      <w:r>
        <w:rPr>
          <w:rFonts w:ascii="Times New Roman" w:hAnsi="Times New Roman" w:eastAsia="宋体" w:cs="Times New Roman"/>
          <w:b/>
          <w:sz w:val="32"/>
        </w:rPr>
        <w:t>摘要</w:t>
      </w:r>
    </w:p>
    <w:p w14:paraId="6714A9EB">
      <w:pPr>
        <w:keepNext w:val="0"/>
        <w:widowControl/>
        <w:spacing w:before="0" w:after="0" w:line="360" w:lineRule="auto"/>
        <w:ind w:firstLine="480"/>
        <w:jc w:val="both"/>
      </w:pPr>
      <w:r>
        <w:rPr>
          <w:rFonts w:ascii="Times New Roman" w:hAnsi="Times New Roman" w:eastAsia="宋体" w:cs="Times New Roman"/>
          <w:b w:val="0"/>
          <w:sz w:val="24"/>
        </w:rPr>
        <w:t>指代式图像编辑要求系统根据自然语言指令定位目标对象并局部修改图像，其效果高度依赖指代分割得到的掩码。现有工作多把掩码视为给定输入，或用端到端模型隐式完成定位；编辑失败时难以判断问题来自分割、编辑器还是评价口径，在指代编辑中“有限预算下下一步动作是否值得做”也尚缺系统的实证依据。</w:t>
      </w:r>
    </w:p>
    <w:p w14:paraId="72F246A2">
      <w:pPr>
        <w:keepNext w:val="0"/>
        <w:widowControl/>
        <w:spacing w:before="0" w:after="0" w:line="360" w:lineRule="auto"/>
        <w:ind w:firstLine="480"/>
        <w:jc w:val="both"/>
      </w:pPr>
      <w:r>
        <w:rPr>
          <w:rFonts w:ascii="Times New Roman" w:hAnsi="Times New Roman" w:eastAsia="宋体" w:cs="Times New Roman"/>
          <w:b w:val="0"/>
          <w:sz w:val="24"/>
        </w:rPr>
        <w:t>本文研究一个执行前的决策问题：在冻结编辑器的条件下，系统完成一次初始编辑后，应保持结果、收缩或扩张掩码、精修、重定位，还是重新采样？我们把它分解为三个相互支撑的子问题：控制与机制（动作如何改变编辑器响应、是否存在超出种子噪声的改进余量）、预测与决策（仅用执行前信息能否预测各动作的改善、破坏与成本，并在等预算下优于固定动作、规则与多候选选优）、可信评价与统计（自动判分能否代表人工判断，如何用盲评、校准与拒答支撑结论）。三者共享数据划分、反事实动作表与评价协议。</w:t>
      </w:r>
    </w:p>
    <w:p w14:paraId="0F3B5DBD">
      <w:pPr>
        <w:keepNext w:val="0"/>
        <w:widowControl/>
        <w:spacing w:before="0" w:after="0" w:line="360" w:lineRule="auto"/>
        <w:ind w:firstLine="480"/>
        <w:jc w:val="both"/>
      </w:pPr>
      <w:r>
        <w:rPr>
          <w:rFonts w:ascii="Times New Roman" w:hAnsi="Times New Roman" w:eastAsia="宋体" w:cs="Times New Roman"/>
          <w:b w:val="0"/>
          <w:sz w:val="24"/>
        </w:rPr>
        <w:t>研究方案以 RefCOCO 系列图像与指代标注构造 600 图 × 2 类编辑操作（改色/材质替换、对象移除）的任务池，对每个任务执行全部 6 个候选动作并记录结果，形成“反事实动作表”（每任务每编辑器 19 次编辑）。通过匹配 IoU 的受控扰动与真实预测掩码两条链路测量动作效果与容限，以人工双盲评分校准自动判分。主检验预先注册为：在相同平均预算下，预测驱动的策略在综合成功率上相对最强固定动作与等成本 best-of-k 提升≥5 个百分点，且按图像聚类的 bootstrap 95% 置信区间下界大于 0。本报告给出问题形式化、技术路线、实验设计、预期结果分析与研究计划。截至撰写时，项目处于方案与准备阶段，尚未开展正式实验；报告中的规模、机时与预算均为方案估算。</w:t>
      </w:r>
    </w:p>
    <w:p w14:paraId="159BC7E4">
      <w:pPr>
        <w:keepNext w:val="0"/>
        <w:widowControl/>
        <w:spacing w:before="0" w:after="0" w:line="360" w:lineRule="auto"/>
        <w:jc w:val="both"/>
      </w:pPr>
      <w:r>
        <w:rPr>
          <w:rFonts w:ascii="Times New Roman" w:hAnsi="Times New Roman" w:eastAsia="宋体" w:cs="Times New Roman"/>
          <w:b/>
          <w:sz w:val="24"/>
        </w:rPr>
        <w:t>关键词：</w:t>
      </w:r>
      <w:r>
        <w:rPr>
          <w:rFonts w:ascii="Times New Roman" w:hAnsi="Times New Roman" w:eastAsia="宋体" w:cs="Times New Roman"/>
          <w:b w:val="0"/>
          <w:sz w:val="24"/>
        </w:rPr>
        <w:t xml:space="preserve"> 指代式图像编辑；空间控制；动作价值预测；预算约束决策；可信评价；可复现实验</w:t>
      </w:r>
    </w:p>
    <w:p w14:paraId="2A563988">
      <w:pPr>
        <w:keepNext/>
        <w:keepLines/>
        <w:spacing w:before="360" w:after="160" w:line="312" w:lineRule="auto"/>
        <w:ind w:firstLine="0"/>
        <w:jc w:val="left"/>
        <w:outlineLvl w:val="0"/>
      </w:pPr>
      <w:r>
        <w:rPr>
          <w:rFonts w:ascii="Times New Roman" w:hAnsi="Times New Roman" w:eastAsia="宋体" w:cs="Times New Roman"/>
          <w:b/>
          <w:sz w:val="32"/>
        </w:rPr>
        <w:t>1 引言</w:t>
      </w:r>
    </w:p>
    <w:p w14:paraId="16BFCADC">
      <w:pPr>
        <w:keepNext/>
        <w:keepLines/>
        <w:spacing w:before="240" w:after="120" w:line="312" w:lineRule="auto"/>
        <w:ind w:firstLine="0"/>
        <w:jc w:val="both"/>
        <w:outlineLvl w:val="1"/>
      </w:pPr>
      <w:r>
        <w:rPr>
          <w:rFonts w:ascii="Times New Roman" w:hAnsi="Times New Roman" w:eastAsia="宋体" w:cs="Times New Roman"/>
          <w:b/>
          <w:sz w:val="28"/>
        </w:rPr>
        <w:t>1.1 研究背景</w:t>
      </w:r>
    </w:p>
    <w:p w14:paraId="5B7D4ED3">
      <w:pPr>
        <w:keepNext w:val="0"/>
        <w:widowControl/>
        <w:spacing w:before="0" w:after="0" w:line="360" w:lineRule="auto"/>
        <w:ind w:firstLine="480"/>
        <w:jc w:val="both"/>
      </w:pPr>
      <w:r>
        <w:rPr>
          <w:rFonts w:ascii="Times New Roman" w:hAnsi="Times New Roman" w:eastAsia="宋体" w:cs="Times New Roman"/>
          <w:b w:val="0"/>
          <w:sz w:val="24"/>
        </w:rPr>
        <w:t>指代式图像编辑（Referring Image Editing）要求系统理解“把左边那辆红车改成蓝色”这类指令，定位被指代的对象，并只修改目标区域、保持其他内容。典型流水线分为三步：开放集检测或指代定位给出候选目标（如 Grounding DINO [18]），分割模型生成掩码（如 SAM 2 [19]），修复/编辑模型在掩码内完成修改（如 SDXL-Inpainting [20]、FLUX.1 Fill [21]）。</w:t>
      </w:r>
    </w:p>
    <w:p w14:paraId="2D578252">
      <w:pPr>
        <w:keepNext w:val="0"/>
        <w:widowControl/>
        <w:spacing w:before="0" w:after="0" w:line="360" w:lineRule="auto"/>
        <w:ind w:firstLine="480"/>
        <w:jc w:val="both"/>
      </w:pPr>
      <w:r>
        <w:rPr>
          <w:rFonts w:ascii="Times New Roman" w:hAnsi="Times New Roman" w:eastAsia="宋体" w:cs="Times New Roman"/>
          <w:b w:val="0"/>
          <w:sz w:val="24"/>
        </w:rPr>
        <w:t>这一流程的效果高度依赖掩码质量：掩码偏小导致目标没改全，偏大破坏背景或邻近对象，偏移产生半改半留，错目标把编辑作用到错误对象上。实际系统中，掩码由指代分割自动产生，误差不可避免；指代感知模型在扰动下的脆弱性已有系统评估 [6]，但该评估以感知/分割指标为终点，不直接度量编辑后果。而编辑结果一旦不理想，开发者很难判断问题出在“圈错了”还是“模型画不好”，更不知道下一步应该修掩码、换种子，还是直接放弃。</w:t>
      </w:r>
    </w:p>
    <w:p w14:paraId="5ADEAD2C">
      <w:pPr>
        <w:keepNext/>
        <w:keepLines/>
        <w:spacing w:before="240" w:after="120" w:line="312" w:lineRule="auto"/>
        <w:ind w:firstLine="0"/>
        <w:jc w:val="both"/>
        <w:outlineLvl w:val="1"/>
      </w:pPr>
      <w:r>
        <w:rPr>
          <w:rFonts w:ascii="Times New Roman" w:hAnsi="Times New Roman" w:eastAsia="宋体" w:cs="Times New Roman"/>
          <w:b/>
          <w:sz w:val="28"/>
        </w:rPr>
        <w:t>1.2 问题提出</w:t>
      </w:r>
    </w:p>
    <w:p w14:paraId="6104E868">
      <w:pPr>
        <w:keepNext w:val="0"/>
        <w:widowControl/>
        <w:spacing w:before="0" w:after="0" w:line="360" w:lineRule="auto"/>
        <w:ind w:firstLine="480"/>
        <w:jc w:val="both"/>
      </w:pPr>
      <w:r>
        <w:rPr>
          <w:rFonts w:ascii="Times New Roman" w:hAnsi="Times New Roman" w:eastAsia="宋体" w:cs="Times New Roman"/>
          <w:b w:val="0"/>
          <w:sz w:val="24"/>
        </w:rPr>
        <w:t>现有研究和工程实践在定位误差处理上大致有三类做法。一种是把定位与编辑放进端到端模型（如 FOCUS [4]、RefEdit [5]），让模型隐式学习“改哪里”；另一种是把分割与编辑串接，掩码作为给定条件，失败时靠人工反复试错或经验性的固定膨胀/收缩，[8] 则以学习方式面向移除任务优化掩码；第三类是迭代编辑与候选选优（如 UniEdit-I [10]、ELECT [11]），先生成多个候选或多轮迭代，再用验证模块挑选或触发修正。端到端模型通常不区分定位误差与生成误差，诊断依赖额外分析；经验性固定修正不区分样本；候选选优需对每个候选（全部或部分）执行生成并判分，且较少显式建模“某个空间动作在执行前（初始结果之后）的预期净收益”。</w:t>
      </w:r>
    </w:p>
    <w:p w14:paraId="275F1805">
      <w:pPr>
        <w:keepNext w:val="0"/>
        <w:widowControl/>
        <w:spacing w:before="0" w:after="0" w:line="360" w:lineRule="auto"/>
        <w:ind w:firstLine="480"/>
        <w:jc w:val="both"/>
      </w:pPr>
      <w:r>
        <w:rPr>
          <w:rFonts w:ascii="Times New Roman" w:hAnsi="Times New Roman" w:eastAsia="宋体" w:cs="Times New Roman"/>
          <w:b w:val="0"/>
          <w:sz w:val="24"/>
        </w:rPr>
        <w:t>本文把问题收敛为一个可检验的决策问题：在冻结编辑器、已有一次初始编辑结果的条件下，仅利用执行前可得的信息，能否预测每个候选动作的编辑改善、内容破坏与计算成本，并在等成本口径下选择动作（含“保持”）？ 与“把所有动作都跑一遍再挑最好”相比，本文强调“先预测、后花费”，并把所有比较放在同一成本口径下进行。</w:t>
      </w:r>
    </w:p>
    <w:p w14:paraId="5877FE9E">
      <w:pPr>
        <w:keepNext/>
        <w:keepLines/>
        <w:spacing w:before="240" w:after="120" w:line="312" w:lineRule="auto"/>
        <w:ind w:firstLine="0"/>
        <w:jc w:val="both"/>
        <w:outlineLvl w:val="1"/>
      </w:pPr>
      <w:r>
        <w:rPr>
          <w:rFonts w:ascii="Times New Roman" w:hAnsi="Times New Roman" w:eastAsia="宋体" w:cs="Times New Roman"/>
          <w:b/>
          <w:sz w:val="28"/>
        </w:rPr>
        <w:t>1.3 相关工作</w:t>
      </w:r>
    </w:p>
    <w:p w14:paraId="698B63B0">
      <w:pPr>
        <w:keepNext w:val="0"/>
        <w:widowControl/>
        <w:spacing w:before="0" w:after="0" w:line="360" w:lineRule="auto"/>
        <w:ind w:firstLine="480"/>
        <w:jc w:val="both"/>
      </w:pPr>
      <w:r>
        <w:rPr>
          <w:rFonts w:ascii="Times New Roman" w:hAnsi="Times New Roman" w:eastAsia="宋体" w:cs="Times New Roman"/>
          <w:b/>
          <w:sz w:val="24"/>
        </w:rPr>
        <w:t>指代式图像编辑与统一模型。</w:t>
      </w:r>
      <w:r>
        <w:rPr>
          <w:rFonts w:ascii="Times New Roman" w:hAnsi="Times New Roman" w:eastAsia="宋体" w:cs="Times New Roman"/>
          <w:sz w:val="24"/>
        </w:rPr>
        <w:t>InstructPix2Pix [1] 用 GPT-3 与 Stable Diffusion 合成大规模指令编辑三元组，训练条件扩散模型前向一次完成编辑，目标定位完全隐式。MagicBrush [2] 提供人工标注的指令编辑数据集（10K+ 三元组，覆盖单轮/多轮、有/无掩码），主要贡献在数据与评测。ZONE [3] 是零样本局部编辑流水线：先由 InstructPix2Pix 推断编辑区域，再以 Region-IoU 从现成分割结果中选取图层，并用基于 FFT 的边缘平滑融合以保持非目标内容。FOCUS [4] 在统一 LVLM 中联合优化分割掩码，并将其作为空间条件引导扩散解码器；RefEdit [5] 基于 RefCOCO 构建多实体场景的 RefEdit-Bench，并以约 2 万条合成三元组训练指代编辑模型。这些工作分别从数据、流水线与模型能力上改进“改哪里、怎么改”，但一般在单次前向或固定流水线内完成，不讨论初始结果产生后是否值得追加空间动作。R²-Bench [6] 显示指代感知模型在扰动下较为脆弱，提示编辑所依赖的掩码误差在实际中难以避免；该基准以感知/分割指标为终点，不直接度量编辑后果。</w:t>
      </w:r>
    </w:p>
    <w:p w14:paraId="4DE2A849">
      <w:pPr>
        <w:keepNext w:val="0"/>
        <w:widowControl/>
        <w:spacing w:before="0" w:after="0" w:line="360" w:lineRule="auto"/>
        <w:ind w:firstLine="480"/>
        <w:jc w:val="both"/>
      </w:pPr>
      <w:r>
        <w:rPr>
          <w:rFonts w:ascii="Times New Roman" w:hAnsi="Times New Roman" w:eastAsia="宋体" w:cs="Times New Roman"/>
          <w:b/>
          <w:sz w:val="24"/>
        </w:rPr>
        <w:t>掩码引导修复与掩码优化。</w:t>
      </w:r>
      <w:r>
        <w:rPr>
          <w:rFonts w:ascii="Times New Roman" w:hAnsi="Times New Roman" w:eastAsia="宋体" w:cs="Times New Roman"/>
          <w:sz w:val="24"/>
        </w:rPr>
        <w:t>SDXL-Inpainting [20] 与 FLUX.1 Fill [21] 把掩码作为修复条件，也是本文使用的两个冻结编辑器。Your Latent Mask is Wrong [7] 指出，潜扩散修复在降采样掩码下对 VAE latent 做线性插值混合，无法与像素空间等价，会造成接缝伪影与全局色偏；作者据此提出 7.7M 参数的 DecFormer，预测逐通道混合权重与残差，作为即插即用模块降低边缘误差。Inpainting-Driven Mask Optimization [8] 面向对象移除，将分割网络与修复网络端到端连接，并用 mask expansion loss 平衡大小掩码，使掩码面向修复效果优化；MAD-paint [9] 则在扩散采样过程中利用掩码信息提升修复一致性。这些工作在模块或单一任务层面改进“如何用好给定掩码”或“为特定任务学到更合适的掩码”，并不在具体样本上比较多种空间动作的收益与成本。据我们检索，它们也未以匹配 IoU 的误差方向（偏小/偏大/偏移/错目标）为受控变量测量下游编辑后果。[7] 揭示的边界混合机制，是本文分析收缩/扩张动作时需要控制的混杂因素。</w:t>
      </w:r>
    </w:p>
    <w:p w14:paraId="166CA407">
      <w:pPr>
        <w:keepNext w:val="0"/>
        <w:widowControl/>
        <w:spacing w:before="0" w:after="0" w:line="360" w:lineRule="auto"/>
        <w:ind w:firstLine="480"/>
        <w:jc w:val="both"/>
      </w:pPr>
      <w:r>
        <w:rPr>
          <w:rFonts w:ascii="Times New Roman" w:hAnsi="Times New Roman" w:eastAsia="宋体" w:cs="Times New Roman"/>
          <w:b/>
          <w:sz w:val="24"/>
        </w:rPr>
        <w:t>迭代编辑、候选选优与先预测后执行。</w:t>
      </w:r>
      <w:r>
        <w:rPr>
          <w:rFonts w:ascii="Times New Roman" w:hAnsi="Times New Roman" w:eastAsia="宋体" w:cs="Times New Roman"/>
          <w:sz w:val="24"/>
        </w:rPr>
        <w:t>UniEdit-I [10] 免训练地在统一 VLM 语义潜空间中执行“理解—编辑—验证”闭环：编辑阶段按反馈调节语义偏移强度，验证阶段由 VLM 评估中间结果并触发早停或细化，决策发生在编辑过程之中。ELECT [11] 在多随机种子候选中，以早期去噪步的背景不一致分数零样本挑选种子，平均节省约 41% 计算，并可借助 MLLM 扩展到种子与提示的联合选择；它比较的是同一控制条件下的不同种子，且每个候选仍需执行部分去噪。GenArtist [12] 以 MLLM 智能体将复杂生成/编辑分解为子问题，构建树式规划并逐步执行、验证与自纠正，可自动补充位置输入，侧重多步规划与工具调度。与本文最接近的是图像复原中的 PreActIR [22]：其 tool-conditioned world model 在执行前预测各候选工具的退化变化、质量/保真度变化、内容损伤及收益/伤害概率与不确定性，在真实调用预算下只执行排名最高者，由独立 verifier 提交或回滚，并以 candidate-frontier audit 区分选择器余量与工具空间上限；其受控比较中的主要收益是减少真实调用（−42.5%）与被拒调用（−63.4%），而 open-loop 的余量回收与直接打分器接近（34.6% vs 36.7%）。本文的动作价值预测（改善期望、破坏概率）借鉴其 benefit/harm/severity 多头建模思路，但预测对象是掩码空间动作，评价维度从客观复原指标改为需人工校准的编辑完成度与内容保持。因此，“执行前预测 + 预算选择”已有系统实现，本文不主张其新颖性，而是研究它在指代编辑中的一个具体实例：在已观察初始结果 y0、未执行任何追加掩码动作的条件下，预测作用于局部掩码的空间动作（含保持）带来的编辑改善、非目标破坏与成本，并在等成本口径下检验其是否优于固定动作与 best-of-k，包括 PreActIR 所提示的“质量收益可能有限”这一可能（逐项区别见表 1，等成本设定见 3.4 节）。</w:t>
      </w:r>
    </w:p>
    <w:p w14:paraId="286C97B9">
      <w:pPr>
        <w:keepNext w:val="0"/>
        <w:widowControl/>
        <w:spacing w:before="0" w:after="0" w:line="360" w:lineRule="auto"/>
        <w:ind w:firstLine="480"/>
        <w:jc w:val="both"/>
      </w:pPr>
      <w:r>
        <w:rPr>
          <w:rFonts w:ascii="Times New Roman" w:hAnsi="Times New Roman" w:eastAsia="宋体" w:cs="Times New Roman"/>
          <w:b/>
          <w:sz w:val="24"/>
        </w:rPr>
        <w:t>评价与选择性预测。</w:t>
      </w:r>
      <w:r>
        <w:rPr>
          <w:rFonts w:ascii="Times New Roman" w:hAnsi="Times New Roman" w:eastAsia="宋体" w:cs="Times New Roman"/>
          <w:sz w:val="24"/>
        </w:rPr>
        <w:t>VIEScore [13] 利用多模态大模型，对条件图像合成结果给出语义一致性、感知质量等维度的评分与解释；Rich Human Feedback [14] 收集文生图结果的不合理/错误区域热图与评分，训练模型预测此类反馈并用于改进生成。Edit-Compass [23] 面向图像编辑，提供覆盖六类任务的 2,388 个标注实例与细粒度多维评分细则，并以 EditReward-Compass 的 2,251 对偏好数据评测奖励模型。上述工作推动评价走向多维、可解释与奖励建模，但研究重点在指标与基准本身，而非评分者在特定任务上的一致性、校准与拒答。Selective Classification [15] 与 ConfidNet [16] 分别给出带弃权的风险—覆盖率权衡与失败预测框架，FrugalGPT [17] 则通过级联与路由在成本与质量之间取舍。本文在两处借用这些思想：决策器把“保持”与成本纳入动作选择；评价器在低置信样本上拒答并转交人工，同时报告校准误差、覆盖率与双盲评分一致性，以检验评价本身是否可信。</w:t>
      </w:r>
    </w:p>
    <w:p w14:paraId="2B98F7A0">
      <w:pPr>
        <w:keepNext/>
        <w:spacing w:before="160" w:after="80" w:line="288" w:lineRule="auto"/>
        <w:ind w:firstLine="0"/>
        <w:jc w:val="center"/>
      </w:pPr>
      <w:r>
        <w:rPr>
          <w:rFonts w:ascii="Times New Roman" w:hAnsi="Times New Roman" w:eastAsia="宋体" w:cs="Times New Roman"/>
          <w:b/>
          <w:sz w:val="20"/>
        </w:rPr>
        <w:t>表 1 相关工作与本项目定位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47"/>
        <w:gridCol w:w="1871"/>
        <w:gridCol w:w="3061"/>
        <w:gridCol w:w="2608"/>
      </w:tblGrid>
      <w:tr w14:paraId="3D21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47" w:type="dxa"/>
            <w:shd w:val="clear" w:color="auto" w:fill="DCE6F1"/>
            <w:vAlign w:val="center"/>
          </w:tcPr>
          <w:p w14:paraId="5DE48483">
            <w:pPr>
              <w:spacing w:before="0" w:after="0" w:line="252" w:lineRule="auto"/>
            </w:pPr>
            <w:r>
              <w:rPr>
                <w:b/>
                <w:sz w:val="17"/>
              </w:rPr>
              <w:t>路线</w:t>
            </w:r>
          </w:p>
        </w:tc>
        <w:tc>
          <w:tcPr>
            <w:tcW w:w="1871" w:type="dxa"/>
            <w:shd w:val="clear" w:color="auto" w:fill="DCE6F1"/>
            <w:vAlign w:val="center"/>
          </w:tcPr>
          <w:p w14:paraId="1B9DF3A2">
            <w:pPr>
              <w:spacing w:before="0" w:after="0" w:line="252" w:lineRule="auto"/>
            </w:pPr>
            <w:r>
              <w:rPr>
                <w:b/>
                <w:sz w:val="17"/>
              </w:rPr>
              <w:t>代表工作</w:t>
            </w:r>
          </w:p>
        </w:tc>
        <w:tc>
          <w:tcPr>
            <w:tcW w:w="3061" w:type="dxa"/>
            <w:shd w:val="clear" w:color="auto" w:fill="DCE6F1"/>
            <w:vAlign w:val="center"/>
          </w:tcPr>
          <w:p w14:paraId="605FEA9D">
            <w:pPr>
              <w:spacing w:before="0" w:after="0" w:line="252" w:lineRule="auto"/>
            </w:pPr>
            <w:r>
              <w:rPr>
                <w:b/>
                <w:sz w:val="17"/>
              </w:rPr>
              <w:t>主要做法</w:t>
            </w:r>
          </w:p>
        </w:tc>
        <w:tc>
          <w:tcPr>
            <w:tcW w:w="2608" w:type="dxa"/>
            <w:shd w:val="clear" w:color="auto" w:fill="DCE6F1"/>
            <w:vAlign w:val="center"/>
          </w:tcPr>
          <w:p w14:paraId="4A2B912C">
            <w:pPr>
              <w:spacing w:before="0" w:after="0" w:line="252" w:lineRule="auto"/>
            </w:pPr>
            <w:r>
              <w:rPr>
                <w:b/>
                <w:sz w:val="17"/>
              </w:rPr>
              <w:t>与本项目的区别</w:t>
            </w:r>
          </w:p>
        </w:tc>
      </w:tr>
      <w:tr w14:paraId="4BF30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0BF3F2F0">
            <w:pPr>
              <w:spacing w:before="0" w:after="0" w:line="252" w:lineRule="auto"/>
            </w:pPr>
            <w:r>
              <w:rPr>
                <w:sz w:val="17"/>
              </w:rPr>
              <w:t>指令/指代编辑：数据、局部编辑流水线与统一模型</w:t>
            </w:r>
          </w:p>
        </w:tc>
        <w:tc>
          <w:tcPr>
            <w:tcW w:w="1871" w:type="dxa"/>
            <w:vAlign w:val="center"/>
          </w:tcPr>
          <w:p w14:paraId="04A0E946">
            <w:pPr>
              <w:spacing w:before="0" w:after="0" w:line="252" w:lineRule="auto"/>
            </w:pPr>
            <w:r>
              <w:rPr>
                <w:sz w:val="17"/>
              </w:rPr>
              <w:t>InstructPix2Pix [1]、MagicBrush [2]、ZONE [3]、FOCUS [4]、RefEdit [5]</w:t>
            </w:r>
          </w:p>
        </w:tc>
        <w:tc>
          <w:tcPr>
            <w:tcW w:w="3061" w:type="dxa"/>
            <w:vAlign w:val="center"/>
          </w:tcPr>
          <w:p w14:paraId="7F60541E">
            <w:pPr>
              <w:spacing w:before="0" w:after="0" w:line="252" w:lineRule="auto"/>
            </w:pPr>
            <w:r>
              <w:rPr>
                <w:sz w:val="17"/>
              </w:rPr>
              <w:t>合成或人工标注编辑数据并训练条件扩散模型（[1][2]）；零样本“区域推断—分割图层选择—边缘融合”流水线（[3]）；统一 LVLM 联合优化掩码并作为空间条件（[4]）；指代编辑基准与模型（[5]）</w:t>
            </w:r>
          </w:p>
        </w:tc>
        <w:tc>
          <w:tcPr>
            <w:tcW w:w="2608" w:type="dxa"/>
            <w:vAlign w:val="center"/>
          </w:tcPr>
          <w:p w14:paraId="12C80A82">
            <w:pPr>
              <w:spacing w:before="0" w:after="0" w:line="252" w:lineRule="auto"/>
            </w:pPr>
            <w:r>
              <w:rPr>
                <w:sz w:val="17"/>
              </w:rPr>
              <w:t>不改进编辑器本身；在冻结编辑器、已有初始结果的条件下，把定位/掩码误差视为待诊断的状态，决定是否追加、追加何种空间动作</w:t>
            </w:r>
          </w:p>
        </w:tc>
      </w:tr>
      <w:tr w14:paraId="61D22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76DBE56F">
            <w:pPr>
              <w:spacing w:before="0" w:after="0" w:line="252" w:lineRule="auto"/>
            </w:pPr>
            <w:r>
              <w:rPr>
                <w:sz w:val="17"/>
              </w:rPr>
              <w:t>掩码引导修复/掩码优化</w:t>
            </w:r>
          </w:p>
        </w:tc>
        <w:tc>
          <w:tcPr>
            <w:tcW w:w="1871" w:type="dxa"/>
            <w:vAlign w:val="center"/>
          </w:tcPr>
          <w:p w14:paraId="37A086F2">
            <w:pPr>
              <w:spacing w:before="0" w:after="0" w:line="252" w:lineRule="auto"/>
            </w:pPr>
            <w:r>
              <w:rPr>
                <w:sz w:val="17"/>
              </w:rPr>
              <w:t>SDXL-Inpainting [20]、FLUX.1 Fill [21]、Your Latent Mask is Wrong [7]、Inpainting-Driven Mask Optimization [8]、MAD-paint [9]</w:t>
            </w:r>
          </w:p>
        </w:tc>
        <w:tc>
          <w:tcPr>
            <w:tcW w:w="3061" w:type="dxa"/>
            <w:vAlign w:val="center"/>
          </w:tcPr>
          <w:p w14:paraId="5B1E0677">
            <w:pPr>
              <w:spacing w:before="0" w:after="0" w:line="252" w:lineRule="auto"/>
            </w:pPr>
            <w:r>
              <w:rPr>
                <w:sz w:val="17"/>
              </w:rPr>
              <w:t>掩码作为修复条件；修正潜空间掩码混合（DecFormer）；面向对象移除端到端学习掩码；采样中利用掩码信息</w:t>
            </w:r>
          </w:p>
        </w:tc>
        <w:tc>
          <w:tcPr>
            <w:tcW w:w="2608" w:type="dxa"/>
            <w:vAlign w:val="center"/>
          </w:tcPr>
          <w:p w14:paraId="22C265A2">
            <w:pPr>
              <w:spacing w:before="0" w:after="0" w:line="252" w:lineRule="auto"/>
            </w:pPr>
            <w:r>
              <w:rPr>
                <w:sz w:val="17"/>
              </w:rPr>
              <w:t>不提出新的修复模块或掩码学习方法；把收缩/扩张/精修/重定位/重采样作为有成本的候选动作，在改色/材质与移除两类操作上逐样本比较净收益；用匹配 IoU 的受控扰动分离误差方向的影响</w:t>
            </w:r>
          </w:p>
        </w:tc>
      </w:tr>
      <w:tr w14:paraId="6BFEA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4AEE740A">
            <w:pPr>
              <w:spacing w:before="0" w:after="0" w:line="252" w:lineRule="auto"/>
            </w:pPr>
            <w:r>
              <w:rPr>
                <w:sz w:val="17"/>
              </w:rPr>
              <w:t>迭代编辑与候选选优</w:t>
            </w:r>
          </w:p>
        </w:tc>
        <w:tc>
          <w:tcPr>
            <w:tcW w:w="1871" w:type="dxa"/>
            <w:vAlign w:val="center"/>
          </w:tcPr>
          <w:p w14:paraId="0F73864C">
            <w:pPr>
              <w:spacing w:before="0" w:after="0" w:line="252" w:lineRule="auto"/>
            </w:pPr>
            <w:r>
              <w:rPr>
                <w:sz w:val="17"/>
              </w:rPr>
              <w:t>UniEdit-I [10]、ELECT [11]、GenArtist [12]</w:t>
            </w:r>
          </w:p>
        </w:tc>
        <w:tc>
          <w:tcPr>
            <w:tcW w:w="3061" w:type="dxa"/>
            <w:vAlign w:val="center"/>
          </w:tcPr>
          <w:p w14:paraId="7A6531AC">
            <w:pPr>
              <w:spacing w:before="0" w:after="0" w:line="252" w:lineRule="auto"/>
            </w:pPr>
            <w:r>
              <w:rPr>
                <w:sz w:val="17"/>
              </w:rPr>
              <w:t>编辑过程内的“理解—编辑—验证”闭环与早停/细化（免训练）；多种子早期背景一致性选种；MLLM 树式规划、逐步执行、验证与自纠正</w:t>
            </w:r>
          </w:p>
        </w:tc>
        <w:tc>
          <w:tcPr>
            <w:tcW w:w="2608" w:type="dxa"/>
            <w:vAlign w:val="center"/>
          </w:tcPr>
          <w:p w14:paraId="475532DB">
            <w:pPr>
              <w:spacing w:before="0" w:after="0" w:line="252" w:lineRule="auto"/>
            </w:pPr>
            <w:r>
              <w:rPr>
                <w:sz w:val="17"/>
              </w:rPr>
              <w:t>决策点在初始编辑之后、任何候选动作执行之前；比较的是不同空间动作，而非同一动作的不同种子；预测器从反事实动作表学习；生成、精修、重定位与判分计入同一成本口径，并与等成本 best-of-k 对照</w:t>
            </w:r>
          </w:p>
        </w:tc>
      </w:tr>
      <w:tr w14:paraId="4ECDC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26BE69A">
            <w:pPr>
              <w:spacing w:before="0" w:after="0" w:line="252" w:lineRule="auto"/>
            </w:pPr>
            <w:r>
              <w:rPr>
                <w:sz w:val="17"/>
              </w:rPr>
              <w:t>执行前预测与预算选择（近邻）</w:t>
            </w:r>
          </w:p>
        </w:tc>
        <w:tc>
          <w:tcPr>
            <w:tcW w:w="1871" w:type="dxa"/>
            <w:vAlign w:val="center"/>
          </w:tcPr>
          <w:p w14:paraId="6D876ECD">
            <w:pPr>
              <w:spacing w:before="0" w:after="0" w:line="252" w:lineRule="auto"/>
            </w:pPr>
            <w:r>
              <w:rPr>
                <w:sz w:val="17"/>
              </w:rPr>
              <w:t>Look Before You Restore（PreActIR）[22]</w:t>
            </w:r>
          </w:p>
        </w:tc>
        <w:tc>
          <w:tcPr>
            <w:tcW w:w="3061" w:type="dxa"/>
            <w:vAlign w:val="center"/>
          </w:tcPr>
          <w:p w14:paraId="3711AB09">
            <w:pPr>
              <w:spacing w:before="0" w:after="0" w:line="252" w:lineRule="auto"/>
            </w:pPr>
            <w:r>
              <w:rPr>
                <w:sz w:val="17"/>
              </w:rPr>
              <w:t>预测各复原工具执行后的退化/质量/保真度变化、内容损伤与收益/伤害概率，在真实调用预算内排序执行；verifier 提交/回滚；candidate-frontier audit</w:t>
            </w:r>
          </w:p>
        </w:tc>
        <w:tc>
          <w:tcPr>
            <w:tcW w:w="2608" w:type="dxa"/>
            <w:vAlign w:val="center"/>
          </w:tcPr>
          <w:p w14:paraId="10E0E39C">
            <w:pPr>
              <w:spacing w:before="0" w:after="0" w:line="252" w:lineRule="auto"/>
            </w:pPr>
            <w:r>
              <w:rPr>
                <w:sz w:val="17"/>
              </w:rPr>
              <w:t>共享“执行前预测 + 按成本选择”的思路；差异在于：①任务为指代编辑，无唯一参考答案，不能用 PSNR/SSIM 判优；②动作是局部掩码空间动作（含重定位错目标），效果取决于目标与背景的交互；③单步决策、等成本比较，不含多步调用与回滚；④评价联合判定编辑完成度、非目标保持与边界伪影，并经人工校准</w:t>
            </w:r>
          </w:p>
        </w:tc>
      </w:tr>
      <w:tr w14:paraId="2999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247" w:type="dxa"/>
            <w:vAlign w:val="center"/>
          </w:tcPr>
          <w:p w14:paraId="16D4DDFD">
            <w:pPr>
              <w:spacing w:before="0" w:after="0" w:line="252" w:lineRule="auto"/>
            </w:pPr>
            <w:r>
              <w:rPr>
                <w:sz w:val="17"/>
              </w:rPr>
              <w:t>评价与选择性预测</w:t>
            </w:r>
          </w:p>
        </w:tc>
        <w:tc>
          <w:tcPr>
            <w:tcW w:w="1871" w:type="dxa"/>
            <w:vAlign w:val="center"/>
          </w:tcPr>
          <w:p w14:paraId="34FD9DC6">
            <w:pPr>
              <w:spacing w:before="0" w:after="0" w:line="252" w:lineRule="auto"/>
            </w:pPr>
            <w:r>
              <w:rPr>
                <w:sz w:val="17"/>
              </w:rPr>
              <w:t>VIEScore [13]、Rich Human Feedback [14]、Edit-Compass [23]、Selective Classification [15]、ConfidNet [16]、FrugalGPT [17]</w:t>
            </w:r>
          </w:p>
        </w:tc>
        <w:tc>
          <w:tcPr>
            <w:tcW w:w="3061" w:type="dxa"/>
            <w:vAlign w:val="center"/>
          </w:tcPr>
          <w:p w14:paraId="4B0241CE">
            <w:pPr>
              <w:spacing w:before="0" w:after="0" w:line="252" w:lineRule="auto"/>
            </w:pPr>
            <w:r>
              <w:rPr>
                <w:sz w:val="17"/>
              </w:rPr>
              <w:t>MLLM 多维可解释评分（条件合成）；文生图区域级人类反馈预测；编辑多维评分细则与奖励模型评测；弃权、失败预测与成本级联</w:t>
            </w:r>
          </w:p>
        </w:tc>
        <w:tc>
          <w:tcPr>
            <w:tcW w:w="2608" w:type="dxa"/>
            <w:vAlign w:val="center"/>
          </w:tcPr>
          <w:p w14:paraId="24C9B13F">
            <w:pPr>
              <w:spacing w:before="0" w:after="0" w:line="252" w:lineRule="auto"/>
            </w:pPr>
            <w:r>
              <w:rPr>
                <w:sz w:val="17"/>
              </w:rPr>
              <w:t>不提出通用评价指标；把评价可信度作为独立子问题，在本任务上校准自动判分、允许拒答，并报告覆盖率与双盲一致性；选择性预测思想同时用于动作决策（保持与成本）</w:t>
            </w:r>
          </w:p>
        </w:tc>
      </w:tr>
    </w:tbl>
    <w:p w14:paraId="0F3D31CA">
      <w:pPr>
        <w:keepNext w:val="0"/>
        <w:spacing w:before="0" w:after="80" w:line="240" w:lineRule="auto"/>
        <w:ind w:firstLine="0"/>
        <w:jc w:val="both"/>
      </w:pPr>
    </w:p>
    <w:p w14:paraId="545A9B5C">
      <w:pPr>
        <w:keepNext/>
        <w:keepLines/>
        <w:spacing w:before="240" w:after="120" w:line="312" w:lineRule="auto"/>
        <w:ind w:firstLine="0"/>
        <w:jc w:val="both"/>
        <w:outlineLvl w:val="1"/>
      </w:pPr>
      <w:r>
        <w:rPr>
          <w:rFonts w:ascii="Times New Roman" w:hAnsi="Times New Roman" w:eastAsia="宋体" w:cs="Times New Roman"/>
          <w:b/>
          <w:sz w:val="28"/>
        </w:rPr>
        <w:t>1.4 研究内容与贡献</w:t>
      </w:r>
    </w:p>
    <w:p w14:paraId="799C3E8B">
      <w:pPr>
        <w:keepNext w:val="0"/>
        <w:widowControl/>
        <w:spacing w:before="0" w:after="0" w:line="360" w:lineRule="auto"/>
        <w:ind w:firstLine="480"/>
        <w:jc w:val="both"/>
      </w:pPr>
      <w:r>
        <w:rPr>
          <w:rFonts w:ascii="Times New Roman" w:hAnsi="Times New Roman" w:eastAsia="宋体" w:cs="Times New Roman"/>
          <w:b w:val="0"/>
          <w:sz w:val="24"/>
        </w:rPr>
        <w:t>本文的研究内容由三个互补子问题组成：</w:t>
      </w:r>
    </w:p>
    <w:p w14:paraId="4FE23596">
      <w:pPr>
        <w:keepNext w:val="0"/>
        <w:widowControl/>
        <w:spacing w:before="0" w:after="0" w:line="360" w:lineRule="auto"/>
        <w:ind w:left="460" w:hanging="460"/>
        <w:jc w:val="both"/>
      </w:pPr>
      <w:r>
        <w:rPr>
          <w:rFonts w:ascii="Times New Roman" w:hAnsi="Times New Roman" w:eastAsia="宋体" w:cs="Times New Roman"/>
          <w:b w:val="0"/>
          <w:sz w:val="24"/>
        </w:rPr>
        <w:t xml:space="preserve">1. </w:t>
      </w:r>
      <w:r>
        <w:rPr>
          <w:rFonts w:ascii="Times New Roman" w:hAnsi="Times New Roman" w:eastAsia="宋体" w:cs="Times New Roman"/>
          <w:b/>
          <w:sz w:val="24"/>
        </w:rPr>
        <w:t>控制与机制</w:t>
      </w:r>
      <w:r>
        <w:rPr>
          <w:rFonts w:ascii="Times New Roman" w:hAnsi="Times New Roman" w:eastAsia="宋体" w:cs="Times New Roman"/>
          <w:b w:val="0"/>
          <w:sz w:val="24"/>
        </w:rPr>
        <w:t>：核验编辑器、实现 6 个空间动作、构造匹配 IoU 的受控扰动，测量动作如何改变编辑器响应，是否存在超出种子噪声的动作差异与改进余量；</w:t>
      </w:r>
    </w:p>
    <w:p w14:paraId="334FC953">
      <w:pPr>
        <w:keepNext w:val="0"/>
        <w:widowControl/>
        <w:spacing w:before="0" w:after="0" w:line="360" w:lineRule="auto"/>
        <w:ind w:left="460" w:hanging="460"/>
        <w:jc w:val="both"/>
      </w:pPr>
      <w:r>
        <w:rPr>
          <w:rFonts w:ascii="Times New Roman" w:hAnsi="Times New Roman" w:eastAsia="宋体" w:cs="Times New Roman"/>
          <w:b w:val="0"/>
          <w:sz w:val="24"/>
        </w:rPr>
        <w:t>2. 预测与决策：从反事实动作表学习“改善期望/破坏概率/成本（借鉴 PreActIR 的 benefit/harm/severity 多头思路，但对象是空间动作）”，在等成本口径下选择动作，并与固定动作、规则、掩码精修、等成本 best-of-k 及 oracle 上界比较；</w:t>
      </w:r>
    </w:p>
    <w:p w14:paraId="4EE22425">
      <w:pPr>
        <w:keepNext w:val="0"/>
        <w:widowControl/>
        <w:spacing w:before="0" w:after="0" w:line="360" w:lineRule="auto"/>
        <w:ind w:left="460" w:hanging="460"/>
        <w:jc w:val="both"/>
      </w:pPr>
      <w:r>
        <w:rPr>
          <w:rFonts w:ascii="Times New Roman" w:hAnsi="Times New Roman" w:eastAsia="宋体" w:cs="Times New Roman"/>
          <w:b w:val="0"/>
          <w:sz w:val="24"/>
        </w:rPr>
        <w:t xml:space="preserve">3. </w:t>
      </w:r>
      <w:r>
        <w:rPr>
          <w:rFonts w:ascii="Times New Roman" w:hAnsi="Times New Roman" w:eastAsia="宋体" w:cs="Times New Roman"/>
          <w:b/>
          <w:sz w:val="24"/>
        </w:rPr>
        <w:t>可信评价与统计</w:t>
      </w:r>
      <w:r>
        <w:rPr>
          <w:rFonts w:ascii="Times New Roman" w:hAnsi="Times New Roman" w:eastAsia="宋体" w:cs="Times New Roman"/>
          <w:b w:val="0"/>
          <w:sz w:val="24"/>
        </w:rPr>
        <w:t>：定义可复核的评分细则，校准自动判分，组织组外双盲评分，报告一致性、拒答率、覆盖率与统计区间。</w:t>
      </w:r>
    </w:p>
    <w:p w14:paraId="5DD0F453">
      <w:pPr>
        <w:keepNext w:val="0"/>
        <w:widowControl/>
        <w:spacing w:before="0" w:after="0" w:line="360" w:lineRule="auto"/>
        <w:ind w:firstLine="480"/>
        <w:jc w:val="both"/>
      </w:pPr>
      <w:r>
        <w:rPr>
          <w:rFonts w:ascii="Times New Roman" w:hAnsi="Times New Roman" w:eastAsia="宋体" w:cs="Times New Roman"/>
          <w:b w:val="0"/>
          <w:sz w:val="24"/>
        </w:rPr>
        <w:t>预期贡献包括：一套可复用的空间动作与反事实动作表协议，用于指代式图像编辑中的掩码误差诊断；将“执行前预测动作价值、再在等成本口径下选择”的决策框架应用到指代编辑的空间控制问题，并建立包含固定动作、规则、掩码精修、等成本候选选优与 oracle 上界的对照体系；一套面向编辑失败的可信评价流程，含校准、拒答与双盲评分；以及对“在何种数据、编辑器与成本条件下，空间动作选择是否值得做、在什么条件下不值得”的实证回答（无论正负）。需要明确的是，“先预测后执行”并非本文首创：图像复原中的 PreActIR [22] 已系统实现预执行后果预测、等成本选择与候选空间审计；本文不主张该一般思想的新颖性，而是把它落到指代编辑的局部空间掩码动作上。上述差异与结论的外部效度限定在 RefCOCO 图像、两类操作与两个冻结编辑器范围内；本文不含执行后 verifier/回滚，a0 是执行前决定，执行后回退留作扩展。</w:t>
      </w:r>
    </w:p>
    <w:p w14:paraId="0E9BCDCB">
      <w:pPr>
        <w:keepNext/>
        <w:keepLines/>
        <w:spacing w:before="360" w:after="160" w:line="312" w:lineRule="auto"/>
        <w:ind w:firstLine="0"/>
        <w:jc w:val="left"/>
        <w:outlineLvl w:val="0"/>
      </w:pPr>
      <w:r>
        <w:rPr>
          <w:rFonts w:ascii="Times New Roman" w:hAnsi="Times New Roman" w:eastAsia="宋体" w:cs="Times New Roman"/>
          <w:b/>
          <w:sz w:val="32"/>
        </w:rPr>
        <w:t>2 问题定义与假设</w:t>
      </w:r>
    </w:p>
    <w:p w14:paraId="40E583D4">
      <w:pPr>
        <w:keepNext/>
        <w:keepLines/>
        <w:spacing w:before="240" w:after="120" w:line="312" w:lineRule="auto"/>
        <w:ind w:firstLine="0"/>
        <w:jc w:val="both"/>
        <w:outlineLvl w:val="1"/>
      </w:pPr>
      <w:r>
        <w:rPr>
          <w:rFonts w:ascii="Times New Roman" w:hAnsi="Times New Roman" w:eastAsia="宋体" w:cs="Times New Roman"/>
          <w:b/>
          <w:sz w:val="28"/>
        </w:rPr>
        <w:t>2.1 任务与符号</w:t>
      </w:r>
    </w:p>
    <w:p w14:paraId="07D45770">
      <w:pPr>
        <w:keepNext w:val="0"/>
        <w:widowControl/>
        <w:spacing w:before="0" w:after="0" w:line="360" w:lineRule="auto"/>
        <w:ind w:firstLine="480"/>
        <w:jc w:val="both"/>
      </w:pPr>
      <w:r>
        <w:rPr>
          <w:rFonts w:ascii="Times New Roman" w:hAnsi="Times New Roman" w:eastAsia="宋体" w:cs="Times New Roman"/>
          <w:b w:val="0"/>
          <w:sz w:val="24"/>
        </w:rPr>
        <w:t>记图像为 I，指代编辑指令为 ℓ＝(ref, op)，ref 为指代表达式，op 为编辑操作（本文先研究改色/材质替换与对象移除两类）。系统先由指代分割得到候选掩码 M，再由编辑器生成初始结果 y0＝E(I, M, ℓ; z0)。</w:t>
      </w:r>
    </w:p>
    <w:p w14:paraId="621F3A6D">
      <w:pPr>
        <w:keepNext w:val="0"/>
        <w:widowControl/>
        <w:spacing w:before="0" w:after="0" w:line="360" w:lineRule="auto"/>
        <w:ind w:firstLine="480"/>
        <w:jc w:val="both"/>
      </w:pPr>
      <w:r>
        <w:rPr>
          <w:rFonts w:ascii="Times New Roman" w:hAnsi="Times New Roman" w:eastAsia="宋体" w:cs="Times New Roman"/>
          <w:b w:val="0"/>
          <w:sz w:val="24"/>
        </w:rPr>
        <w:t>在初始结果之后，决策器可观察到执行前状态 x＝(I, ℓ, M, y0, 编辑器标识 e)，但不能观察任何候选动作的执行结果，也不能读取参照掩码。动作空间 A＝{a0,…,a5}：</w:t>
      </w:r>
    </w:p>
    <w:p w14:paraId="67A1F00C">
      <w:pPr>
        <w:keepNext w:val="0"/>
        <w:widowControl/>
        <w:spacing w:before="0" w:after="0" w:line="360" w:lineRule="auto"/>
        <w:ind w:left="440" w:hanging="240"/>
        <w:jc w:val="both"/>
      </w:pPr>
      <w:r>
        <w:rPr>
          <w:rFonts w:ascii="Times New Roman" w:hAnsi="Times New Roman" w:eastAsia="宋体" w:cs="Times New Roman"/>
          <w:b w:val="0"/>
          <w:sz w:val="24"/>
        </w:rPr>
        <w:t>• a0 保持：保留 y0，不发起额外编辑；</w:t>
      </w:r>
    </w:p>
    <w:p w14:paraId="0E713E5A">
      <w:pPr>
        <w:keepNext w:val="0"/>
        <w:widowControl/>
        <w:spacing w:before="0" w:after="0" w:line="360" w:lineRule="auto"/>
        <w:ind w:left="440" w:hanging="240"/>
        <w:jc w:val="both"/>
      </w:pPr>
      <w:r>
        <w:rPr>
          <w:rFonts w:ascii="Times New Roman" w:hAnsi="Times New Roman" w:eastAsia="宋体" w:cs="Times New Roman"/>
          <w:b w:val="0"/>
          <w:sz w:val="24"/>
        </w:rPr>
        <w:t>• a1 收缩：按冻结规则收缩当前掩码后重新编辑；</w:t>
      </w:r>
    </w:p>
    <w:p w14:paraId="5A8D5FA1">
      <w:pPr>
        <w:keepNext w:val="0"/>
        <w:widowControl/>
        <w:spacing w:before="0" w:after="0" w:line="360" w:lineRule="auto"/>
        <w:ind w:left="440" w:hanging="240"/>
        <w:jc w:val="both"/>
      </w:pPr>
      <w:r>
        <w:rPr>
          <w:rFonts w:ascii="Times New Roman" w:hAnsi="Times New Roman" w:eastAsia="宋体" w:cs="Times New Roman"/>
          <w:b w:val="0"/>
          <w:sz w:val="24"/>
        </w:rPr>
        <w:t>• a2 扩张：扩大掩码以覆盖目标或必要上下文；</w:t>
      </w:r>
    </w:p>
    <w:p w14:paraId="54FDA805">
      <w:pPr>
        <w:keepNext w:val="0"/>
        <w:widowControl/>
        <w:spacing w:before="0" w:after="0" w:line="360" w:lineRule="auto"/>
        <w:ind w:left="440" w:hanging="240"/>
        <w:jc w:val="both"/>
      </w:pPr>
      <w:r>
        <w:rPr>
          <w:rFonts w:ascii="Times New Roman" w:hAnsi="Times New Roman" w:eastAsia="宋体" w:cs="Times New Roman"/>
          <w:b w:val="0"/>
          <w:sz w:val="24"/>
        </w:rPr>
        <w:t>• a3 精修：调用掩码精修模块后重新编辑；</w:t>
      </w:r>
    </w:p>
    <w:p w14:paraId="5770506D">
      <w:pPr>
        <w:keepNext w:val="0"/>
        <w:widowControl/>
        <w:spacing w:before="0" w:after="0" w:line="360" w:lineRule="auto"/>
        <w:ind w:left="440" w:hanging="240"/>
        <w:jc w:val="both"/>
      </w:pPr>
      <w:r>
        <w:rPr>
          <w:rFonts w:ascii="Times New Roman" w:hAnsi="Times New Roman" w:eastAsia="宋体" w:cs="Times New Roman"/>
          <w:b w:val="0"/>
          <w:sz w:val="24"/>
        </w:rPr>
        <w:t>• a4 重定位：重新解析指代表达式，产生另一目标掩码；</w:t>
      </w:r>
    </w:p>
    <w:p w14:paraId="7BA0A748">
      <w:pPr>
        <w:keepNext w:val="0"/>
        <w:widowControl/>
        <w:spacing w:before="0" w:after="0" w:line="360" w:lineRule="auto"/>
        <w:ind w:left="440" w:hanging="240"/>
        <w:jc w:val="both"/>
      </w:pPr>
      <w:r>
        <w:rPr>
          <w:rFonts w:ascii="Times New Roman" w:hAnsi="Times New Roman" w:eastAsia="宋体" w:cs="Times New Roman"/>
          <w:b w:val="0"/>
          <w:sz w:val="24"/>
        </w:rPr>
        <w:t>• a5 重采样：保留控制条件，换随机种子重新生成。</w:t>
      </w:r>
    </w:p>
    <w:p w14:paraId="7D84C3F8">
      <w:pPr>
        <w:keepNext w:val="0"/>
        <w:widowControl/>
        <w:spacing w:before="0" w:after="0" w:line="360" w:lineRule="auto"/>
        <w:ind w:firstLine="480"/>
        <w:jc w:val="both"/>
      </w:pPr>
      <w:r>
        <w:rPr>
          <w:rFonts w:ascii="Times New Roman" w:hAnsi="Times New Roman" w:eastAsia="宋体" w:cs="Times New Roman"/>
          <w:b w:val="0"/>
          <w:sz w:val="24"/>
        </w:rPr>
        <w:t>每个动作有成本 c(a)（编辑调用、精修/重定位/分割推理、判分调用，统一折算为 GPU 秒与费用）。定义编辑完成度 S、非目标内容损伤 D、边界伪影 P；综合效用 U＝S−αD−βP，其中 α、β 在开发集固定。成本约束：Γ 为每任务平均成本上限（在评估集上取平均，不是逐任务硬上限）。Γ 以“1 次编辑调用 = 1 单位”外部给定，不由任何参与比较的方法反推：初始编辑耗 1 单位，允许平均每任务再使用 1.5 单位（含精修/重定位/判分的折算成本），平均成本上限 Γ=2.5 单位。动作成本为“模块开销＋1 次编辑”：a0 计 0，a1、a2、a5 计 1，a3 计 1.3，a4 计 1.2，每次判分另计 0.1。据此，固定单动作基线每任务耗 2.0–2.3 单位，等成本 best-of-k 在 Γ=2.5 下为 k=2（y0＋1 个新候选＋2 次判分＝2.2）。为避免单一成本设定结构性地压制 best-of-k，另报 Γ∈{2.5, 3.6, 4.7}（对应 k=2/3/4）的质量—成本曲线，主检验仍只在 Γ=2.5 进行。上述成本系数为方案值，启动实验后按实测相对耗时修订。本文策略为单步决策，单任务成本不超过 2.3 单位，未达 Γ 上限；Γ=2.5 用于与 best-of-k 等基线在相同平均成本下比较。选择 a0 可降低平均成本，主检验采用逐样本等成本比较、不在样本间转移成本余量，并单独报告“同等成功率下的成本节省率”；允许转移的总体等成本比较留作扩展（多步扩展不在本文范围内）。</w:t>
      </w:r>
    </w:p>
    <w:p w14:paraId="6658241F">
      <w:pPr>
        <w:keepNext w:val="0"/>
        <w:widowControl/>
        <w:spacing w:before="0" w:after="0" w:line="360" w:lineRule="auto"/>
        <w:ind w:firstLine="480"/>
        <w:jc w:val="both"/>
      </w:pPr>
      <w:r>
        <w:rPr>
          <w:rFonts w:ascii="Times New Roman" w:hAnsi="Times New Roman" w:eastAsia="宋体" w:cs="Times New Roman"/>
          <w:b w:val="0"/>
          <w:sz w:val="24"/>
        </w:rPr>
        <w:t>定义动作级 oracle 为：已知 a0（保持 y0 的效用）以及 a1 至 a5 各自的执行结果后，选择综合效用 U 最高的动作；种子 oracle 为：固定动作类型，仅在种子间选优。参照掩码（ground truth）只用于机制诊断与受控扰动构造，不作为可部署动作纳入 oracle 比较。oracle 仅作诊断上界，不能当作实际可部署方法。动作级 oracle 与种子 oracle 的分解借鉴 PreActIR [22] 的 candidate-frontier audit 思路：前者区分“选择器余量”与“候选空间上限”，后者控制同一动作内的种子波动；本文的候选空间是 6 个固定空间动作，且不包含多步调用与执行后回滚。</w:t>
      </w:r>
    </w:p>
    <w:p w14:paraId="342CF992">
      <w:pPr>
        <w:keepNext w:val="0"/>
        <w:widowControl/>
        <w:spacing w:before="0" w:after="0" w:line="360" w:lineRule="auto"/>
        <w:ind w:firstLine="480"/>
        <w:jc w:val="both"/>
      </w:pPr>
      <w:r>
        <w:rPr>
          <w:rFonts w:ascii="Times New Roman" w:hAnsi="Times New Roman" w:eastAsia="宋体" w:cs="Times New Roman"/>
          <w:b w:val="0"/>
          <w:sz w:val="24"/>
        </w:rPr>
        <w:t>本文使用两个编辑器：E_A（SDXL-Inpainting）与 E_B（FLUX.1 Fill dev）。</w:t>
      </w:r>
    </w:p>
    <w:p w14:paraId="79F6D5C8">
      <w:pPr>
        <w:keepNext/>
        <w:keepLines/>
        <w:spacing w:before="240" w:after="120" w:line="312" w:lineRule="auto"/>
        <w:ind w:firstLine="0"/>
        <w:jc w:val="both"/>
        <w:outlineLvl w:val="1"/>
      </w:pPr>
      <w:r>
        <w:rPr>
          <w:rFonts w:ascii="Times New Roman" w:hAnsi="Times New Roman" w:eastAsia="宋体" w:cs="Times New Roman"/>
          <w:b/>
          <w:sz w:val="28"/>
        </w:rPr>
        <w:t>2.2 研究问题与假设</w:t>
      </w:r>
    </w:p>
    <w:p w14:paraId="3B2BDE25">
      <w:pPr>
        <w:keepNext/>
        <w:spacing w:before="160" w:after="80" w:line="288" w:lineRule="auto"/>
        <w:ind w:firstLine="0"/>
        <w:jc w:val="center"/>
      </w:pPr>
      <w:r>
        <w:rPr>
          <w:rFonts w:ascii="Times New Roman" w:hAnsi="Times New Roman" w:eastAsia="宋体" w:cs="Times New Roman"/>
          <w:b/>
          <w:sz w:val="20"/>
        </w:rPr>
        <w:t>表 2 研究问题、假设与判据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1701"/>
        <w:gridCol w:w="1587"/>
        <w:gridCol w:w="3005"/>
        <w:gridCol w:w="1814"/>
      </w:tblGrid>
      <w:tr w14:paraId="5015B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680" w:type="dxa"/>
            <w:shd w:val="clear" w:color="auto" w:fill="DCE6F1"/>
            <w:vAlign w:val="center"/>
          </w:tcPr>
          <w:p w14:paraId="3EB4A81D">
            <w:pPr>
              <w:keepNext w:val="0"/>
              <w:spacing w:before="0" w:after="0" w:line="252" w:lineRule="auto"/>
              <w:ind w:firstLine="0"/>
              <w:jc w:val="center"/>
            </w:pPr>
            <w:r>
              <w:rPr>
                <w:rFonts w:ascii="Times New Roman" w:hAnsi="Times New Roman" w:eastAsia="宋体" w:cs="Times New Roman"/>
                <w:b/>
                <w:sz w:val="18"/>
              </w:rPr>
              <w:t>编号</w:t>
            </w:r>
          </w:p>
        </w:tc>
        <w:tc>
          <w:tcPr>
            <w:tcW w:w="1701" w:type="dxa"/>
            <w:shd w:val="clear" w:color="auto" w:fill="DCE6F1"/>
            <w:vAlign w:val="center"/>
          </w:tcPr>
          <w:p w14:paraId="6A99C4FD">
            <w:pPr>
              <w:keepNext w:val="0"/>
              <w:spacing w:before="0" w:after="0" w:line="252" w:lineRule="auto"/>
              <w:ind w:firstLine="0"/>
              <w:jc w:val="center"/>
            </w:pPr>
            <w:r>
              <w:rPr>
                <w:rFonts w:ascii="Times New Roman" w:hAnsi="Times New Roman" w:eastAsia="宋体" w:cs="Times New Roman"/>
                <w:b/>
                <w:sz w:val="18"/>
              </w:rPr>
              <w:t>研究问题/假设</w:t>
            </w:r>
          </w:p>
        </w:tc>
        <w:tc>
          <w:tcPr>
            <w:tcW w:w="1587" w:type="dxa"/>
            <w:shd w:val="clear" w:color="auto" w:fill="DCE6F1"/>
            <w:vAlign w:val="center"/>
          </w:tcPr>
          <w:p w14:paraId="0A80A0F7">
            <w:pPr>
              <w:keepNext w:val="0"/>
              <w:spacing w:before="0" w:after="0" w:line="252" w:lineRule="auto"/>
              <w:ind w:firstLine="0"/>
              <w:jc w:val="center"/>
            </w:pPr>
            <w:r>
              <w:rPr>
                <w:rFonts w:ascii="Times New Roman" w:hAnsi="Times New Roman" w:eastAsia="宋体" w:cs="Times New Roman"/>
                <w:b/>
                <w:sz w:val="18"/>
              </w:rPr>
              <w:t>检验方法</w:t>
            </w:r>
          </w:p>
        </w:tc>
        <w:tc>
          <w:tcPr>
            <w:tcW w:w="3005" w:type="dxa"/>
            <w:shd w:val="clear" w:color="auto" w:fill="DCE6F1"/>
            <w:vAlign w:val="center"/>
          </w:tcPr>
          <w:p w14:paraId="373E50CF">
            <w:pPr>
              <w:keepNext w:val="0"/>
              <w:spacing w:before="0" w:after="0" w:line="252" w:lineRule="auto"/>
              <w:ind w:firstLine="0"/>
              <w:jc w:val="center"/>
            </w:pPr>
            <w:r>
              <w:rPr>
                <w:rFonts w:ascii="Times New Roman" w:hAnsi="Times New Roman" w:eastAsia="宋体" w:cs="Times New Roman"/>
                <w:b/>
                <w:sz w:val="18"/>
              </w:rPr>
              <w:t>成立判据</w:t>
            </w:r>
          </w:p>
        </w:tc>
        <w:tc>
          <w:tcPr>
            <w:tcW w:w="1814" w:type="dxa"/>
            <w:shd w:val="clear" w:color="auto" w:fill="DCE6F1"/>
            <w:vAlign w:val="center"/>
          </w:tcPr>
          <w:p w14:paraId="31733FC9">
            <w:pPr>
              <w:keepNext w:val="0"/>
              <w:spacing w:before="0" w:after="0" w:line="252" w:lineRule="auto"/>
              <w:ind w:firstLine="0"/>
              <w:jc w:val="center"/>
            </w:pPr>
            <w:r>
              <w:rPr>
                <w:rFonts w:ascii="Times New Roman" w:hAnsi="Times New Roman" w:eastAsia="宋体" w:cs="Times New Roman"/>
                <w:b/>
                <w:sz w:val="18"/>
              </w:rPr>
              <w:t>不成立时的结论</w:t>
            </w:r>
          </w:p>
        </w:tc>
      </w:tr>
      <w:tr w14:paraId="6E74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528E8242">
            <w:pPr>
              <w:keepNext w:val="0"/>
              <w:spacing w:before="0" w:after="0" w:line="252" w:lineRule="auto"/>
              <w:ind w:firstLine="0"/>
              <w:jc w:val="center"/>
            </w:pPr>
            <w:r>
              <w:rPr>
                <w:rFonts w:ascii="Times New Roman" w:hAnsi="Times New Roman" w:eastAsia="宋体" w:cs="Times New Roman"/>
                <w:b w:val="0"/>
                <w:sz w:val="18"/>
              </w:rPr>
              <w:t>RQ1</w:t>
            </w:r>
          </w:p>
        </w:tc>
        <w:tc>
          <w:tcPr>
            <w:tcW w:w="1701" w:type="dxa"/>
            <w:vAlign w:val="center"/>
          </w:tcPr>
          <w:p w14:paraId="238402BB">
            <w:pPr>
              <w:keepNext w:val="0"/>
              <w:spacing w:before="0" w:after="0" w:line="252" w:lineRule="auto"/>
              <w:ind w:firstLine="0"/>
              <w:jc w:val="left"/>
            </w:pPr>
            <w:r>
              <w:rPr>
                <w:rFonts w:ascii="Times New Roman" w:hAnsi="Times New Roman" w:eastAsia="宋体" w:cs="Times New Roman"/>
                <w:b w:val="0"/>
                <w:sz w:val="18"/>
              </w:rPr>
              <w:t>六类空间动作如何改变编辑器响应？是否存在超出种子噪声的动作差异与改进余量？</w:t>
            </w:r>
          </w:p>
        </w:tc>
        <w:tc>
          <w:tcPr>
            <w:tcW w:w="1587" w:type="dxa"/>
            <w:vAlign w:val="center"/>
          </w:tcPr>
          <w:p w14:paraId="199FE4EE">
            <w:pPr>
              <w:keepNext w:val="0"/>
              <w:spacing w:before="0" w:after="0" w:line="252" w:lineRule="auto"/>
              <w:ind w:firstLine="0"/>
              <w:jc w:val="left"/>
            </w:pPr>
            <w:r>
              <w:rPr>
                <w:rFonts w:ascii="Times New Roman" w:hAnsi="Times New Roman" w:eastAsia="宋体" w:cs="Times New Roman"/>
                <w:b w:val="0"/>
                <w:sz w:val="18"/>
              </w:rPr>
              <w:t>匹配 IoU 的受控扰动；每任务全动作×3 种子（种子跨动作配对）；第二编辑器复验</w:t>
            </w:r>
          </w:p>
        </w:tc>
        <w:tc>
          <w:tcPr>
            <w:tcW w:w="3005" w:type="dxa"/>
            <w:vAlign w:val="center"/>
          </w:tcPr>
          <w:p w14:paraId="3FC44879">
            <w:pPr>
              <w:keepNext w:val="0"/>
              <w:spacing w:before="0" w:after="0" w:line="252" w:lineRule="auto"/>
              <w:ind w:firstLine="0"/>
              <w:jc w:val="left"/>
            </w:pPr>
            <w:r>
              <w:rPr>
                <w:rFonts w:ascii="Times New Roman" w:hAnsi="Times New Roman" w:eastAsia="宋体" w:cs="Times New Roman"/>
                <w:b w:val="0"/>
                <w:sz w:val="18"/>
              </w:rPr>
              <w:t>零假设：任一空间动作（a1–a4）相对 a0 的平均改善（先对 3 个种子取平均）与 a5（保持控制条件、仅换 3 个种子）无差异；a5 本身即种子噪声参照，不参与该检验。判据：预注册 8 个分组（2 操作×4 类匹配 IoU 误差：欠分割/过分割/位移/边界抖动；错目标无法匹配 IoU，单独报告）中至少 2 组有至少 1 个空间动作通过配对 Wilcoxon（Holm 校正，族内 α=0.05）显著优于 a5；动作级 oracle 相对最强固定动作差距≥5 个百分点，且大于“同等编辑次数纯重采样 oracle”的增益；参照掩码不计入 oracle</w:t>
            </w:r>
          </w:p>
        </w:tc>
        <w:tc>
          <w:tcPr>
            <w:tcW w:w="1814" w:type="dxa"/>
            <w:vAlign w:val="center"/>
          </w:tcPr>
          <w:p w14:paraId="1C6A9D5D">
            <w:pPr>
              <w:keepNext w:val="0"/>
              <w:spacing w:before="0" w:after="0" w:line="252" w:lineRule="auto"/>
              <w:ind w:firstLine="0"/>
              <w:jc w:val="left"/>
            </w:pPr>
            <w:r>
              <w:rPr>
                <w:rFonts w:ascii="Times New Roman" w:hAnsi="Times New Roman" w:eastAsia="宋体" w:cs="Times New Roman"/>
                <w:b w:val="0"/>
                <w:sz w:val="18"/>
              </w:rPr>
              <w:t>报告“动作差异不足/固定动作接近上界”，转向机制边界或诊断报告</w:t>
            </w:r>
          </w:p>
        </w:tc>
      </w:tr>
      <w:tr w14:paraId="3B844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47537713">
            <w:pPr>
              <w:keepNext w:val="0"/>
              <w:spacing w:before="0" w:after="0" w:line="252" w:lineRule="auto"/>
              <w:ind w:firstLine="0"/>
              <w:jc w:val="center"/>
            </w:pPr>
            <w:r>
              <w:rPr>
                <w:rFonts w:ascii="Times New Roman" w:hAnsi="Times New Roman" w:eastAsia="宋体" w:cs="Times New Roman"/>
                <w:b w:val="0"/>
                <w:sz w:val="18"/>
              </w:rPr>
              <w:t>RQ2</w:t>
            </w:r>
          </w:p>
        </w:tc>
        <w:tc>
          <w:tcPr>
            <w:tcW w:w="1701" w:type="dxa"/>
            <w:vAlign w:val="center"/>
          </w:tcPr>
          <w:p w14:paraId="64104CBA">
            <w:pPr>
              <w:keepNext w:val="0"/>
              <w:spacing w:before="0" w:after="0" w:line="252" w:lineRule="auto"/>
              <w:ind w:firstLine="0"/>
              <w:jc w:val="left"/>
            </w:pPr>
            <w:r>
              <w:rPr>
                <w:rFonts w:ascii="Times New Roman" w:hAnsi="Times New Roman" w:eastAsia="宋体" w:cs="Times New Roman"/>
                <w:b w:val="0"/>
                <w:sz w:val="18"/>
              </w:rPr>
              <w:t>仅用执行前信息，能否预测各动作的改善、破坏与成本，并在等预算下优于固定动作、规则与 best-of-k？</w:t>
            </w:r>
          </w:p>
        </w:tc>
        <w:tc>
          <w:tcPr>
            <w:tcW w:w="1587" w:type="dxa"/>
            <w:vAlign w:val="center"/>
          </w:tcPr>
          <w:p w14:paraId="67E968B3">
            <w:pPr>
              <w:keepNext w:val="0"/>
              <w:spacing w:before="0" w:after="0" w:line="252" w:lineRule="auto"/>
              <w:ind w:firstLine="0"/>
              <w:jc w:val="left"/>
            </w:pPr>
            <w:r>
              <w:rPr>
                <w:rFonts w:ascii="Times New Roman" w:hAnsi="Times New Roman" w:eastAsia="宋体" w:cs="Times New Roman"/>
                <w:b w:val="0"/>
                <w:sz w:val="18"/>
              </w:rPr>
              <w:t>反事实动作表训练轻量预测器；等预算对照；按图像交叉拟合</w:t>
            </w:r>
          </w:p>
        </w:tc>
        <w:tc>
          <w:tcPr>
            <w:tcW w:w="3005" w:type="dxa"/>
            <w:vAlign w:val="center"/>
          </w:tcPr>
          <w:p w14:paraId="607C19B3">
            <w:pPr>
              <w:keepNext w:val="0"/>
              <w:spacing w:before="0" w:after="0" w:line="252" w:lineRule="auto"/>
              <w:ind w:firstLine="0"/>
              <w:jc w:val="left"/>
            </w:pPr>
            <w:r>
              <w:rPr>
                <w:rFonts w:ascii="Times New Roman" w:hAnsi="Times New Roman" w:eastAsia="宋体" w:cs="Times New Roman"/>
                <w:b w:val="0"/>
                <w:sz w:val="18"/>
              </w:rPr>
              <w:t>对每个非零动作，预测“改善”的 AUROC≥0.75，且比仅用执行前严重度代理（分割置信度、面积比）的基线高≥0.05；主检验为单次配对比较：在相同 Γ 下，策略综合成功率相对 max(最强固定动作, best-of-k) 提升≥5 个百分点，图像聚类 bootstrap 95% CI 下界&gt;0。“唯一”指只做此单次主比较以避免多重比较；消融（特征/动作/编辑器）与分层分析作为次要分析，报告时做 Holm 校正但不作为主结论支撑</w:t>
            </w:r>
          </w:p>
        </w:tc>
        <w:tc>
          <w:tcPr>
            <w:tcW w:w="1814" w:type="dxa"/>
            <w:vAlign w:val="center"/>
          </w:tcPr>
          <w:p w14:paraId="64BBAF93">
            <w:pPr>
              <w:keepNext w:val="0"/>
              <w:spacing w:before="0" w:after="0" w:line="252" w:lineRule="auto"/>
              <w:ind w:firstLine="0"/>
              <w:jc w:val="left"/>
            </w:pPr>
            <w:r>
              <w:rPr>
                <w:rFonts w:ascii="Times New Roman" w:hAnsi="Times New Roman" w:eastAsia="宋体" w:cs="Times New Roman"/>
                <w:b w:val="0"/>
                <w:sz w:val="18"/>
              </w:rPr>
              <w:t>报告“预测无增益/收益被随机性淹没”，保留动作表与评价协议作为成果</w:t>
            </w:r>
          </w:p>
        </w:tc>
      </w:tr>
      <w:tr w14:paraId="5763E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vAlign w:val="center"/>
          </w:tcPr>
          <w:p w14:paraId="60585CCA">
            <w:pPr>
              <w:keepNext w:val="0"/>
              <w:spacing w:before="0" w:after="0" w:line="252" w:lineRule="auto"/>
              <w:ind w:firstLine="0"/>
              <w:jc w:val="center"/>
            </w:pPr>
            <w:r>
              <w:rPr>
                <w:rFonts w:ascii="Times New Roman" w:hAnsi="Times New Roman" w:eastAsia="宋体" w:cs="Times New Roman"/>
                <w:b w:val="0"/>
                <w:sz w:val="18"/>
              </w:rPr>
              <w:t>RQ3</w:t>
            </w:r>
          </w:p>
        </w:tc>
        <w:tc>
          <w:tcPr>
            <w:tcW w:w="1701" w:type="dxa"/>
            <w:vAlign w:val="center"/>
          </w:tcPr>
          <w:p w14:paraId="7DCD593A">
            <w:pPr>
              <w:keepNext w:val="0"/>
              <w:spacing w:before="0" w:after="0" w:line="252" w:lineRule="auto"/>
              <w:ind w:firstLine="0"/>
              <w:jc w:val="left"/>
            </w:pPr>
            <w:r>
              <w:rPr>
                <w:rFonts w:ascii="Times New Roman" w:hAnsi="Times New Roman" w:eastAsia="宋体" w:cs="Times New Roman"/>
                <w:b w:val="0"/>
                <w:sz w:val="18"/>
              </w:rPr>
              <w:t>自动判分能否代表人工判断？校准、拒答与盲评如何改变结论？</w:t>
            </w:r>
          </w:p>
        </w:tc>
        <w:tc>
          <w:tcPr>
            <w:tcW w:w="1587" w:type="dxa"/>
            <w:vAlign w:val="center"/>
          </w:tcPr>
          <w:p w14:paraId="04246DFD">
            <w:pPr>
              <w:keepNext w:val="0"/>
              <w:spacing w:before="0" w:after="0" w:line="252" w:lineRule="auto"/>
              <w:ind w:firstLine="0"/>
              <w:jc w:val="left"/>
            </w:pPr>
            <w:r>
              <w:rPr>
                <w:rFonts w:ascii="Times New Roman" w:hAnsi="Times New Roman" w:eastAsia="宋体" w:cs="Times New Roman"/>
                <w:b w:val="0"/>
                <w:sz w:val="18"/>
              </w:rPr>
              <w:t>开发集双人标注校准；测试集组外双人盲评；κ、拒答率、覆盖率</w:t>
            </w:r>
          </w:p>
        </w:tc>
        <w:tc>
          <w:tcPr>
            <w:tcW w:w="3005" w:type="dxa"/>
            <w:vAlign w:val="center"/>
          </w:tcPr>
          <w:p w14:paraId="272C1619">
            <w:pPr>
              <w:keepNext w:val="0"/>
              <w:spacing w:before="0" w:after="0" w:line="252" w:lineRule="auto"/>
              <w:ind w:firstLine="0"/>
              <w:jc w:val="left"/>
            </w:pPr>
            <w:r>
              <w:rPr>
                <w:rFonts w:ascii="Times New Roman" w:hAnsi="Times New Roman" w:eastAsia="宋体" w:cs="Times New Roman"/>
                <w:b w:val="0"/>
                <w:sz w:val="18"/>
              </w:rPr>
              <w:t>关键子集 κ≥0.60（试点值，报告 95% CI；正式目标 κ≥0.70）；自动判分与人工多数票一致率达到预设阈值；若校准/拒答后主结论方向改变，则作为 RQ3 的发现并降级主结论</w:t>
            </w:r>
          </w:p>
        </w:tc>
        <w:tc>
          <w:tcPr>
            <w:tcW w:w="1814" w:type="dxa"/>
            <w:vAlign w:val="center"/>
          </w:tcPr>
          <w:p w14:paraId="0330C3D4">
            <w:pPr>
              <w:keepNext w:val="0"/>
              <w:spacing w:before="0" w:after="0" w:line="252" w:lineRule="auto"/>
              <w:ind w:firstLine="0"/>
              <w:jc w:val="left"/>
            </w:pPr>
            <w:r>
              <w:rPr>
                <w:rFonts w:ascii="Times New Roman" w:hAnsi="Times New Roman" w:eastAsia="宋体" w:cs="Times New Roman"/>
                <w:b w:val="0"/>
                <w:sz w:val="18"/>
              </w:rPr>
              <w:t>先修评价协议，不把低一致性标签用于主结论；报告可判定性上限</w:t>
            </w:r>
          </w:p>
        </w:tc>
      </w:tr>
    </w:tbl>
    <w:p w14:paraId="734C5C5D">
      <w:pPr>
        <w:keepNext w:val="0"/>
        <w:spacing w:before="0" w:after="80" w:line="240" w:lineRule="auto"/>
        <w:ind w:firstLine="0"/>
        <w:jc w:val="both"/>
      </w:pPr>
    </w:p>
    <w:p w14:paraId="14024E35">
      <w:pPr>
        <w:keepNext w:val="0"/>
        <w:widowControl/>
        <w:spacing w:before="0" w:after="0" w:line="360" w:lineRule="auto"/>
        <w:ind w:firstLine="480"/>
        <w:jc w:val="both"/>
      </w:pPr>
      <w:r>
        <w:rPr>
          <w:rFonts w:ascii="Times New Roman" w:hAnsi="Times New Roman" w:eastAsia="宋体" w:cs="Times New Roman"/>
          <w:b w:val="0"/>
          <w:sz w:val="24"/>
        </w:rPr>
        <w:t>补充假设 H0（前提检验）：动作级 oracle（已知 6 个候选动作结果后的最优选择）相对最强单一固定动作的综合成功率改善≥8 个百分点，且"oracle 严格优于固定动作"的任务占比≥15%。阈值来源：H0 是进入 RQ2 的前提，要求高于 RQ1 判据中的 5 个百分点。原因是 RQ2 主检验要求可部署策略提升≥5pp，而策略只能兑现 oracle 余量的一部分，余量低于约 8pp 时主检验几乎不可能通过；RQ1 的 5pp 仅是机制层面"存在余量"的最低标准。8pp 对应的 Cohen's h 依赖基线成功率：基线约 10% 时 h≈0.23，约 50% 时 h≈0.16，正式检验时按开发集实测基线报告 h。15% × 160 个开发任务 ≈ 24 个任务可从动作选择中获益；若低于此值，预测器训练样本不足且实用价值有限。在启动实验阶段，oracle 在 {a0,a1,a2} 三动作上计算（精修/重定位/重采样在主实验补充），正式检验在开发集 160 任务的全 6 动作表上完成。H0 不成立时，RQ2/RQ3 没有可决策空间，项目转向机制分析与诊断报告。</w:t>
      </w:r>
    </w:p>
    <w:p w14:paraId="4D7D8B3F">
      <w:pPr>
        <w:keepNext/>
        <w:keepLines/>
        <w:spacing w:before="360" w:after="160" w:line="312" w:lineRule="auto"/>
        <w:ind w:firstLine="0"/>
        <w:jc w:val="left"/>
        <w:outlineLvl w:val="0"/>
      </w:pPr>
      <w:r>
        <w:rPr>
          <w:rFonts w:ascii="Times New Roman" w:hAnsi="Times New Roman" w:eastAsia="宋体" w:cs="Times New Roman"/>
          <w:b/>
          <w:sz w:val="32"/>
        </w:rPr>
        <w:t>3 方法与技术路线</w:t>
      </w:r>
    </w:p>
    <w:p w14:paraId="19EC12A7">
      <w:pPr>
        <w:keepNext/>
        <w:keepLines/>
        <w:spacing w:before="240" w:after="120" w:line="312" w:lineRule="auto"/>
        <w:ind w:firstLine="0"/>
        <w:jc w:val="both"/>
        <w:outlineLvl w:val="1"/>
      </w:pPr>
      <w:r>
        <w:rPr>
          <w:rFonts w:ascii="Times New Roman" w:hAnsi="Times New Roman" w:eastAsia="宋体" w:cs="Times New Roman"/>
          <w:b/>
          <w:sz w:val="28"/>
        </w:rPr>
        <w:t>3.1 总体框架</w:t>
      </w:r>
    </w:p>
    <w:p w14:paraId="3A3EA79E">
      <w:pPr>
        <w:keepNext w:val="0"/>
        <w:spacing w:before="120" w:after="40" w:line="240" w:lineRule="auto"/>
        <w:ind w:firstLine="0"/>
        <w:jc w:val="center"/>
      </w:pPr>
      <w:r>
        <w:drawing>
          <wp:inline distT="0" distB="0" distL="114300" distR="114300">
            <wp:extent cx="5111750" cy="2782570"/>
            <wp:effectExtent l="0" t="0" r="889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112000" cy="2783200"/>
                    </a:xfrm>
                    <a:prstGeom prst="rect">
                      <a:avLst/>
                    </a:prstGeom>
                    <a:ln w="0">
                      <a:noFill/>
                    </a:ln>
                  </pic:spPr>
                </pic:pic>
              </a:graphicData>
            </a:graphic>
          </wp:inline>
        </w:drawing>
      </w:r>
    </w:p>
    <w:p w14:paraId="08E70664">
      <w:pPr>
        <w:keepNext w:val="0"/>
        <w:spacing w:before="80" w:after="200" w:line="288" w:lineRule="auto"/>
        <w:ind w:firstLine="0"/>
        <w:jc w:val="center"/>
      </w:pPr>
      <w:r>
        <w:rPr>
          <w:rFonts w:ascii="Times New Roman" w:hAnsi="Times New Roman" w:eastAsia="宋体" w:cs="Times New Roman"/>
          <w:b/>
          <w:sz w:val="20"/>
        </w:rPr>
        <w:t>图 1 总体技术路线：控制动作—反事实动作表—价值预测—预算决策—可信评价</w:t>
      </w:r>
    </w:p>
    <w:p w14:paraId="70F3A99F">
      <w:pPr>
        <w:keepNext w:val="0"/>
        <w:widowControl/>
        <w:spacing w:before="0" w:after="0" w:line="360" w:lineRule="auto"/>
        <w:ind w:firstLine="480"/>
        <w:jc w:val="both"/>
      </w:pPr>
      <w:r>
        <w:rPr>
          <w:rFonts w:ascii="Times New Roman" w:hAnsi="Times New Roman" w:eastAsia="宋体" w:cs="Times New Roman"/>
          <w:b w:val="0"/>
          <w:sz w:val="24"/>
        </w:rPr>
        <w:t>如图 1 所示，流程分五步：① 控制与机制：核验编辑器、实现动作、构造受控扰动，产出反事实动作表（3.2 节）；② 预测与决策：从动作表学习标签与特征，训练轻量预测器，在等成本口径下选择动作（3.3–3.4 节）；③ 可信评价：定义评分细则、校准自动判分、组织组外盲评；④ 等预算对照：与固定动作、规则、掩码精修、best-of-k 在同一 Γ 下比较；⑤ 封存测试与复现：冻结配置后一次性评估，公开代码、动作表与协议。</w:t>
      </w:r>
    </w:p>
    <w:p w14:paraId="18C59AE4">
      <w:pPr>
        <w:keepNext/>
        <w:keepLines/>
        <w:spacing w:before="240" w:after="120" w:line="312" w:lineRule="auto"/>
        <w:ind w:firstLine="0"/>
        <w:jc w:val="both"/>
        <w:outlineLvl w:val="1"/>
      </w:pPr>
      <w:r>
        <w:rPr>
          <w:rFonts w:ascii="Times New Roman" w:hAnsi="Times New Roman" w:eastAsia="宋体" w:cs="Times New Roman"/>
          <w:b/>
          <w:sz w:val="28"/>
        </w:rPr>
        <w:t>3.2 控制与机制</w:t>
      </w:r>
    </w:p>
    <w:p w14:paraId="36B90134">
      <w:pPr>
        <w:keepNext w:val="0"/>
        <w:widowControl/>
        <w:spacing w:before="0" w:after="0" w:line="360" w:lineRule="auto"/>
        <w:ind w:firstLine="480"/>
        <w:jc w:val="both"/>
      </w:pPr>
      <w:r>
        <w:rPr>
          <w:rFonts w:ascii="Times New Roman" w:hAnsi="Times New Roman" w:eastAsia="宋体" w:cs="Times New Roman"/>
          <w:b w:val="0"/>
          <w:sz w:val="24"/>
        </w:rPr>
        <w:t>目标是回答“动作到底改变了什么”，为预测与评价提供可复现的执行基础。具体任务：</w:t>
      </w:r>
    </w:p>
    <w:p w14:paraId="498794E0">
      <w:pPr>
        <w:keepNext w:val="0"/>
        <w:widowControl/>
        <w:spacing w:before="0" w:after="0" w:line="360" w:lineRule="auto"/>
        <w:ind w:left="460" w:hanging="460"/>
        <w:jc w:val="both"/>
      </w:pPr>
      <w:r>
        <w:rPr>
          <w:rFonts w:ascii="Times New Roman" w:hAnsi="Times New Roman" w:eastAsia="宋体" w:cs="Times New Roman"/>
          <w:b w:val="0"/>
          <w:sz w:val="24"/>
        </w:rPr>
        <w:t>1. 核验 SDXL-Inpainting 与 FLUX.1 Fill dev 的版本、输入约定、许可、单次耗时与显存，记录失败与 OOM；</w:t>
      </w:r>
    </w:p>
    <w:p w14:paraId="786D3CFC">
      <w:pPr>
        <w:keepNext w:val="0"/>
        <w:widowControl/>
        <w:spacing w:before="0" w:after="0" w:line="360" w:lineRule="auto"/>
        <w:ind w:left="460" w:hanging="460"/>
        <w:jc w:val="both"/>
      </w:pPr>
      <w:r>
        <w:rPr>
          <w:rFonts w:ascii="Times New Roman" w:hAnsi="Times New Roman" w:eastAsia="宋体" w:cs="Times New Roman"/>
          <w:b w:val="0"/>
          <w:sz w:val="24"/>
        </w:rPr>
        <w:t>2. 实现 6 个动作，所有动作从同一原图、同一指令、同一指定掩码重新执行，禁止“从已被破坏的结果继续编辑”；</w:t>
      </w:r>
    </w:p>
    <w:p w14:paraId="66816FA0">
      <w:pPr>
        <w:keepNext w:val="0"/>
        <w:widowControl/>
        <w:spacing w:before="0" w:after="0" w:line="360" w:lineRule="auto"/>
        <w:ind w:left="460" w:hanging="460"/>
        <w:jc w:val="both"/>
      </w:pPr>
      <w:r>
        <w:rPr>
          <w:rFonts w:ascii="Times New Roman" w:hAnsi="Times New Roman" w:eastAsia="宋体" w:cs="Times New Roman"/>
          <w:b w:val="0"/>
          <w:sz w:val="24"/>
        </w:rPr>
        <w:t>3. 在匹配 IoU 条件下构造欠分割、过分割、位移、边界抖动与错目标；错目标子条件按图像轮换（同类近邻/异类近邻/随机三分支，每图只取一个，无候选时顺延并记录）；报告实际 IoU、Boundary-F、面积变化与质心偏移；</w:t>
      </w:r>
    </w:p>
    <w:p w14:paraId="65B9CFED">
      <w:pPr>
        <w:keepNext w:val="0"/>
        <w:widowControl/>
        <w:spacing w:before="0" w:after="0" w:line="360" w:lineRule="auto"/>
        <w:ind w:left="460" w:hanging="460"/>
        <w:jc w:val="both"/>
      </w:pPr>
      <w:r>
        <w:rPr>
          <w:rFonts w:ascii="Times New Roman" w:hAnsi="Times New Roman" w:eastAsia="宋体" w:cs="Times New Roman"/>
          <w:b w:val="0"/>
          <w:sz w:val="24"/>
        </w:rPr>
        <w:t>4. 每任务跑全动作×3 种子，形成反事实动作表；比较动作间差异、操作依赖与种子噪声；</w:t>
      </w:r>
    </w:p>
    <w:p w14:paraId="4BF9B2C6">
      <w:pPr>
        <w:keepNext w:val="0"/>
        <w:widowControl/>
        <w:spacing w:before="0" w:after="0" w:line="360" w:lineRule="auto"/>
        <w:ind w:left="460" w:hanging="460"/>
        <w:jc w:val="both"/>
      </w:pPr>
      <w:r>
        <w:rPr>
          <w:rFonts w:ascii="Times New Roman" w:hAnsi="Times New Roman" w:eastAsia="宋体" w:cs="Times New Roman"/>
          <w:b w:val="0"/>
          <w:sz w:val="24"/>
        </w:rPr>
        <w:t>5. 在第二编辑器上复验；输出机制反例、能力边界与复现指南。</w:t>
      </w:r>
    </w:p>
    <w:p w14:paraId="7E92F34A">
      <w:pPr>
        <w:keepNext/>
        <w:keepLines/>
        <w:spacing w:before="240" w:after="120" w:line="312" w:lineRule="auto"/>
        <w:ind w:firstLine="0"/>
        <w:jc w:val="both"/>
        <w:outlineLvl w:val="1"/>
      </w:pPr>
      <w:r>
        <w:rPr>
          <w:rFonts w:ascii="Times New Roman" w:hAnsi="Times New Roman" w:eastAsia="宋体" w:cs="Times New Roman"/>
          <w:b/>
          <w:sz w:val="28"/>
        </w:rPr>
        <w:t>3.3 动作价值预测</w:t>
      </w:r>
    </w:p>
    <w:p w14:paraId="1ABDA1F0">
      <w:pPr>
        <w:keepNext w:val="0"/>
        <w:widowControl/>
        <w:spacing w:before="0" w:after="0" w:line="360" w:lineRule="auto"/>
        <w:ind w:firstLine="480"/>
        <w:jc w:val="both"/>
      </w:pPr>
      <w:r>
        <w:rPr>
          <w:rFonts w:ascii="Times New Roman" w:hAnsi="Times New Roman" w:eastAsia="宋体" w:cs="Times New Roman"/>
          <w:b w:val="0"/>
          <w:sz w:val="24"/>
        </w:rPr>
        <w:t>目标是回答“下一步动作值不值得做”。具体任务：</w:t>
      </w:r>
    </w:p>
    <w:p w14:paraId="4DA59FB6">
      <w:pPr>
        <w:keepNext w:val="0"/>
        <w:widowControl/>
        <w:spacing w:before="0" w:after="0" w:line="360" w:lineRule="auto"/>
        <w:ind w:left="460" w:hanging="460"/>
        <w:jc w:val="both"/>
      </w:pPr>
      <w:r>
        <w:rPr>
          <w:rFonts w:ascii="Times New Roman" w:hAnsi="Times New Roman" w:eastAsia="宋体" w:cs="Times New Roman"/>
          <w:b w:val="0"/>
          <w:sz w:val="24"/>
        </w:rPr>
        <w:t xml:space="preserve">1. </w:t>
      </w:r>
      <w:r>
        <w:rPr>
          <w:rFonts w:ascii="Times New Roman" w:hAnsi="Times New Roman" w:eastAsia="宋体" w:cs="Times New Roman"/>
          <w:b/>
          <w:sz w:val="24"/>
        </w:rPr>
        <w:t>标签来源与防偏</w:t>
      </w:r>
      <w:r>
        <w:rPr>
          <w:rFonts w:ascii="Times New Roman" w:hAnsi="Times New Roman" w:eastAsia="宋体" w:cs="Times New Roman"/>
          <w:b w:val="0"/>
          <w:sz w:val="24"/>
        </w:rPr>
        <w:t>：改善/破坏标签在训练集由自动判分生成（VIEScore 或校准后的 VLM 判分），在开发集由人工双标注生成并用于验证自动标签可信度；若开发集人工标注与自动判分的 κ&lt;0.60 或一致率&lt;75%，则只用人工标注子集训练预测器，或在预测器输入中加入“判分器置信度”以显式建模偏差。成本标签由实测耗时直接记录。封存测试动作表（A：阶段二；B：阶段三）可在配置冻结前生成，但生成后只写入登记哈希的只读存储，不计算任何评价标签、不查看结果，配置冻结（阶段三结束）后才解封评价，且不回流训练；</w:t>
      </w:r>
    </w:p>
    <w:p w14:paraId="191DC04A">
      <w:pPr>
        <w:keepNext w:val="0"/>
        <w:widowControl/>
        <w:spacing w:before="0" w:after="0" w:line="360" w:lineRule="auto"/>
        <w:ind w:left="460" w:hanging="460"/>
        <w:jc w:val="both"/>
      </w:pPr>
      <w:r>
        <w:rPr>
          <w:rFonts w:ascii="Times New Roman" w:hAnsi="Times New Roman" w:eastAsia="宋体" w:cs="Times New Roman"/>
          <w:b w:val="0"/>
          <w:sz w:val="24"/>
        </w:rPr>
        <w:t>2. 提取执行前可得特征：分割置信度（SAM 2 输出的 IoU 预测分数）、掩码—边缘对齐度、面积比、质心偏移、多提示掩码一致性（同一对象的 3 个提示点产生的掩码 IoU 均值）等，并逐项说明决策时如何获得；</w:t>
      </w:r>
    </w:p>
    <w:p w14:paraId="6AB2C602">
      <w:pPr>
        <w:keepNext w:val="0"/>
        <w:widowControl/>
        <w:spacing w:before="0" w:after="0" w:line="360" w:lineRule="auto"/>
        <w:ind w:left="460" w:hanging="460"/>
        <w:jc w:val="both"/>
      </w:pPr>
      <w:r>
        <w:rPr>
          <w:rFonts w:ascii="Times New Roman" w:hAnsi="Times New Roman" w:eastAsia="宋体" w:cs="Times New Roman"/>
          <w:b w:val="0"/>
          <w:sz w:val="24"/>
        </w:rPr>
        <w:t>3. 训练轻量预测器（线性/树模型起步，稳定后再尝试共享编码器＋动作条件预测头），分别预测改善、破坏与成本；按源图像分组交叉验证，避免同一图像的不同指令/掩码/种子泄漏到验证折；</w:t>
      </w:r>
    </w:p>
    <w:p w14:paraId="613CD90A">
      <w:pPr>
        <w:keepNext w:val="0"/>
        <w:widowControl/>
        <w:spacing w:before="0" w:after="0" w:line="360" w:lineRule="auto"/>
        <w:ind w:left="460" w:hanging="460"/>
        <w:jc w:val="both"/>
      </w:pPr>
      <w:r>
        <w:rPr>
          <w:rFonts w:ascii="Times New Roman" w:hAnsi="Times New Roman" w:eastAsia="宋体" w:cs="Times New Roman"/>
          <w:b w:val="0"/>
          <w:sz w:val="24"/>
        </w:rPr>
        <w:t>4. 报告 AUROC、校准曲线/ECE、分组误差与失败案例；附录给出自动标签与人工标签的一致性分析，说明预测器是在学习“真实动作价值”还是“判分器偏好”。</w:t>
      </w:r>
    </w:p>
    <w:p w14:paraId="793713B1">
      <w:pPr>
        <w:keepNext/>
        <w:keepLines/>
        <w:spacing w:before="240" w:after="120" w:line="312" w:lineRule="auto"/>
        <w:ind w:firstLine="0"/>
        <w:jc w:val="both"/>
        <w:outlineLvl w:val="1"/>
      </w:pPr>
      <w:r>
        <w:rPr>
          <w:rFonts w:ascii="Times New Roman" w:hAnsi="Times New Roman" w:eastAsia="宋体" w:cs="Times New Roman"/>
          <w:b/>
          <w:sz w:val="28"/>
        </w:rPr>
        <w:t>3.4 等成本决策</w:t>
      </w:r>
    </w:p>
    <w:p w14:paraId="01F64D9D">
      <w:pPr>
        <w:keepNext w:val="0"/>
        <w:widowControl/>
        <w:spacing w:before="0" w:after="0" w:line="360" w:lineRule="auto"/>
        <w:ind w:firstLine="480"/>
        <w:jc w:val="both"/>
      </w:pPr>
      <w:r>
        <w:rPr>
          <w:rFonts w:ascii="Times New Roman" w:hAnsi="Times New Roman" w:eastAsia="宋体" w:cs="Times New Roman"/>
          <w:b w:val="0"/>
          <w:sz w:val="24"/>
        </w:rPr>
        <w:t>实现含“保持”的单步策略：给定执行前状态 x 与预算 Γ，预测各动作的改善、破坏与成本，先筛除预计损伤过高或超预算的动作，再选择预计净收益最高者；没有正收益时选择 a0。与以下基线做配对比较：</w:t>
      </w:r>
    </w:p>
    <w:p w14:paraId="5BD28076">
      <w:pPr>
        <w:keepNext w:val="0"/>
        <w:widowControl/>
        <w:spacing w:before="0" w:after="0" w:line="360" w:lineRule="auto"/>
        <w:ind w:left="440" w:hanging="240"/>
        <w:jc w:val="both"/>
      </w:pPr>
      <w:r>
        <w:rPr>
          <w:rFonts w:ascii="Times New Roman" w:hAnsi="Times New Roman" w:eastAsia="宋体" w:cs="Times New Roman"/>
          <w:b w:val="0"/>
          <w:sz w:val="24"/>
        </w:rPr>
        <w:t>• 固定动作：始终 a0；固定收缩、扩张、精修、重定位或重采样（参数在开发集选择）；</w:t>
      </w:r>
    </w:p>
    <w:p w14:paraId="76A196F7">
      <w:pPr>
        <w:keepNext w:val="0"/>
        <w:widowControl/>
        <w:spacing w:before="0" w:after="0" w:line="360" w:lineRule="auto"/>
        <w:ind w:left="440" w:hanging="240"/>
        <w:jc w:val="both"/>
      </w:pPr>
      <w:r>
        <w:rPr>
          <w:rFonts w:ascii="Times New Roman" w:hAnsi="Times New Roman" w:eastAsia="宋体" w:cs="Times New Roman"/>
          <w:b w:val="0"/>
          <w:sz w:val="24"/>
        </w:rPr>
        <w:t>• 简单规则：按面积、边界不确定性、对象尺度或失败严重度路由；</w:t>
      </w:r>
    </w:p>
    <w:p w14:paraId="7B087D52">
      <w:pPr>
        <w:keepNext w:val="0"/>
        <w:widowControl/>
        <w:spacing w:before="0" w:after="0" w:line="360" w:lineRule="auto"/>
        <w:ind w:left="440" w:hanging="240"/>
        <w:jc w:val="both"/>
      </w:pPr>
      <w:r>
        <w:rPr>
          <w:rFonts w:ascii="Times New Roman" w:hAnsi="Times New Roman" w:eastAsia="宋体" w:cs="Times New Roman"/>
          <w:b w:val="0"/>
          <w:sz w:val="24"/>
        </w:rPr>
        <w:t>• 掩码精修：现成精修模块或明确标注的复现版本；</w:t>
      </w:r>
    </w:p>
    <w:p w14:paraId="142D11B7">
      <w:pPr>
        <w:keepNext w:val="0"/>
        <w:widowControl/>
        <w:spacing w:before="0" w:after="0" w:line="360" w:lineRule="auto"/>
        <w:ind w:left="440" w:hanging="240"/>
        <w:jc w:val="both"/>
      </w:pPr>
      <w:r>
        <w:rPr>
          <w:rFonts w:ascii="Times New Roman" w:hAnsi="Times New Roman" w:eastAsia="宋体" w:cs="Times New Roman"/>
          <w:b w:val="0"/>
          <w:sz w:val="24"/>
        </w:rPr>
        <w:t>• 等成本 best-of-k：同预算生成多个候选，再用判分器选；</w:t>
      </w:r>
    </w:p>
    <w:p w14:paraId="5D6EDADD">
      <w:pPr>
        <w:keepNext w:val="0"/>
        <w:widowControl/>
        <w:spacing w:before="0" w:after="0" w:line="360" w:lineRule="auto"/>
        <w:ind w:left="440" w:hanging="240"/>
        <w:jc w:val="both"/>
      </w:pPr>
      <w:r>
        <w:rPr>
          <w:rFonts w:ascii="Times New Roman" w:hAnsi="Times New Roman" w:eastAsia="宋体" w:cs="Times New Roman"/>
          <w:b w:val="0"/>
          <w:sz w:val="24"/>
        </w:rPr>
        <w:t>• oracle 上界：已知各动作结果后的最优动作，仅作诊断。</w:t>
      </w:r>
    </w:p>
    <w:p w14:paraId="702D0B4A">
      <w:pPr>
        <w:keepNext w:val="0"/>
        <w:widowControl/>
        <w:spacing w:before="0" w:after="0" w:line="360" w:lineRule="auto"/>
        <w:ind w:firstLine="480"/>
        <w:jc w:val="both"/>
      </w:pPr>
      <w:r>
        <w:rPr>
          <w:rFonts w:ascii="Times New Roman" w:hAnsi="Times New Roman" w:eastAsia="宋体" w:cs="Times New Roman"/>
          <w:b w:val="0"/>
          <w:sz w:val="24"/>
        </w:rPr>
        <w:t>报告质量—成本曲线、oracle 上界、预测收益与实际收益差距；完成特征、动作与跨编辑器消融。 参照 PreActIR [22] 的口径，同时报告“在综合成功率不劣于最强基线的条件下，编辑/判分调用次数与总成本的相对节省”；若质量无显著提升但成本显著下降，作为 RQ2 的次要正面结果，主结论仍以质量主检验为准。 作为扩展，可在预测后加入执行后判分回退（成本 1+c(a)+0.2），用于回答预测是否只是廉价的 best-of-2 替代；本文主方案保持单步无回退设定。</w:t>
      </w:r>
    </w:p>
    <w:p w14:paraId="2CE78E9E">
      <w:pPr>
        <w:keepNext/>
        <w:keepLines/>
        <w:spacing w:before="240" w:after="120" w:line="312" w:lineRule="auto"/>
        <w:ind w:firstLine="0"/>
        <w:jc w:val="both"/>
        <w:outlineLvl w:val="1"/>
      </w:pPr>
      <w:r>
        <w:rPr>
          <w:rFonts w:ascii="Times New Roman" w:hAnsi="Times New Roman" w:eastAsia="宋体" w:cs="Times New Roman"/>
          <w:b/>
          <w:sz w:val="28"/>
        </w:rPr>
        <w:t>3.5 可信评价与统计</w:t>
      </w:r>
    </w:p>
    <w:p w14:paraId="1C84348A">
      <w:pPr>
        <w:keepNext w:val="0"/>
        <w:widowControl/>
        <w:spacing w:before="0" w:after="0" w:line="360" w:lineRule="auto"/>
        <w:ind w:left="460" w:hanging="460"/>
        <w:jc w:val="both"/>
      </w:pPr>
      <w:r>
        <w:rPr>
          <w:rFonts w:ascii="Times New Roman" w:hAnsi="Times New Roman" w:eastAsia="宋体" w:cs="Times New Roman"/>
          <w:b w:val="0"/>
          <w:sz w:val="24"/>
        </w:rPr>
        <w:t xml:space="preserve">1. </w:t>
      </w:r>
      <w:r>
        <w:rPr>
          <w:rFonts w:ascii="Times New Roman" w:hAnsi="Times New Roman" w:eastAsia="宋体" w:cs="Times New Roman"/>
          <w:b/>
          <w:sz w:val="24"/>
        </w:rPr>
        <w:t>评分细则</w:t>
      </w:r>
      <w:r>
        <w:rPr>
          <w:rFonts w:ascii="Times New Roman" w:hAnsi="Times New Roman" w:eastAsia="宋体" w:cs="Times New Roman"/>
          <w:b w:val="0"/>
          <w:sz w:val="24"/>
        </w:rPr>
        <w:t>：定义指令完成度、内容保持、局部质量与综合成功；为改色、对象移除分别给出正反例；保持区域由任务定义，不能使用方法自己的掩码缩小检查范围；</w:t>
      </w:r>
    </w:p>
    <w:p w14:paraId="41B8FF98">
      <w:pPr>
        <w:keepNext w:val="0"/>
        <w:widowControl/>
        <w:spacing w:before="0" w:after="0" w:line="360" w:lineRule="auto"/>
        <w:ind w:left="460" w:hanging="460"/>
        <w:jc w:val="both"/>
      </w:pPr>
      <w:r>
        <w:rPr>
          <w:rFonts w:ascii="Times New Roman" w:hAnsi="Times New Roman" w:eastAsia="宋体" w:cs="Times New Roman"/>
          <w:b w:val="0"/>
          <w:sz w:val="24"/>
        </w:rPr>
        <w:t xml:space="preserve">2. </w:t>
      </w:r>
      <w:r>
        <w:rPr>
          <w:rFonts w:ascii="Times New Roman" w:hAnsi="Times New Roman" w:eastAsia="宋体" w:cs="Times New Roman"/>
          <w:b/>
          <w:sz w:val="24"/>
        </w:rPr>
        <w:t>自动判分校准</w:t>
      </w:r>
      <w:r>
        <w:rPr>
          <w:rFonts w:ascii="Times New Roman" w:hAnsi="Times New Roman" w:eastAsia="宋体" w:cs="Times New Roman"/>
          <w:b w:val="0"/>
          <w:sz w:val="24"/>
        </w:rPr>
        <w:t>：在开发集约 300 例双人标注上比较 VLM 判分与区域指标相对人工判断的相关性、κ [29]、校准与失效类型；按阴影、反光、遮挡、小目标、错目标分层；未达到一致性阈值的指标不用于主结论；</w:t>
      </w:r>
    </w:p>
    <w:p w14:paraId="2F106999">
      <w:pPr>
        <w:keepNext w:val="0"/>
        <w:widowControl/>
        <w:spacing w:before="0" w:after="0" w:line="360" w:lineRule="auto"/>
        <w:ind w:left="460" w:hanging="460"/>
        <w:jc w:val="both"/>
      </w:pPr>
      <w:r>
        <w:rPr>
          <w:rFonts w:ascii="Times New Roman" w:hAnsi="Times New Roman" w:eastAsia="宋体" w:cs="Times New Roman"/>
          <w:b w:val="0"/>
          <w:sz w:val="24"/>
        </w:rPr>
        <w:t xml:space="preserve">3. </w:t>
      </w:r>
      <w:r>
        <w:rPr>
          <w:rFonts w:ascii="Times New Roman" w:hAnsi="Times New Roman" w:eastAsia="宋体" w:cs="Times New Roman"/>
          <w:b/>
          <w:sz w:val="24"/>
        </w:rPr>
        <w:t>组外盲评</w:t>
      </w:r>
      <w:r>
        <w:rPr>
          <w:rFonts w:ascii="Times New Roman" w:hAnsi="Times New Roman" w:eastAsia="宋体" w:cs="Times New Roman"/>
          <w:b w:val="0"/>
          <w:sz w:val="24"/>
        </w:rPr>
        <w:t>：匿名、随机顺序、双人评分与仲裁；报告一致性、拒答率与覆盖率；</w:t>
      </w:r>
    </w:p>
    <w:p w14:paraId="33D3AFB3">
      <w:pPr>
        <w:keepNext w:val="0"/>
        <w:widowControl/>
        <w:spacing w:before="0" w:after="0" w:line="360" w:lineRule="auto"/>
        <w:ind w:left="460" w:hanging="460"/>
        <w:jc w:val="both"/>
      </w:pPr>
      <w:r>
        <w:rPr>
          <w:rFonts w:ascii="Times New Roman" w:hAnsi="Times New Roman" w:eastAsia="宋体" w:cs="Times New Roman"/>
          <w:b w:val="0"/>
          <w:sz w:val="24"/>
        </w:rPr>
        <w:t xml:space="preserve">4. </w:t>
      </w:r>
      <w:r>
        <w:rPr>
          <w:rFonts w:ascii="Times New Roman" w:hAnsi="Times New Roman" w:eastAsia="宋体" w:cs="Times New Roman"/>
          <w:b/>
          <w:sz w:val="24"/>
        </w:rPr>
        <w:t>统计</w:t>
      </w:r>
      <w:r>
        <w:rPr>
          <w:rFonts w:ascii="Times New Roman" w:hAnsi="Times New Roman" w:eastAsia="宋体" w:cs="Times New Roman"/>
          <w:b w:val="0"/>
          <w:sz w:val="24"/>
        </w:rPr>
        <w:t>：聚类 bootstrap、唯一主检验、多重比较校正与功效模拟的口径在 4.4 节统一给出，本节不再重复。</w:t>
      </w:r>
    </w:p>
    <w:p w14:paraId="2418FBB8">
      <w:pPr>
        <w:keepNext/>
        <w:keepLines/>
        <w:spacing w:before="360" w:after="160" w:line="312" w:lineRule="auto"/>
        <w:ind w:firstLine="0"/>
        <w:jc w:val="left"/>
        <w:outlineLvl w:val="0"/>
      </w:pPr>
      <w:r>
        <w:rPr>
          <w:rFonts w:ascii="Times New Roman" w:hAnsi="Times New Roman" w:eastAsia="宋体" w:cs="Times New Roman"/>
          <w:b/>
          <w:sz w:val="32"/>
        </w:rPr>
        <w:t>4 实验设计</w:t>
      </w:r>
    </w:p>
    <w:p w14:paraId="46161A99">
      <w:pPr>
        <w:keepNext/>
        <w:keepLines/>
        <w:spacing w:before="240" w:after="120" w:line="312" w:lineRule="auto"/>
        <w:ind w:firstLine="0"/>
        <w:jc w:val="both"/>
        <w:outlineLvl w:val="1"/>
      </w:pPr>
      <w:r>
        <w:rPr>
          <w:rFonts w:ascii="Times New Roman" w:hAnsi="Times New Roman" w:eastAsia="宋体" w:cs="Times New Roman"/>
          <w:b/>
          <w:sz w:val="28"/>
        </w:rPr>
        <w:t>4.1 数据与任务</w:t>
      </w:r>
    </w:p>
    <w:p w14:paraId="0319A460">
      <w:pPr>
        <w:keepNext w:val="0"/>
        <w:widowControl/>
        <w:spacing w:before="0" w:after="0" w:line="360" w:lineRule="auto"/>
        <w:ind w:firstLine="480"/>
        <w:jc w:val="both"/>
      </w:pPr>
      <w:r>
        <w:rPr>
          <w:rFonts w:ascii="Times New Roman" w:hAnsi="Times New Roman" w:eastAsia="宋体" w:cs="Times New Roman"/>
          <w:b w:val="0"/>
          <w:sz w:val="24"/>
        </w:rPr>
        <w:t>以 RefCOCO、RefCOCO+、RefCOCOg [24–26] 的图像与指代标注为基础，对应到 COCO 实例掩码 [27]，统一称“参照掩码”；用 100 图人工精修估计参照掩码边界噪声。主池 600 张图像，每图构造改色/材质替换与对象移除两条指令，共 1,200 个任务；另设 100 张外部分布图像（200 任务）用于外部效度，单独统计。各集合的规模与允许用途见表 3，评价指标见表 5（4.3 节），基线及其公平性要求见表 6（4.4 节）。</w:t>
      </w:r>
    </w:p>
    <w:p w14:paraId="0F7E49F1">
      <w:pPr>
        <w:keepNext/>
        <w:spacing w:before="160" w:after="80" w:line="288" w:lineRule="auto"/>
        <w:ind w:firstLine="0"/>
        <w:jc w:val="center"/>
      </w:pPr>
      <w:r>
        <w:rPr>
          <w:rFonts w:ascii="Times New Roman" w:hAnsi="Times New Roman" w:eastAsia="宋体" w:cs="Times New Roman"/>
          <w:b/>
          <w:sz w:val="20"/>
        </w:rPr>
        <w:t>表 3 数据划分与用途</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9"/>
        <w:gridCol w:w="958"/>
        <w:gridCol w:w="958"/>
        <w:gridCol w:w="4716"/>
      </w:tblGrid>
      <w:tr w14:paraId="5B10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99" w:type="dxa"/>
            <w:shd w:val="clear" w:color="auto" w:fill="DCE6F1"/>
            <w:vAlign w:val="center"/>
          </w:tcPr>
          <w:p w14:paraId="58330823">
            <w:pPr>
              <w:keepNext w:val="0"/>
              <w:spacing w:before="0" w:after="0" w:line="276" w:lineRule="auto"/>
              <w:ind w:firstLine="0"/>
              <w:jc w:val="center"/>
            </w:pPr>
            <w:r>
              <w:rPr>
                <w:rFonts w:ascii="Times New Roman" w:hAnsi="Times New Roman" w:eastAsia="宋体" w:cs="Times New Roman"/>
                <w:b/>
                <w:sz w:val="19"/>
              </w:rPr>
              <w:t>集合</w:t>
            </w:r>
          </w:p>
        </w:tc>
        <w:tc>
          <w:tcPr>
            <w:tcW w:w="958" w:type="dxa"/>
            <w:shd w:val="clear" w:color="auto" w:fill="DCE6F1"/>
            <w:vAlign w:val="center"/>
          </w:tcPr>
          <w:p w14:paraId="57016085">
            <w:pPr>
              <w:keepNext w:val="0"/>
              <w:spacing w:before="0" w:after="0" w:line="276" w:lineRule="auto"/>
              <w:ind w:firstLine="0"/>
              <w:jc w:val="center"/>
            </w:pPr>
            <w:r>
              <w:rPr>
                <w:rFonts w:ascii="Times New Roman" w:hAnsi="Times New Roman" w:eastAsia="宋体" w:cs="Times New Roman"/>
                <w:b/>
                <w:sz w:val="19"/>
              </w:rPr>
              <w:t>图像数</w:t>
            </w:r>
          </w:p>
        </w:tc>
        <w:tc>
          <w:tcPr>
            <w:tcW w:w="958" w:type="dxa"/>
            <w:shd w:val="clear" w:color="auto" w:fill="DCE6F1"/>
            <w:vAlign w:val="center"/>
          </w:tcPr>
          <w:p w14:paraId="06CF67D1">
            <w:pPr>
              <w:keepNext w:val="0"/>
              <w:spacing w:before="0" w:after="0" w:line="276" w:lineRule="auto"/>
              <w:ind w:firstLine="0"/>
              <w:jc w:val="center"/>
            </w:pPr>
            <w:r>
              <w:rPr>
                <w:rFonts w:ascii="Times New Roman" w:hAnsi="Times New Roman" w:eastAsia="宋体" w:cs="Times New Roman"/>
                <w:b/>
                <w:sz w:val="19"/>
              </w:rPr>
              <w:t>任务数</w:t>
            </w:r>
          </w:p>
        </w:tc>
        <w:tc>
          <w:tcPr>
            <w:tcW w:w="4716" w:type="dxa"/>
            <w:shd w:val="clear" w:color="auto" w:fill="DCE6F1"/>
            <w:vAlign w:val="center"/>
          </w:tcPr>
          <w:p w14:paraId="2979C4E0">
            <w:pPr>
              <w:keepNext w:val="0"/>
              <w:spacing w:before="0" w:after="0" w:line="276" w:lineRule="auto"/>
              <w:ind w:firstLine="0"/>
              <w:jc w:val="center"/>
            </w:pPr>
            <w:r>
              <w:rPr>
                <w:rFonts w:ascii="Times New Roman" w:hAnsi="Times New Roman" w:eastAsia="宋体" w:cs="Times New Roman"/>
                <w:b/>
                <w:sz w:val="19"/>
              </w:rPr>
              <w:t>允许用途</w:t>
            </w:r>
          </w:p>
        </w:tc>
      </w:tr>
      <w:tr w14:paraId="0F780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14:paraId="2ED416CB">
            <w:pPr>
              <w:keepNext w:val="0"/>
              <w:spacing w:before="0" w:after="0" w:line="276" w:lineRule="auto"/>
              <w:ind w:firstLine="0"/>
              <w:jc w:val="center"/>
            </w:pPr>
            <w:r>
              <w:rPr>
                <w:rFonts w:ascii="Times New Roman" w:hAnsi="Times New Roman" w:eastAsia="宋体" w:cs="Times New Roman"/>
                <w:b w:val="0"/>
                <w:sz w:val="19"/>
              </w:rPr>
              <w:t>训练集</w:t>
            </w:r>
          </w:p>
        </w:tc>
        <w:tc>
          <w:tcPr>
            <w:tcW w:w="958" w:type="dxa"/>
            <w:vAlign w:val="center"/>
          </w:tcPr>
          <w:p w14:paraId="74318C23">
            <w:pPr>
              <w:keepNext w:val="0"/>
              <w:spacing w:before="0" w:after="0" w:line="276" w:lineRule="auto"/>
              <w:ind w:firstLine="0"/>
              <w:jc w:val="left"/>
            </w:pPr>
            <w:r>
              <w:rPr>
                <w:rFonts w:ascii="Times New Roman" w:hAnsi="Times New Roman" w:eastAsia="宋体" w:cs="Times New Roman"/>
                <w:b w:val="0"/>
                <w:sz w:val="19"/>
              </w:rPr>
              <w:t>240</w:t>
            </w:r>
          </w:p>
        </w:tc>
        <w:tc>
          <w:tcPr>
            <w:tcW w:w="958" w:type="dxa"/>
            <w:vAlign w:val="center"/>
          </w:tcPr>
          <w:p w14:paraId="54C05729">
            <w:pPr>
              <w:keepNext w:val="0"/>
              <w:spacing w:before="0" w:after="0" w:line="276" w:lineRule="auto"/>
              <w:ind w:firstLine="0"/>
              <w:jc w:val="left"/>
            </w:pPr>
            <w:r>
              <w:rPr>
                <w:rFonts w:ascii="Times New Roman" w:hAnsi="Times New Roman" w:eastAsia="宋体" w:cs="Times New Roman"/>
                <w:b w:val="0"/>
                <w:sz w:val="19"/>
              </w:rPr>
              <w:t>480</w:t>
            </w:r>
          </w:p>
        </w:tc>
        <w:tc>
          <w:tcPr>
            <w:tcW w:w="4716" w:type="dxa"/>
            <w:vAlign w:val="center"/>
          </w:tcPr>
          <w:p w14:paraId="60701868">
            <w:pPr>
              <w:keepNext w:val="0"/>
              <w:spacing w:before="0" w:after="0" w:line="276" w:lineRule="auto"/>
              <w:ind w:firstLine="0"/>
              <w:jc w:val="left"/>
            </w:pPr>
            <w:r>
              <w:rPr>
                <w:rFonts w:ascii="Times New Roman" w:hAnsi="Times New Roman" w:eastAsia="宋体" w:cs="Times New Roman"/>
                <w:b w:val="0"/>
                <w:sz w:val="19"/>
              </w:rPr>
              <w:t>训练预测器与损伤模型；训练侧交叉验证</w:t>
            </w:r>
          </w:p>
        </w:tc>
      </w:tr>
      <w:tr w14:paraId="7B74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14:paraId="43D9BEE1">
            <w:pPr>
              <w:keepNext w:val="0"/>
              <w:spacing w:before="0" w:after="0" w:line="276" w:lineRule="auto"/>
              <w:ind w:firstLine="0"/>
              <w:jc w:val="center"/>
            </w:pPr>
            <w:r>
              <w:rPr>
                <w:rFonts w:ascii="Times New Roman" w:hAnsi="Times New Roman" w:eastAsia="宋体" w:cs="Times New Roman"/>
                <w:b w:val="0"/>
                <w:sz w:val="19"/>
              </w:rPr>
              <w:t>开发集</w:t>
            </w:r>
          </w:p>
        </w:tc>
        <w:tc>
          <w:tcPr>
            <w:tcW w:w="958" w:type="dxa"/>
            <w:vAlign w:val="center"/>
          </w:tcPr>
          <w:p w14:paraId="493A81CC">
            <w:pPr>
              <w:keepNext w:val="0"/>
              <w:spacing w:before="0" w:after="0" w:line="276" w:lineRule="auto"/>
              <w:ind w:firstLine="0"/>
              <w:jc w:val="left"/>
            </w:pPr>
            <w:r>
              <w:rPr>
                <w:rFonts w:ascii="Times New Roman" w:hAnsi="Times New Roman" w:eastAsia="宋体" w:cs="Times New Roman"/>
                <w:b w:val="0"/>
                <w:sz w:val="19"/>
              </w:rPr>
              <w:t>80</w:t>
            </w:r>
          </w:p>
        </w:tc>
        <w:tc>
          <w:tcPr>
            <w:tcW w:w="958" w:type="dxa"/>
            <w:vAlign w:val="center"/>
          </w:tcPr>
          <w:p w14:paraId="6C3D0B39">
            <w:pPr>
              <w:keepNext w:val="0"/>
              <w:spacing w:before="0" w:after="0" w:line="276" w:lineRule="auto"/>
              <w:ind w:firstLine="0"/>
              <w:jc w:val="left"/>
            </w:pPr>
            <w:r>
              <w:rPr>
                <w:rFonts w:ascii="Times New Roman" w:hAnsi="Times New Roman" w:eastAsia="宋体" w:cs="Times New Roman"/>
                <w:b w:val="0"/>
                <w:sz w:val="19"/>
              </w:rPr>
              <w:t>160</w:t>
            </w:r>
          </w:p>
        </w:tc>
        <w:tc>
          <w:tcPr>
            <w:tcW w:w="4716" w:type="dxa"/>
            <w:vAlign w:val="center"/>
          </w:tcPr>
          <w:p w14:paraId="4E9BB829">
            <w:pPr>
              <w:keepNext w:val="0"/>
              <w:spacing w:before="0" w:after="0" w:line="276" w:lineRule="auto"/>
              <w:ind w:firstLine="0"/>
              <w:jc w:val="left"/>
            </w:pPr>
            <w:r>
              <w:rPr>
                <w:rFonts w:ascii="Times New Roman" w:hAnsi="Times New Roman" w:eastAsia="宋体" w:cs="Times New Roman"/>
                <w:b w:val="0"/>
                <w:sz w:val="19"/>
              </w:rPr>
              <w:t>选择动作、阈值、基线与预算；含 24 图启动样本</w:t>
            </w:r>
          </w:p>
        </w:tc>
      </w:tr>
      <w:tr w14:paraId="4628A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14:paraId="0F647DCA">
            <w:pPr>
              <w:keepNext w:val="0"/>
              <w:spacing w:before="0" w:after="0" w:line="276" w:lineRule="auto"/>
              <w:ind w:firstLine="0"/>
              <w:jc w:val="center"/>
            </w:pPr>
            <w:r>
              <w:rPr>
                <w:rFonts w:ascii="Times New Roman" w:hAnsi="Times New Roman" w:eastAsia="宋体" w:cs="Times New Roman"/>
                <w:b w:val="0"/>
                <w:sz w:val="19"/>
              </w:rPr>
              <w:t>封存测试集</w:t>
            </w:r>
          </w:p>
        </w:tc>
        <w:tc>
          <w:tcPr>
            <w:tcW w:w="958" w:type="dxa"/>
            <w:vAlign w:val="center"/>
          </w:tcPr>
          <w:p w14:paraId="42246EA4">
            <w:pPr>
              <w:keepNext w:val="0"/>
              <w:spacing w:before="0" w:after="0" w:line="276" w:lineRule="auto"/>
              <w:ind w:firstLine="0"/>
              <w:jc w:val="left"/>
            </w:pPr>
            <w:r>
              <w:rPr>
                <w:rFonts w:ascii="Times New Roman" w:hAnsi="Times New Roman" w:eastAsia="宋体" w:cs="Times New Roman"/>
                <w:b w:val="0"/>
                <w:sz w:val="19"/>
              </w:rPr>
              <w:t>280</w:t>
            </w:r>
          </w:p>
        </w:tc>
        <w:tc>
          <w:tcPr>
            <w:tcW w:w="958" w:type="dxa"/>
            <w:vAlign w:val="center"/>
          </w:tcPr>
          <w:p w14:paraId="6B01DD7B">
            <w:pPr>
              <w:keepNext w:val="0"/>
              <w:spacing w:before="0" w:after="0" w:line="276" w:lineRule="auto"/>
              <w:ind w:firstLine="0"/>
              <w:jc w:val="left"/>
            </w:pPr>
            <w:r>
              <w:rPr>
                <w:rFonts w:ascii="Times New Roman" w:hAnsi="Times New Roman" w:eastAsia="宋体" w:cs="Times New Roman"/>
                <w:b w:val="0"/>
                <w:sz w:val="19"/>
              </w:rPr>
              <w:t>560</w:t>
            </w:r>
          </w:p>
        </w:tc>
        <w:tc>
          <w:tcPr>
            <w:tcW w:w="4716" w:type="dxa"/>
            <w:vAlign w:val="center"/>
          </w:tcPr>
          <w:p w14:paraId="58406432">
            <w:pPr>
              <w:keepNext w:val="0"/>
              <w:spacing w:before="0" w:after="0" w:line="276" w:lineRule="auto"/>
              <w:ind w:firstLine="0"/>
              <w:jc w:val="left"/>
            </w:pPr>
            <w:r>
              <w:rPr>
                <w:rFonts w:ascii="Times New Roman" w:hAnsi="Times New Roman" w:eastAsia="宋体" w:cs="Times New Roman"/>
                <w:b w:val="0"/>
                <w:sz w:val="19"/>
              </w:rPr>
              <w:t>配置冻结后一次性主验证；不得反馈调参</w:t>
            </w:r>
          </w:p>
        </w:tc>
      </w:tr>
      <w:tr w14:paraId="142A2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99" w:type="dxa"/>
            <w:vAlign w:val="center"/>
          </w:tcPr>
          <w:p w14:paraId="54A8A810">
            <w:pPr>
              <w:keepNext w:val="0"/>
              <w:spacing w:before="0" w:after="0" w:line="276" w:lineRule="auto"/>
              <w:ind w:firstLine="0"/>
              <w:jc w:val="center"/>
            </w:pPr>
            <w:r>
              <w:rPr>
                <w:rFonts w:ascii="Times New Roman" w:hAnsi="Times New Roman" w:eastAsia="宋体" w:cs="Times New Roman"/>
                <w:b w:val="0"/>
                <w:sz w:val="19"/>
              </w:rPr>
              <w:t>外部分布（另计）</w:t>
            </w:r>
          </w:p>
        </w:tc>
        <w:tc>
          <w:tcPr>
            <w:tcW w:w="958" w:type="dxa"/>
            <w:vAlign w:val="center"/>
          </w:tcPr>
          <w:p w14:paraId="01D67D49">
            <w:pPr>
              <w:keepNext w:val="0"/>
              <w:spacing w:before="0" w:after="0" w:line="276" w:lineRule="auto"/>
              <w:ind w:firstLine="0"/>
              <w:jc w:val="left"/>
            </w:pPr>
            <w:r>
              <w:rPr>
                <w:rFonts w:ascii="Times New Roman" w:hAnsi="Times New Roman" w:eastAsia="宋体" w:cs="Times New Roman"/>
                <w:b w:val="0"/>
                <w:sz w:val="19"/>
              </w:rPr>
              <w:t>100</w:t>
            </w:r>
          </w:p>
        </w:tc>
        <w:tc>
          <w:tcPr>
            <w:tcW w:w="958" w:type="dxa"/>
            <w:vAlign w:val="center"/>
          </w:tcPr>
          <w:p w14:paraId="4C5F6939">
            <w:pPr>
              <w:keepNext w:val="0"/>
              <w:spacing w:before="0" w:after="0" w:line="276" w:lineRule="auto"/>
              <w:ind w:firstLine="0"/>
              <w:jc w:val="left"/>
            </w:pPr>
            <w:r>
              <w:rPr>
                <w:rFonts w:ascii="Times New Roman" w:hAnsi="Times New Roman" w:eastAsia="宋体" w:cs="Times New Roman"/>
                <w:b w:val="0"/>
                <w:sz w:val="19"/>
              </w:rPr>
              <w:t>200</w:t>
            </w:r>
          </w:p>
        </w:tc>
        <w:tc>
          <w:tcPr>
            <w:tcW w:w="4716" w:type="dxa"/>
            <w:vAlign w:val="center"/>
          </w:tcPr>
          <w:p w14:paraId="22816538">
            <w:pPr>
              <w:keepNext w:val="0"/>
              <w:spacing w:before="0" w:after="0" w:line="276" w:lineRule="auto"/>
              <w:ind w:firstLine="0"/>
              <w:jc w:val="left"/>
            </w:pPr>
            <w:r>
              <w:rPr>
                <w:rFonts w:ascii="Times New Roman" w:hAnsi="Times New Roman" w:eastAsia="宋体" w:cs="Times New Roman"/>
                <w:b w:val="0"/>
                <w:sz w:val="19"/>
              </w:rPr>
              <w:t>新对象/新来源的稳健性检查</w:t>
            </w:r>
          </w:p>
        </w:tc>
      </w:tr>
    </w:tbl>
    <w:p w14:paraId="049CF870">
      <w:pPr>
        <w:keepNext w:val="0"/>
        <w:spacing w:before="0" w:after="80" w:line="240" w:lineRule="auto"/>
        <w:ind w:firstLine="0"/>
        <w:jc w:val="both"/>
      </w:pPr>
    </w:p>
    <w:p w14:paraId="46C16831">
      <w:pPr>
        <w:keepNext w:val="0"/>
        <w:widowControl/>
        <w:spacing w:before="0" w:after="0" w:line="360" w:lineRule="auto"/>
        <w:ind w:firstLine="480"/>
        <w:jc w:val="both"/>
      </w:pPr>
      <w:r>
        <w:rPr>
          <w:rFonts w:ascii="Times New Roman" w:hAnsi="Times New Roman" w:eastAsia="宋体" w:cs="Times New Roman"/>
          <w:b w:val="0"/>
          <w:sz w:val="24"/>
        </w:rPr>
        <w:t>按源图像分组划分，同一图像的所有指令、掩码、种子与两个编辑器的结果跟随同一分组；测试集在配置冻结前不查看结果。</w:t>
      </w:r>
    </w:p>
    <w:p w14:paraId="2357D03B">
      <w:pPr>
        <w:keepNext/>
        <w:keepLines/>
        <w:spacing w:before="240" w:after="120" w:line="312" w:lineRule="auto"/>
        <w:ind w:firstLine="0"/>
        <w:jc w:val="both"/>
        <w:outlineLvl w:val="1"/>
      </w:pPr>
      <w:r>
        <w:rPr>
          <w:rFonts w:ascii="Times New Roman" w:hAnsi="Times New Roman" w:eastAsia="宋体" w:cs="Times New Roman"/>
          <w:b/>
          <w:sz w:val="28"/>
        </w:rPr>
        <w:t>4.2 动作表与实验规模</w:t>
      </w:r>
    </w:p>
    <w:p w14:paraId="385ACF8E">
      <w:pPr>
        <w:keepNext w:val="0"/>
        <w:widowControl/>
        <w:spacing w:before="0" w:after="0" w:line="360" w:lineRule="auto"/>
        <w:ind w:firstLine="480"/>
        <w:jc w:val="both"/>
      </w:pPr>
      <w:r>
        <w:rPr>
          <w:rFonts w:ascii="Times New Roman" w:hAnsi="Times New Roman" w:eastAsia="宋体" w:cs="Times New Roman"/>
          <w:b w:val="0"/>
          <w:sz w:val="24"/>
        </w:rPr>
        <w:t>每任务每编辑器记录：1 次初始结果；5 个非零动作各 3 个后续种子结果（15 次）；3 个参照掩码诊断结果；合计 19 次编辑。参照诊断只用于机制分析，不计作可部署动作。</w:t>
      </w:r>
    </w:p>
    <w:p w14:paraId="7E5155E5">
      <w:pPr>
        <w:keepNext/>
        <w:spacing w:before="160" w:after="80" w:line="288" w:lineRule="auto"/>
        <w:ind w:firstLine="0"/>
        <w:jc w:val="center"/>
      </w:pPr>
      <w:r>
        <w:rPr>
          <w:rFonts w:ascii="Times New Roman" w:hAnsi="Times New Roman" w:eastAsia="宋体" w:cs="Times New Roman"/>
          <w:b/>
          <w:sz w:val="20"/>
        </w:rPr>
        <w:t>表 4 实验规模计算</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5"/>
        <w:gridCol w:w="4956"/>
        <w:gridCol w:w="2140"/>
      </w:tblGrid>
      <w:tr w14:paraId="3E52A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35" w:type="dxa"/>
            <w:shd w:val="clear" w:color="auto" w:fill="DCE6F1"/>
            <w:vAlign w:val="center"/>
          </w:tcPr>
          <w:p w14:paraId="54EDD16D">
            <w:pPr>
              <w:keepNext w:val="0"/>
              <w:spacing w:before="0" w:after="0" w:line="276" w:lineRule="auto"/>
              <w:ind w:firstLine="0"/>
              <w:jc w:val="center"/>
            </w:pPr>
            <w:r>
              <w:rPr>
                <w:rFonts w:ascii="Times New Roman" w:hAnsi="Times New Roman" w:eastAsia="宋体" w:cs="Times New Roman"/>
                <w:b/>
                <w:sz w:val="19"/>
              </w:rPr>
              <w:t>项目</w:t>
            </w:r>
          </w:p>
        </w:tc>
        <w:tc>
          <w:tcPr>
            <w:tcW w:w="4956" w:type="dxa"/>
            <w:shd w:val="clear" w:color="auto" w:fill="DCE6F1"/>
            <w:vAlign w:val="center"/>
          </w:tcPr>
          <w:p w14:paraId="5228E59E">
            <w:pPr>
              <w:keepNext w:val="0"/>
              <w:spacing w:before="0" w:after="0" w:line="276" w:lineRule="auto"/>
              <w:ind w:firstLine="0"/>
              <w:jc w:val="center"/>
            </w:pPr>
            <w:r>
              <w:rPr>
                <w:rFonts w:ascii="Times New Roman" w:hAnsi="Times New Roman" w:eastAsia="宋体" w:cs="Times New Roman"/>
                <w:b/>
                <w:sz w:val="19"/>
              </w:rPr>
              <w:t>计算式</w:t>
            </w:r>
          </w:p>
        </w:tc>
        <w:tc>
          <w:tcPr>
            <w:tcW w:w="2140" w:type="dxa"/>
            <w:shd w:val="clear" w:color="auto" w:fill="DCE6F1"/>
            <w:vAlign w:val="center"/>
          </w:tcPr>
          <w:p w14:paraId="7DA0CA79">
            <w:pPr>
              <w:keepNext w:val="0"/>
              <w:spacing w:before="0" w:after="0" w:line="276" w:lineRule="auto"/>
              <w:ind w:firstLine="0"/>
              <w:jc w:val="center"/>
            </w:pPr>
            <w:r>
              <w:rPr>
                <w:rFonts w:ascii="Times New Roman" w:hAnsi="Times New Roman" w:eastAsia="宋体" w:cs="Times New Roman"/>
                <w:b/>
                <w:sz w:val="19"/>
              </w:rPr>
              <w:t>编辑次数</w:t>
            </w:r>
          </w:p>
        </w:tc>
      </w:tr>
      <w:tr w14:paraId="44ECF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35" w:type="dxa"/>
            <w:vAlign w:val="center"/>
          </w:tcPr>
          <w:p w14:paraId="13607514">
            <w:pPr>
              <w:keepNext w:val="0"/>
              <w:spacing w:before="0" w:after="0" w:line="276" w:lineRule="auto"/>
              <w:ind w:firstLine="0"/>
              <w:jc w:val="center"/>
            </w:pPr>
            <w:r>
              <w:rPr>
                <w:rFonts w:ascii="Times New Roman" w:hAnsi="Times New Roman" w:eastAsia="宋体" w:cs="Times New Roman"/>
                <w:b w:val="0"/>
                <w:sz w:val="19"/>
              </w:rPr>
              <w:t>编辑器 A 主实验</w:t>
            </w:r>
          </w:p>
        </w:tc>
        <w:tc>
          <w:tcPr>
            <w:tcW w:w="4956" w:type="dxa"/>
            <w:vAlign w:val="center"/>
          </w:tcPr>
          <w:p w14:paraId="1CF91FA5">
            <w:pPr>
              <w:keepNext w:val="0"/>
              <w:spacing w:before="0" w:after="0" w:line="276" w:lineRule="auto"/>
              <w:ind w:firstLine="0"/>
              <w:jc w:val="left"/>
            </w:pPr>
            <w:r>
              <w:rPr>
                <w:rFonts w:ascii="Times New Roman" w:hAnsi="Times New Roman" w:eastAsia="宋体" w:cs="Times New Roman"/>
                <w:b w:val="0"/>
                <w:sz w:val="19"/>
              </w:rPr>
              <w:t>1,200 任务 × 19</w:t>
            </w:r>
          </w:p>
        </w:tc>
        <w:tc>
          <w:tcPr>
            <w:tcW w:w="2140" w:type="dxa"/>
            <w:vAlign w:val="center"/>
          </w:tcPr>
          <w:p w14:paraId="0EFC87FC">
            <w:pPr>
              <w:keepNext w:val="0"/>
              <w:spacing w:before="0" w:after="0" w:line="276" w:lineRule="auto"/>
              <w:ind w:firstLine="0"/>
              <w:jc w:val="left"/>
            </w:pPr>
            <w:r>
              <w:rPr>
                <w:rFonts w:ascii="Times New Roman" w:hAnsi="Times New Roman" w:eastAsia="宋体" w:cs="Times New Roman"/>
                <w:b w:val="0"/>
                <w:sz w:val="19"/>
              </w:rPr>
              <w:t>22,800</w:t>
            </w:r>
          </w:p>
        </w:tc>
      </w:tr>
      <w:tr w14:paraId="0E52A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35" w:type="dxa"/>
            <w:vAlign w:val="center"/>
          </w:tcPr>
          <w:p w14:paraId="65D97C3B">
            <w:pPr>
              <w:keepNext w:val="0"/>
              <w:spacing w:before="0" w:after="0" w:line="276" w:lineRule="auto"/>
              <w:ind w:firstLine="0"/>
              <w:jc w:val="center"/>
            </w:pPr>
            <w:r>
              <w:rPr>
                <w:rFonts w:ascii="Times New Roman" w:hAnsi="Times New Roman" w:eastAsia="宋体" w:cs="Times New Roman"/>
                <w:b w:val="0"/>
                <w:sz w:val="19"/>
              </w:rPr>
              <w:t>编辑器 B 复验</w:t>
            </w:r>
          </w:p>
        </w:tc>
        <w:tc>
          <w:tcPr>
            <w:tcW w:w="4956" w:type="dxa"/>
            <w:vAlign w:val="center"/>
          </w:tcPr>
          <w:p w14:paraId="45FC4AE6">
            <w:pPr>
              <w:keepNext w:val="0"/>
              <w:spacing w:before="0" w:after="0" w:line="276" w:lineRule="auto"/>
              <w:ind w:firstLine="0"/>
              <w:jc w:val="left"/>
            </w:pPr>
            <w:r>
              <w:rPr>
                <w:rFonts w:ascii="Times New Roman" w:hAnsi="Times New Roman" w:eastAsia="宋体" w:cs="Times New Roman"/>
                <w:b w:val="0"/>
                <w:sz w:val="19"/>
              </w:rPr>
              <w:t>560 测试任务 × 19</w:t>
            </w:r>
          </w:p>
        </w:tc>
        <w:tc>
          <w:tcPr>
            <w:tcW w:w="2140" w:type="dxa"/>
            <w:vAlign w:val="center"/>
          </w:tcPr>
          <w:p w14:paraId="5BD93C67">
            <w:pPr>
              <w:keepNext w:val="0"/>
              <w:spacing w:before="0" w:after="0" w:line="276" w:lineRule="auto"/>
              <w:ind w:firstLine="0"/>
              <w:jc w:val="left"/>
            </w:pPr>
            <w:r>
              <w:rPr>
                <w:rFonts w:ascii="Times New Roman" w:hAnsi="Times New Roman" w:eastAsia="宋体" w:cs="Times New Roman"/>
                <w:b w:val="0"/>
                <w:sz w:val="19"/>
              </w:rPr>
              <w:t>10,640</w:t>
            </w:r>
          </w:p>
        </w:tc>
      </w:tr>
      <w:tr w14:paraId="1EA94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35" w:type="dxa"/>
            <w:vAlign w:val="center"/>
          </w:tcPr>
          <w:p w14:paraId="1C06E7CE">
            <w:pPr>
              <w:keepNext w:val="0"/>
              <w:spacing w:before="0" w:after="0" w:line="276" w:lineRule="auto"/>
              <w:ind w:firstLine="0"/>
              <w:jc w:val="center"/>
            </w:pPr>
            <w:r>
              <w:rPr>
                <w:rFonts w:ascii="Times New Roman" w:hAnsi="Times New Roman" w:eastAsia="宋体" w:cs="Times New Roman"/>
                <w:b w:val="0"/>
                <w:sz w:val="19"/>
              </w:rPr>
              <w:t>启动实验</w:t>
            </w:r>
          </w:p>
        </w:tc>
        <w:tc>
          <w:tcPr>
            <w:tcW w:w="4956" w:type="dxa"/>
            <w:vAlign w:val="center"/>
          </w:tcPr>
          <w:p w14:paraId="0376C68C">
            <w:pPr>
              <w:keepNext w:val="0"/>
              <w:spacing w:before="0" w:after="0" w:line="276" w:lineRule="auto"/>
              <w:ind w:firstLine="0"/>
              <w:jc w:val="left"/>
            </w:pPr>
            <w:r>
              <w:rPr>
                <w:rFonts w:ascii="Times New Roman" w:hAnsi="Times New Roman" w:eastAsia="宋体" w:cs="Times New Roman"/>
                <w:b w:val="0"/>
                <w:sz w:val="19"/>
              </w:rPr>
              <w:t>24 图×2 操作 × 4 种掩码 × 3 种子 × 2 编辑器</w:t>
            </w:r>
          </w:p>
        </w:tc>
        <w:tc>
          <w:tcPr>
            <w:tcW w:w="2140" w:type="dxa"/>
            <w:vAlign w:val="center"/>
          </w:tcPr>
          <w:p w14:paraId="0047959A">
            <w:pPr>
              <w:keepNext w:val="0"/>
              <w:spacing w:before="0" w:after="0" w:line="276" w:lineRule="auto"/>
              <w:ind w:firstLine="0"/>
              <w:jc w:val="left"/>
            </w:pPr>
            <w:r>
              <w:rPr>
                <w:rFonts w:ascii="Times New Roman" w:hAnsi="Times New Roman" w:eastAsia="宋体" w:cs="Times New Roman"/>
                <w:b w:val="0"/>
                <w:sz w:val="19"/>
              </w:rPr>
              <w:t>1,152</w:t>
            </w:r>
          </w:p>
        </w:tc>
      </w:tr>
      <w:tr w14:paraId="4442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35" w:type="dxa"/>
            <w:vAlign w:val="center"/>
          </w:tcPr>
          <w:p w14:paraId="02DD1AE9">
            <w:pPr>
              <w:keepNext w:val="0"/>
              <w:spacing w:before="0" w:after="0" w:line="276" w:lineRule="auto"/>
              <w:ind w:firstLine="0"/>
              <w:jc w:val="center"/>
            </w:pPr>
            <w:r>
              <w:rPr>
                <w:rFonts w:ascii="Times New Roman" w:hAnsi="Times New Roman" w:eastAsia="宋体" w:cs="Times New Roman"/>
                <w:b w:val="0"/>
                <w:sz w:val="19"/>
              </w:rPr>
              <w:t>机制探针</w:t>
            </w:r>
          </w:p>
        </w:tc>
        <w:tc>
          <w:tcPr>
            <w:tcW w:w="4956" w:type="dxa"/>
            <w:vAlign w:val="center"/>
          </w:tcPr>
          <w:p w14:paraId="57ED7BB9">
            <w:pPr>
              <w:keepNext w:val="0"/>
              <w:spacing w:before="0" w:after="0" w:line="276" w:lineRule="auto"/>
              <w:ind w:firstLine="0"/>
              <w:jc w:val="left"/>
            </w:pPr>
            <w:r>
              <w:rPr>
                <w:rFonts w:ascii="Times New Roman" w:hAnsi="Times New Roman" w:eastAsia="宋体" w:cs="Times New Roman"/>
                <w:b w:val="0"/>
                <w:sz w:val="19"/>
              </w:rPr>
              <w:t>20 开发图×2 操作 × 4 误差类型 × 2 档 × 3 种子 × 2 编辑器</w:t>
            </w:r>
          </w:p>
        </w:tc>
        <w:tc>
          <w:tcPr>
            <w:tcW w:w="2140" w:type="dxa"/>
            <w:vAlign w:val="center"/>
          </w:tcPr>
          <w:p w14:paraId="1A3C71B7">
            <w:pPr>
              <w:keepNext w:val="0"/>
              <w:spacing w:before="0" w:after="0" w:line="276" w:lineRule="auto"/>
              <w:ind w:firstLine="0"/>
              <w:jc w:val="left"/>
            </w:pPr>
            <w:r>
              <w:rPr>
                <w:rFonts w:ascii="Times New Roman" w:hAnsi="Times New Roman" w:eastAsia="宋体" w:cs="Times New Roman"/>
                <w:b w:val="0"/>
                <w:sz w:val="19"/>
              </w:rPr>
              <w:t>1,920</w:t>
            </w:r>
          </w:p>
        </w:tc>
      </w:tr>
      <w:tr w14:paraId="0ABBB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35" w:type="dxa"/>
            <w:vAlign w:val="center"/>
          </w:tcPr>
          <w:p w14:paraId="4AA82EFE">
            <w:pPr>
              <w:keepNext w:val="0"/>
              <w:spacing w:before="0" w:after="0" w:line="276" w:lineRule="auto"/>
              <w:ind w:firstLine="0"/>
              <w:jc w:val="center"/>
            </w:pPr>
            <w:r>
              <w:rPr>
                <w:rFonts w:ascii="Times New Roman" w:hAnsi="Times New Roman" w:eastAsia="宋体" w:cs="Times New Roman"/>
                <w:b w:val="0"/>
                <w:sz w:val="19"/>
              </w:rPr>
              <w:t>外部分布</w:t>
            </w:r>
          </w:p>
        </w:tc>
        <w:tc>
          <w:tcPr>
            <w:tcW w:w="4956" w:type="dxa"/>
            <w:vAlign w:val="center"/>
          </w:tcPr>
          <w:p w14:paraId="7DE24D55">
            <w:pPr>
              <w:keepNext w:val="0"/>
              <w:spacing w:before="0" w:after="0" w:line="276" w:lineRule="auto"/>
              <w:ind w:firstLine="0"/>
              <w:jc w:val="left"/>
            </w:pPr>
            <w:r>
              <w:rPr>
                <w:rFonts w:ascii="Times New Roman" w:hAnsi="Times New Roman" w:eastAsia="宋体" w:cs="Times New Roman"/>
                <w:b w:val="0"/>
                <w:sz w:val="19"/>
              </w:rPr>
              <w:t>200 任务 × 6 种输出 × 2 编辑器</w:t>
            </w:r>
          </w:p>
        </w:tc>
        <w:tc>
          <w:tcPr>
            <w:tcW w:w="2140" w:type="dxa"/>
            <w:vAlign w:val="center"/>
          </w:tcPr>
          <w:p w14:paraId="636FE6A3">
            <w:pPr>
              <w:keepNext w:val="0"/>
              <w:spacing w:before="0" w:after="0" w:line="276" w:lineRule="auto"/>
              <w:ind w:firstLine="0"/>
              <w:jc w:val="left"/>
            </w:pPr>
            <w:r>
              <w:rPr>
                <w:rFonts w:ascii="Times New Roman" w:hAnsi="Times New Roman" w:eastAsia="宋体" w:cs="Times New Roman"/>
                <w:b w:val="0"/>
                <w:sz w:val="19"/>
              </w:rPr>
              <w:t>2,400</w:t>
            </w:r>
          </w:p>
        </w:tc>
      </w:tr>
      <w:tr w14:paraId="286BD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35" w:type="dxa"/>
            <w:vAlign w:val="center"/>
          </w:tcPr>
          <w:p w14:paraId="34990087">
            <w:pPr>
              <w:keepNext w:val="0"/>
              <w:spacing w:before="0" w:after="0" w:line="276" w:lineRule="auto"/>
              <w:ind w:firstLine="0"/>
              <w:jc w:val="center"/>
            </w:pPr>
            <w:r>
              <w:rPr>
                <w:rFonts w:ascii="Times New Roman" w:hAnsi="Times New Roman" w:eastAsia="宋体" w:cs="Times New Roman"/>
                <w:b w:val="0"/>
                <w:sz w:val="19"/>
              </w:rPr>
              <w:t>小计</w:t>
            </w:r>
          </w:p>
        </w:tc>
        <w:tc>
          <w:tcPr>
            <w:tcW w:w="4956" w:type="dxa"/>
            <w:vAlign w:val="center"/>
          </w:tcPr>
          <w:p w14:paraId="7A8D231C">
            <w:pPr>
              <w:keepNext w:val="0"/>
              <w:spacing w:before="0" w:after="0" w:line="276" w:lineRule="auto"/>
              <w:ind w:firstLine="0"/>
              <w:jc w:val="left"/>
            </w:pPr>
            <w:r>
              <w:rPr>
                <w:rFonts w:ascii="Times New Roman" w:hAnsi="Times New Roman" w:eastAsia="宋体" w:cs="Times New Roman"/>
                <w:b w:val="0"/>
                <w:sz w:val="19"/>
              </w:rPr>
              <w:t>—</w:t>
            </w:r>
          </w:p>
        </w:tc>
        <w:tc>
          <w:tcPr>
            <w:tcW w:w="2140" w:type="dxa"/>
            <w:vAlign w:val="center"/>
          </w:tcPr>
          <w:p w14:paraId="68C058EA">
            <w:pPr>
              <w:keepNext w:val="0"/>
              <w:spacing w:before="0" w:after="0" w:line="276" w:lineRule="auto"/>
              <w:ind w:firstLine="0"/>
              <w:jc w:val="left"/>
            </w:pPr>
            <w:r>
              <w:rPr>
                <w:rFonts w:ascii="Times New Roman" w:hAnsi="Times New Roman" w:eastAsia="宋体" w:cs="Times New Roman"/>
                <w:b w:val="0"/>
                <w:sz w:val="19"/>
              </w:rPr>
              <w:t>38,912</w:t>
            </w:r>
          </w:p>
        </w:tc>
      </w:tr>
      <w:tr w14:paraId="469BE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35" w:type="dxa"/>
            <w:vAlign w:val="center"/>
          </w:tcPr>
          <w:p w14:paraId="32B230BE">
            <w:pPr>
              <w:keepNext w:val="0"/>
              <w:spacing w:before="0" w:after="0" w:line="276" w:lineRule="auto"/>
              <w:ind w:firstLine="0"/>
              <w:jc w:val="center"/>
            </w:pPr>
            <w:r>
              <w:rPr>
                <w:rFonts w:ascii="Times New Roman" w:hAnsi="Times New Roman" w:eastAsia="宋体" w:cs="Times New Roman"/>
                <w:b w:val="0"/>
                <w:sz w:val="19"/>
              </w:rPr>
              <w:t>含 10% 重跑余量</w:t>
            </w:r>
          </w:p>
        </w:tc>
        <w:tc>
          <w:tcPr>
            <w:tcW w:w="4956" w:type="dxa"/>
            <w:vAlign w:val="center"/>
          </w:tcPr>
          <w:p w14:paraId="2D23FAFD">
            <w:pPr>
              <w:keepNext w:val="0"/>
              <w:spacing w:before="0" w:after="0" w:line="276" w:lineRule="auto"/>
              <w:ind w:firstLine="0"/>
              <w:jc w:val="left"/>
            </w:pPr>
            <w:r>
              <w:rPr>
                <w:rFonts w:ascii="Times New Roman" w:hAnsi="Times New Roman" w:eastAsia="宋体" w:cs="Times New Roman"/>
                <w:b w:val="0"/>
                <w:sz w:val="19"/>
              </w:rPr>
              <w:t>×1.1</w:t>
            </w:r>
          </w:p>
        </w:tc>
        <w:tc>
          <w:tcPr>
            <w:tcW w:w="2140" w:type="dxa"/>
            <w:vAlign w:val="center"/>
          </w:tcPr>
          <w:p w14:paraId="2CBABA51">
            <w:pPr>
              <w:keepNext w:val="0"/>
              <w:spacing w:before="0" w:after="0" w:line="276" w:lineRule="auto"/>
              <w:ind w:firstLine="0"/>
              <w:jc w:val="left"/>
            </w:pPr>
            <w:r>
              <w:rPr>
                <w:rFonts w:ascii="Times New Roman" w:hAnsi="Times New Roman" w:eastAsia="宋体" w:cs="Times New Roman"/>
                <w:b w:val="0"/>
                <w:sz w:val="19"/>
              </w:rPr>
              <w:t>≈42,800（约 4.3 万）</w:t>
            </w:r>
          </w:p>
        </w:tc>
      </w:tr>
    </w:tbl>
    <w:p w14:paraId="1DD07AAC">
      <w:pPr>
        <w:keepNext w:val="0"/>
        <w:spacing w:before="0" w:after="80" w:line="240" w:lineRule="auto"/>
        <w:ind w:firstLine="0"/>
        <w:jc w:val="both"/>
      </w:pPr>
    </w:p>
    <w:p w14:paraId="08EC09D3">
      <w:pPr>
        <w:keepNext w:val="0"/>
        <w:widowControl/>
        <w:spacing w:before="0" w:after="0" w:line="360" w:lineRule="auto"/>
        <w:ind w:firstLine="480"/>
        <w:jc w:val="both"/>
      </w:pPr>
      <w:r>
        <w:rPr>
          <w:rFonts w:ascii="Times New Roman" w:hAnsi="Times New Roman" w:eastAsia="宋体" w:cs="Times New Roman"/>
          <w:b w:val="0"/>
          <w:sz w:val="24"/>
        </w:rPr>
        <w:t>说明：B 只覆盖封存测试的 560 个任务，因此总次数不是“600×2×6×19”；启动实验与机制探针是独立协议，不按 19 次/任务计算。所有数字为方案估算，实际以启动实验实测耗时与失败率修订。</w:t>
      </w:r>
    </w:p>
    <w:p w14:paraId="633D73B0">
      <w:pPr>
        <w:keepNext w:val="0"/>
        <w:widowControl/>
        <w:spacing w:before="0" w:after="0" w:line="360" w:lineRule="auto"/>
        <w:ind w:firstLine="480"/>
        <w:jc w:val="both"/>
      </w:pPr>
      <w:r>
        <w:rPr>
          <w:rFonts w:ascii="Times New Roman" w:hAnsi="Times New Roman" w:eastAsia="宋体" w:cs="Times New Roman"/>
          <w:b w:val="0"/>
          <w:sz w:val="24"/>
        </w:rPr>
        <w:t>按单次编辑 15 秒估算，38,912 次约 162 GPU 时；按 30 秒估算约 324 GPU 时；含 10% 余量（≈42,800 次）约 178–357 GPU 时。以上仅计编辑调用。非编辑开销按 2.1 节折算：每任务·编辑器判分 19 × 0.1 = 1.9 单位，精修与重定位各 1 次共 0.5 单位；主表与复验共 1,760 个任务·编辑器，约 4,200 单位，按 15–30 秒/单位约 18–35 GPU 时（VLM 判分若走 API，则改计费用）。合计约 196–392 GPU 时。计划预留约 300 GPU 时，保守情形不足，因此优先使用云 GPU 并预留缩减方案。</w:t>
      </w:r>
    </w:p>
    <w:p w14:paraId="4B9A94C2">
      <w:pPr>
        <w:keepNext/>
        <w:keepLines/>
        <w:spacing w:before="240" w:after="120" w:line="312" w:lineRule="auto"/>
        <w:ind w:firstLine="0"/>
        <w:jc w:val="both"/>
        <w:outlineLvl w:val="1"/>
      </w:pPr>
      <w:r>
        <w:rPr>
          <w:rFonts w:ascii="Times New Roman" w:hAnsi="Times New Roman" w:eastAsia="宋体" w:cs="Times New Roman"/>
          <w:b/>
          <w:sz w:val="28"/>
        </w:rPr>
        <w:t>4.3 评价指标</w:t>
      </w:r>
    </w:p>
    <w:p w14:paraId="038165C2">
      <w:pPr>
        <w:keepNext/>
        <w:spacing w:before="160" w:after="80" w:line="288" w:lineRule="auto"/>
        <w:ind w:firstLine="0"/>
        <w:jc w:val="center"/>
      </w:pPr>
      <w:r>
        <w:rPr>
          <w:rFonts w:ascii="Times New Roman" w:hAnsi="Times New Roman" w:eastAsia="宋体" w:cs="Times New Roman"/>
          <w:b/>
          <w:sz w:val="20"/>
        </w:rPr>
        <w:t>表 5 指标与评价</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7"/>
        <w:gridCol w:w="5498"/>
        <w:gridCol w:w="1716"/>
      </w:tblGrid>
      <w:tr w14:paraId="4DA68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7" w:type="dxa"/>
            <w:shd w:val="clear" w:color="auto" w:fill="DCE6F1"/>
            <w:vAlign w:val="center"/>
          </w:tcPr>
          <w:p w14:paraId="0CAF9E25">
            <w:pPr>
              <w:keepNext w:val="0"/>
              <w:spacing w:before="0" w:after="0" w:line="276" w:lineRule="auto"/>
              <w:ind w:firstLine="0"/>
              <w:jc w:val="center"/>
            </w:pPr>
            <w:r>
              <w:rPr>
                <w:rFonts w:ascii="Times New Roman" w:hAnsi="Times New Roman" w:eastAsia="宋体" w:cs="Times New Roman"/>
                <w:b/>
                <w:sz w:val="19"/>
              </w:rPr>
              <w:t>维度</w:t>
            </w:r>
          </w:p>
        </w:tc>
        <w:tc>
          <w:tcPr>
            <w:tcW w:w="5498" w:type="dxa"/>
            <w:shd w:val="clear" w:color="auto" w:fill="DCE6F1"/>
            <w:vAlign w:val="center"/>
          </w:tcPr>
          <w:p w14:paraId="404E440F">
            <w:pPr>
              <w:keepNext w:val="0"/>
              <w:spacing w:before="0" w:after="0" w:line="276" w:lineRule="auto"/>
              <w:ind w:firstLine="0"/>
              <w:jc w:val="center"/>
            </w:pPr>
            <w:r>
              <w:rPr>
                <w:rFonts w:ascii="Times New Roman" w:hAnsi="Times New Roman" w:eastAsia="宋体" w:cs="Times New Roman"/>
                <w:b/>
                <w:sz w:val="19"/>
              </w:rPr>
              <w:t>定义</w:t>
            </w:r>
          </w:p>
        </w:tc>
        <w:tc>
          <w:tcPr>
            <w:tcW w:w="1716" w:type="dxa"/>
            <w:shd w:val="clear" w:color="auto" w:fill="DCE6F1"/>
            <w:vAlign w:val="center"/>
          </w:tcPr>
          <w:p w14:paraId="3BF2B48C">
            <w:pPr>
              <w:keepNext w:val="0"/>
              <w:spacing w:before="0" w:after="0" w:line="276" w:lineRule="auto"/>
              <w:ind w:firstLine="0"/>
              <w:jc w:val="center"/>
            </w:pPr>
            <w:r>
              <w:rPr>
                <w:rFonts w:ascii="Times New Roman" w:hAnsi="Times New Roman" w:eastAsia="宋体" w:cs="Times New Roman"/>
                <w:b/>
                <w:sz w:val="19"/>
              </w:rPr>
              <w:t>用途</w:t>
            </w:r>
          </w:p>
        </w:tc>
      </w:tr>
      <w:tr w14:paraId="5524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7" w:type="dxa"/>
            <w:vAlign w:val="center"/>
          </w:tcPr>
          <w:p w14:paraId="002B8866">
            <w:pPr>
              <w:keepNext w:val="0"/>
              <w:spacing w:before="0" w:after="0" w:line="276" w:lineRule="auto"/>
              <w:ind w:firstLine="0"/>
              <w:jc w:val="center"/>
            </w:pPr>
            <w:r>
              <w:rPr>
                <w:rFonts w:ascii="Times New Roman" w:hAnsi="Times New Roman" w:eastAsia="宋体" w:cs="Times New Roman"/>
                <w:b w:val="0"/>
                <w:sz w:val="19"/>
              </w:rPr>
              <w:t>编辑完成度 S</w:t>
            </w:r>
          </w:p>
        </w:tc>
        <w:tc>
          <w:tcPr>
            <w:tcW w:w="5498" w:type="dxa"/>
            <w:vAlign w:val="center"/>
          </w:tcPr>
          <w:p w14:paraId="6CF4C7A0">
            <w:pPr>
              <w:keepNext w:val="0"/>
              <w:spacing w:before="0" w:after="0" w:line="276" w:lineRule="auto"/>
              <w:ind w:firstLine="0"/>
              <w:jc w:val="left"/>
            </w:pPr>
            <w:r>
              <w:rPr>
                <w:rFonts w:ascii="Times New Roman" w:hAnsi="Times New Roman" w:eastAsia="宋体" w:cs="Times New Roman"/>
                <w:b w:val="0"/>
                <w:sz w:val="19"/>
              </w:rPr>
              <w:t>目标对象是否被正确修改、指令是否被遵循</w:t>
            </w:r>
          </w:p>
        </w:tc>
        <w:tc>
          <w:tcPr>
            <w:tcW w:w="1716" w:type="dxa"/>
            <w:vAlign w:val="center"/>
          </w:tcPr>
          <w:p w14:paraId="70EEC98A">
            <w:pPr>
              <w:keepNext w:val="0"/>
              <w:spacing w:before="0" w:after="0" w:line="276" w:lineRule="auto"/>
              <w:ind w:firstLine="0"/>
              <w:jc w:val="left"/>
            </w:pPr>
            <w:r>
              <w:rPr>
                <w:rFonts w:ascii="Times New Roman" w:hAnsi="Times New Roman" w:eastAsia="宋体" w:cs="Times New Roman"/>
                <w:b w:val="0"/>
                <w:sz w:val="19"/>
              </w:rPr>
              <w:t>主终点的一部分</w:t>
            </w:r>
          </w:p>
        </w:tc>
      </w:tr>
      <w:tr w14:paraId="2621E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7" w:type="dxa"/>
            <w:vAlign w:val="center"/>
          </w:tcPr>
          <w:p w14:paraId="355EDF56">
            <w:pPr>
              <w:keepNext w:val="0"/>
              <w:spacing w:before="0" w:after="0" w:line="276" w:lineRule="auto"/>
              <w:ind w:firstLine="0"/>
              <w:jc w:val="center"/>
            </w:pPr>
            <w:r>
              <w:rPr>
                <w:rFonts w:ascii="Times New Roman" w:hAnsi="Times New Roman" w:eastAsia="宋体" w:cs="Times New Roman"/>
                <w:b w:val="0"/>
                <w:sz w:val="19"/>
              </w:rPr>
              <w:t>内容保持 D</w:t>
            </w:r>
          </w:p>
        </w:tc>
        <w:tc>
          <w:tcPr>
            <w:tcW w:w="5498" w:type="dxa"/>
            <w:vAlign w:val="center"/>
          </w:tcPr>
          <w:p w14:paraId="3C2D7716">
            <w:pPr>
              <w:keepNext w:val="0"/>
              <w:spacing w:before="0" w:after="0" w:line="276" w:lineRule="auto"/>
              <w:ind w:firstLine="0"/>
              <w:jc w:val="left"/>
            </w:pPr>
            <w:r>
              <w:rPr>
                <w:rFonts w:ascii="Times New Roman" w:hAnsi="Times New Roman" w:eastAsia="宋体" w:cs="Times New Roman"/>
                <w:b w:val="0"/>
                <w:sz w:val="19"/>
              </w:rPr>
              <w:t>非目标对象、布局、纹理、身份是否受损</w:t>
            </w:r>
          </w:p>
        </w:tc>
        <w:tc>
          <w:tcPr>
            <w:tcW w:w="1716" w:type="dxa"/>
            <w:vAlign w:val="center"/>
          </w:tcPr>
          <w:p w14:paraId="772879FE">
            <w:pPr>
              <w:keepNext w:val="0"/>
              <w:spacing w:before="0" w:after="0" w:line="276" w:lineRule="auto"/>
              <w:ind w:firstLine="0"/>
              <w:jc w:val="left"/>
            </w:pPr>
            <w:r>
              <w:rPr>
                <w:rFonts w:ascii="Times New Roman" w:hAnsi="Times New Roman" w:eastAsia="宋体" w:cs="Times New Roman"/>
                <w:b w:val="0"/>
                <w:sz w:val="19"/>
              </w:rPr>
              <w:t>主终点的一部分</w:t>
            </w:r>
          </w:p>
        </w:tc>
      </w:tr>
      <w:tr w14:paraId="714AA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7" w:type="dxa"/>
            <w:vAlign w:val="center"/>
          </w:tcPr>
          <w:p w14:paraId="3E1EBAE7">
            <w:pPr>
              <w:keepNext w:val="0"/>
              <w:spacing w:before="0" w:after="0" w:line="276" w:lineRule="auto"/>
              <w:ind w:firstLine="0"/>
              <w:jc w:val="center"/>
            </w:pPr>
            <w:r>
              <w:rPr>
                <w:rFonts w:ascii="Times New Roman" w:hAnsi="Times New Roman" w:eastAsia="宋体" w:cs="Times New Roman"/>
                <w:b w:val="0"/>
                <w:sz w:val="19"/>
              </w:rPr>
              <w:t>边界伪影 P</w:t>
            </w:r>
          </w:p>
        </w:tc>
        <w:tc>
          <w:tcPr>
            <w:tcW w:w="5498" w:type="dxa"/>
            <w:vAlign w:val="center"/>
          </w:tcPr>
          <w:p w14:paraId="5241BA33">
            <w:pPr>
              <w:keepNext w:val="0"/>
              <w:spacing w:before="0" w:after="0" w:line="276" w:lineRule="auto"/>
              <w:ind w:firstLine="0"/>
              <w:jc w:val="left"/>
            </w:pPr>
            <w:r>
              <w:rPr>
                <w:rFonts w:ascii="Times New Roman" w:hAnsi="Times New Roman" w:eastAsia="宋体" w:cs="Times New Roman"/>
                <w:b w:val="0"/>
                <w:sz w:val="19"/>
              </w:rPr>
              <w:t>边界带内梯度幅值 p95 与干净原图同区域 p95 之比（相对接缝强度）</w:t>
            </w:r>
          </w:p>
        </w:tc>
        <w:tc>
          <w:tcPr>
            <w:tcW w:w="1716" w:type="dxa"/>
            <w:vAlign w:val="center"/>
          </w:tcPr>
          <w:p w14:paraId="27AD0C45">
            <w:pPr>
              <w:keepNext w:val="0"/>
              <w:spacing w:before="0" w:after="0" w:line="276" w:lineRule="auto"/>
              <w:ind w:firstLine="0"/>
              <w:jc w:val="left"/>
            </w:pPr>
            <w:r>
              <w:rPr>
                <w:rFonts w:ascii="Times New Roman" w:hAnsi="Times New Roman" w:eastAsia="宋体" w:cs="Times New Roman"/>
                <w:b w:val="0"/>
                <w:sz w:val="19"/>
              </w:rPr>
              <w:t>质量与失败诊断</w:t>
            </w:r>
          </w:p>
        </w:tc>
      </w:tr>
      <w:tr w14:paraId="72E9F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7" w:type="dxa"/>
            <w:vAlign w:val="center"/>
          </w:tcPr>
          <w:p w14:paraId="716AED8F">
            <w:pPr>
              <w:keepNext w:val="0"/>
              <w:spacing w:before="0" w:after="0" w:line="276" w:lineRule="auto"/>
              <w:ind w:firstLine="0"/>
              <w:jc w:val="center"/>
            </w:pPr>
            <w:r>
              <w:rPr>
                <w:rFonts w:ascii="Times New Roman" w:hAnsi="Times New Roman" w:eastAsia="宋体" w:cs="Times New Roman"/>
                <w:b w:val="0"/>
                <w:sz w:val="19"/>
              </w:rPr>
              <w:t>综合成功 Y</w:t>
            </w:r>
          </w:p>
        </w:tc>
        <w:tc>
          <w:tcPr>
            <w:tcW w:w="5498" w:type="dxa"/>
            <w:vAlign w:val="center"/>
          </w:tcPr>
          <w:p w14:paraId="45A6BC5E">
            <w:pPr>
              <w:keepNext w:val="0"/>
              <w:spacing w:before="0" w:after="0" w:line="276" w:lineRule="auto"/>
              <w:ind w:firstLine="0"/>
              <w:jc w:val="left"/>
            </w:pPr>
            <w:r>
              <w:rPr>
                <w:rFonts w:ascii="Times New Roman" w:hAnsi="Times New Roman" w:eastAsia="宋体" w:cs="Times New Roman"/>
                <w:b w:val="0"/>
                <w:sz w:val="19"/>
              </w:rPr>
              <w:t>预注册二元规则：S 达标且 D、P 不超阈值</w:t>
            </w:r>
          </w:p>
        </w:tc>
        <w:tc>
          <w:tcPr>
            <w:tcW w:w="1716" w:type="dxa"/>
            <w:vAlign w:val="center"/>
          </w:tcPr>
          <w:p w14:paraId="08F30D30">
            <w:pPr>
              <w:keepNext w:val="0"/>
              <w:spacing w:before="0" w:after="0" w:line="276" w:lineRule="auto"/>
              <w:ind w:firstLine="0"/>
              <w:jc w:val="left"/>
            </w:pPr>
            <w:r>
              <w:rPr>
                <w:rFonts w:ascii="Times New Roman" w:hAnsi="Times New Roman" w:eastAsia="宋体" w:cs="Times New Roman"/>
                <w:b w:val="0"/>
                <w:sz w:val="19"/>
              </w:rPr>
              <w:t>主终点</w:t>
            </w:r>
          </w:p>
        </w:tc>
      </w:tr>
      <w:tr w14:paraId="0AE32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7" w:type="dxa"/>
            <w:vAlign w:val="center"/>
          </w:tcPr>
          <w:p w14:paraId="41E032BA">
            <w:pPr>
              <w:keepNext w:val="0"/>
              <w:spacing w:before="0" w:after="0" w:line="276" w:lineRule="auto"/>
              <w:ind w:firstLine="0"/>
              <w:jc w:val="center"/>
            </w:pPr>
            <w:r>
              <w:rPr>
                <w:rFonts w:ascii="Times New Roman" w:hAnsi="Times New Roman" w:eastAsia="宋体" w:cs="Times New Roman"/>
                <w:b w:val="0"/>
                <w:sz w:val="19"/>
              </w:rPr>
              <w:t>成本 C</w:t>
            </w:r>
          </w:p>
        </w:tc>
        <w:tc>
          <w:tcPr>
            <w:tcW w:w="5498" w:type="dxa"/>
            <w:vAlign w:val="center"/>
          </w:tcPr>
          <w:p w14:paraId="318E7EFF">
            <w:pPr>
              <w:keepNext w:val="0"/>
              <w:spacing w:before="0" w:after="0" w:line="276" w:lineRule="auto"/>
              <w:ind w:firstLine="0"/>
              <w:jc w:val="left"/>
            </w:pPr>
            <w:r>
              <w:rPr>
                <w:rFonts w:ascii="Times New Roman" w:hAnsi="Times New Roman" w:eastAsia="宋体" w:cs="Times New Roman"/>
                <w:b w:val="0"/>
                <w:sz w:val="19"/>
              </w:rPr>
              <w:t>编辑调用、精修/重定位/分割推理、判分调用与重试</w:t>
            </w:r>
          </w:p>
        </w:tc>
        <w:tc>
          <w:tcPr>
            <w:tcW w:w="1716" w:type="dxa"/>
            <w:vAlign w:val="center"/>
          </w:tcPr>
          <w:p w14:paraId="465C4722">
            <w:pPr>
              <w:keepNext w:val="0"/>
              <w:spacing w:before="0" w:after="0" w:line="276" w:lineRule="auto"/>
              <w:ind w:firstLine="0"/>
              <w:jc w:val="left"/>
            </w:pPr>
            <w:r>
              <w:rPr>
                <w:rFonts w:ascii="Times New Roman" w:hAnsi="Times New Roman" w:eastAsia="宋体" w:cs="Times New Roman"/>
                <w:b w:val="0"/>
                <w:sz w:val="19"/>
              </w:rPr>
              <w:t>等预算比较</w:t>
            </w:r>
          </w:p>
        </w:tc>
      </w:tr>
      <w:tr w14:paraId="6DCBD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7" w:type="dxa"/>
            <w:vAlign w:val="center"/>
          </w:tcPr>
          <w:p w14:paraId="28EBF88B">
            <w:pPr>
              <w:keepNext w:val="0"/>
              <w:spacing w:before="0" w:after="0" w:line="276" w:lineRule="auto"/>
              <w:ind w:firstLine="0"/>
              <w:jc w:val="center"/>
            </w:pPr>
            <w:r>
              <w:rPr>
                <w:rFonts w:ascii="Times New Roman" w:hAnsi="Times New Roman" w:eastAsia="宋体" w:cs="Times New Roman"/>
                <w:b w:val="0"/>
                <w:sz w:val="19"/>
              </w:rPr>
              <w:t>失败</w:t>
            </w:r>
          </w:p>
        </w:tc>
        <w:tc>
          <w:tcPr>
            <w:tcW w:w="5498" w:type="dxa"/>
            <w:vAlign w:val="center"/>
          </w:tcPr>
          <w:p w14:paraId="3274C6D4">
            <w:pPr>
              <w:keepNext w:val="0"/>
              <w:spacing w:before="0" w:after="0" w:line="276" w:lineRule="auto"/>
              <w:ind w:firstLine="0"/>
              <w:jc w:val="left"/>
            </w:pPr>
            <w:r>
              <w:rPr>
                <w:rFonts w:ascii="Times New Roman" w:hAnsi="Times New Roman" w:eastAsia="宋体" w:cs="Times New Roman"/>
                <w:b w:val="0"/>
                <w:sz w:val="19"/>
              </w:rPr>
              <w:t>S、D、P 任一不满足；不可判定单独记录</w:t>
            </w:r>
          </w:p>
        </w:tc>
        <w:tc>
          <w:tcPr>
            <w:tcW w:w="1716" w:type="dxa"/>
            <w:vAlign w:val="center"/>
          </w:tcPr>
          <w:p w14:paraId="4D2172C0">
            <w:pPr>
              <w:keepNext w:val="0"/>
              <w:spacing w:before="0" w:after="0" w:line="276" w:lineRule="auto"/>
              <w:ind w:firstLine="0"/>
              <w:jc w:val="left"/>
            </w:pPr>
            <w:r>
              <w:rPr>
                <w:rFonts w:ascii="Times New Roman" w:hAnsi="Times New Roman" w:eastAsia="宋体" w:cs="Times New Roman"/>
                <w:b w:val="0"/>
                <w:sz w:val="19"/>
              </w:rPr>
              <w:t>标签与统计</w:t>
            </w:r>
          </w:p>
        </w:tc>
      </w:tr>
    </w:tbl>
    <w:p w14:paraId="3C167738">
      <w:pPr>
        <w:keepNext w:val="0"/>
        <w:spacing w:before="0" w:after="80" w:line="240" w:lineRule="auto"/>
        <w:ind w:firstLine="0"/>
        <w:jc w:val="both"/>
      </w:pPr>
    </w:p>
    <w:p w14:paraId="0D23CAE7">
      <w:pPr>
        <w:keepNext w:val="0"/>
        <w:widowControl/>
        <w:spacing w:before="0" w:after="0" w:line="360" w:lineRule="auto"/>
        <w:ind w:firstLine="480"/>
        <w:jc w:val="both"/>
      </w:pPr>
      <w:r>
        <w:rPr>
          <w:rFonts w:ascii="Times New Roman" w:hAnsi="Times New Roman" w:eastAsia="宋体" w:cs="Times New Roman"/>
          <w:b w:val="0"/>
          <w:sz w:val="24"/>
        </w:rPr>
        <w:t>区域化保持指标按参照掩码划分邻接环（0–8 px）、近区（8–32 px）、远区（&gt;32 px），邻接环使用相对干净参照的 ΔLPIPS [28]，避免“8 px 盲区”。自动指标只在与人工判断达到一致性阈值后用于扩展样本。</w:t>
      </w:r>
    </w:p>
    <w:p w14:paraId="786BF84F">
      <w:pPr>
        <w:keepNext/>
        <w:keepLines/>
        <w:spacing w:before="240" w:after="120" w:line="312" w:lineRule="auto"/>
        <w:ind w:firstLine="0"/>
        <w:jc w:val="both"/>
        <w:outlineLvl w:val="1"/>
      </w:pPr>
      <w:r>
        <w:rPr>
          <w:rFonts w:ascii="Times New Roman" w:hAnsi="Times New Roman" w:eastAsia="宋体" w:cs="Times New Roman"/>
          <w:b/>
          <w:sz w:val="28"/>
        </w:rPr>
        <w:t>4.4 基线与统计</w:t>
      </w:r>
    </w:p>
    <w:p w14:paraId="436DC034">
      <w:pPr>
        <w:keepNext/>
        <w:spacing w:before="160" w:after="80" w:line="288" w:lineRule="auto"/>
        <w:ind w:firstLine="0"/>
        <w:jc w:val="center"/>
      </w:pPr>
      <w:r>
        <w:rPr>
          <w:rFonts w:ascii="Times New Roman" w:hAnsi="Times New Roman" w:eastAsia="宋体" w:cs="Times New Roman"/>
          <w:b/>
          <w:sz w:val="20"/>
        </w:rPr>
        <w:t>表 6 基线与公平性要求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6"/>
        <w:gridCol w:w="3730"/>
        <w:gridCol w:w="3594"/>
      </w:tblGrid>
      <w:tr w14:paraId="087AA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406" w:type="dxa"/>
            <w:shd w:val="clear" w:color="auto" w:fill="DCE6F1"/>
            <w:vAlign w:val="center"/>
          </w:tcPr>
          <w:p w14:paraId="509CC867">
            <w:pPr>
              <w:spacing w:before="0" w:after="0" w:line="276" w:lineRule="auto"/>
            </w:pPr>
            <w:r>
              <w:rPr>
                <w:sz w:val="19"/>
              </w:rPr>
              <w:t>类别</w:t>
            </w:r>
          </w:p>
        </w:tc>
        <w:tc>
          <w:tcPr>
            <w:tcW w:w="3730" w:type="dxa"/>
            <w:shd w:val="clear" w:color="auto" w:fill="DCE6F1"/>
            <w:vAlign w:val="center"/>
          </w:tcPr>
          <w:p w14:paraId="3036E7B7">
            <w:pPr>
              <w:spacing w:before="0" w:after="0" w:line="276" w:lineRule="auto"/>
            </w:pPr>
            <w:r>
              <w:rPr>
                <w:sz w:val="19"/>
              </w:rPr>
              <w:t>具体基线</w:t>
            </w:r>
          </w:p>
        </w:tc>
        <w:tc>
          <w:tcPr>
            <w:tcW w:w="3594" w:type="dxa"/>
            <w:shd w:val="clear" w:color="auto" w:fill="DCE6F1"/>
            <w:vAlign w:val="center"/>
          </w:tcPr>
          <w:p w14:paraId="29DE2E7A">
            <w:pPr>
              <w:spacing w:before="0" w:after="0" w:line="276" w:lineRule="auto"/>
            </w:pPr>
            <w:r>
              <w:rPr>
                <w:sz w:val="19"/>
              </w:rPr>
              <w:t>公平性要求</w:t>
            </w:r>
          </w:p>
        </w:tc>
      </w:tr>
      <w:tr w14:paraId="2CC1A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6" w:type="dxa"/>
            <w:vAlign w:val="center"/>
          </w:tcPr>
          <w:p w14:paraId="44D2EE6D">
            <w:pPr>
              <w:spacing w:before="0" w:after="0" w:line="276" w:lineRule="auto"/>
            </w:pPr>
            <w:r>
              <w:rPr>
                <w:sz w:val="19"/>
              </w:rPr>
              <w:t>停止/固定动作</w:t>
            </w:r>
          </w:p>
        </w:tc>
        <w:tc>
          <w:tcPr>
            <w:tcW w:w="3730" w:type="dxa"/>
            <w:vAlign w:val="center"/>
          </w:tcPr>
          <w:p w14:paraId="4CB8687B">
            <w:pPr>
              <w:spacing w:before="0" w:after="0" w:line="276" w:lineRule="auto"/>
            </w:pPr>
            <w:r>
              <w:rPr>
                <w:sz w:val="19"/>
              </w:rPr>
              <w:t>始终 a0；固定收缩/扩张/精修/重定位/重采样</w:t>
            </w:r>
          </w:p>
        </w:tc>
        <w:tc>
          <w:tcPr>
            <w:tcW w:w="3594" w:type="dxa"/>
            <w:vAlign w:val="center"/>
          </w:tcPr>
          <w:p w14:paraId="3039F7C1">
            <w:pPr>
              <w:spacing w:before="0" w:after="0" w:line="276" w:lineRule="auto"/>
            </w:pPr>
            <w:r>
              <w:rPr>
                <w:sz w:val="19"/>
              </w:rPr>
              <w:t>参数在开发集选择；预算含模块开销</w:t>
            </w:r>
          </w:p>
        </w:tc>
      </w:tr>
      <w:tr w14:paraId="4CED6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6" w:type="dxa"/>
            <w:vAlign w:val="center"/>
          </w:tcPr>
          <w:p w14:paraId="6EAEC3BC">
            <w:pPr>
              <w:spacing w:before="0" w:after="0" w:line="276" w:lineRule="auto"/>
            </w:pPr>
            <w:r>
              <w:rPr>
                <w:sz w:val="19"/>
              </w:rPr>
              <w:t>简单规则</w:t>
            </w:r>
          </w:p>
        </w:tc>
        <w:tc>
          <w:tcPr>
            <w:tcW w:w="3730" w:type="dxa"/>
            <w:vAlign w:val="center"/>
          </w:tcPr>
          <w:p w14:paraId="38242BA1">
            <w:pPr>
              <w:spacing w:before="0" w:after="0" w:line="276" w:lineRule="auto"/>
            </w:pPr>
            <w:r>
              <w:rPr>
                <w:sz w:val="19"/>
              </w:rPr>
              <w:t>面积、边界不确定性、对象尺度、失败严重度路由</w:t>
            </w:r>
          </w:p>
        </w:tc>
        <w:tc>
          <w:tcPr>
            <w:tcW w:w="3594" w:type="dxa"/>
            <w:vAlign w:val="center"/>
          </w:tcPr>
          <w:p w14:paraId="2E2398F7">
            <w:pPr>
              <w:spacing w:before="0" w:after="0" w:line="276" w:lineRule="auto"/>
            </w:pPr>
            <w:r>
              <w:rPr>
                <w:sz w:val="19"/>
              </w:rPr>
              <w:t>不能只用很弱的随机策略证明方法有效</w:t>
            </w:r>
          </w:p>
        </w:tc>
      </w:tr>
      <w:tr w14:paraId="3A8AB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6" w:type="dxa"/>
            <w:vAlign w:val="center"/>
          </w:tcPr>
          <w:p w14:paraId="3AABDB48">
            <w:pPr>
              <w:spacing w:before="0" w:after="0" w:line="276" w:lineRule="auto"/>
            </w:pPr>
            <w:r>
              <w:rPr>
                <w:sz w:val="19"/>
              </w:rPr>
              <w:t>掩码精修</w:t>
            </w:r>
          </w:p>
        </w:tc>
        <w:tc>
          <w:tcPr>
            <w:tcW w:w="3730" w:type="dxa"/>
            <w:vAlign w:val="center"/>
          </w:tcPr>
          <w:p w14:paraId="3069BD11">
            <w:pPr>
              <w:spacing w:before="0" w:after="0" w:line="276" w:lineRule="auto"/>
            </w:pPr>
            <w:r>
              <w:rPr>
                <w:sz w:val="19"/>
              </w:rPr>
              <w:t>现成精修模块或明确标注的复现版本</w:t>
            </w:r>
          </w:p>
        </w:tc>
        <w:tc>
          <w:tcPr>
            <w:tcW w:w="3594" w:type="dxa"/>
            <w:vAlign w:val="center"/>
          </w:tcPr>
          <w:p w14:paraId="4197BB90">
            <w:pPr>
              <w:spacing w:before="0" w:after="0" w:line="276" w:lineRule="auto"/>
            </w:pPr>
            <w:r>
              <w:rPr>
                <w:sz w:val="19"/>
              </w:rPr>
              <w:t>同一编辑器与指令；区分原实现与替代实现</w:t>
            </w:r>
          </w:p>
        </w:tc>
      </w:tr>
      <w:tr w14:paraId="25B13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6" w:type="dxa"/>
            <w:vAlign w:val="center"/>
          </w:tcPr>
          <w:p w14:paraId="42B8ED8A">
            <w:pPr>
              <w:spacing w:before="0" w:after="0" w:line="276" w:lineRule="auto"/>
            </w:pPr>
            <w:r>
              <w:rPr>
                <w:sz w:val="19"/>
              </w:rPr>
              <w:t>候选选优</w:t>
            </w:r>
          </w:p>
        </w:tc>
        <w:tc>
          <w:tcPr>
            <w:tcW w:w="3730" w:type="dxa"/>
            <w:vAlign w:val="center"/>
          </w:tcPr>
          <w:p w14:paraId="0A4D2827">
            <w:pPr>
              <w:spacing w:before="0" w:after="0" w:line="276" w:lineRule="auto"/>
            </w:pPr>
            <w:r>
              <w:rPr>
                <w:sz w:val="19"/>
              </w:rPr>
              <w:t>同预算多种子/多动作生成后用判分器选</w:t>
            </w:r>
          </w:p>
        </w:tc>
        <w:tc>
          <w:tcPr>
            <w:tcW w:w="3594" w:type="dxa"/>
            <w:vAlign w:val="center"/>
          </w:tcPr>
          <w:p w14:paraId="2F9F6275">
            <w:pPr>
              <w:spacing w:before="0" w:after="0" w:line="276" w:lineRule="auto"/>
            </w:pPr>
            <w:r>
              <w:rPr>
                <w:sz w:val="19"/>
              </w:rPr>
              <w:t>所有候选与判分调用都计费；不当作编辑前预测</w:t>
            </w:r>
          </w:p>
        </w:tc>
      </w:tr>
      <w:tr w14:paraId="0CBE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06" w:type="dxa"/>
            <w:vAlign w:val="center"/>
          </w:tcPr>
          <w:p w14:paraId="710537CE">
            <w:pPr>
              <w:spacing w:before="0" w:after="0" w:line="276" w:lineRule="auto"/>
            </w:pPr>
            <w:r>
              <w:rPr>
                <w:sz w:val="19"/>
              </w:rPr>
              <w:t>oracle 上界</w:t>
            </w:r>
          </w:p>
        </w:tc>
        <w:tc>
          <w:tcPr>
            <w:tcW w:w="3730" w:type="dxa"/>
            <w:vAlign w:val="center"/>
          </w:tcPr>
          <w:p w14:paraId="0124E0E5">
            <w:pPr>
              <w:spacing w:before="0" w:after="0" w:line="276" w:lineRule="auto"/>
            </w:pPr>
            <w:r>
              <w:rPr>
                <w:sz w:val="19"/>
              </w:rPr>
              <w:t>已知各动作结果的动作上界</w:t>
            </w:r>
          </w:p>
        </w:tc>
        <w:tc>
          <w:tcPr>
            <w:tcW w:w="3594" w:type="dxa"/>
            <w:vAlign w:val="center"/>
          </w:tcPr>
          <w:p w14:paraId="028A0DE6">
            <w:pPr>
              <w:spacing w:before="0" w:after="0" w:line="276" w:lineRule="auto"/>
            </w:pPr>
            <w:r>
              <w:rPr>
                <w:sz w:val="19"/>
              </w:rPr>
              <w:t>只供诊断，不能当作可部署方法</w:t>
            </w:r>
          </w:p>
        </w:tc>
      </w:tr>
    </w:tbl>
    <w:p w14:paraId="0C8B8F0E">
      <w:pPr>
        <w:keepNext w:val="0"/>
        <w:spacing w:before="0" w:after="80" w:line="240" w:lineRule="auto"/>
        <w:ind w:firstLine="0"/>
        <w:jc w:val="both"/>
      </w:pPr>
    </w:p>
    <w:p w14:paraId="1FCE1612">
      <w:pPr>
        <w:keepNext w:val="0"/>
        <w:widowControl/>
        <w:spacing w:before="0" w:after="0" w:line="360" w:lineRule="auto"/>
        <w:ind w:firstLine="480"/>
        <w:jc w:val="both"/>
      </w:pPr>
      <w:r>
        <w:rPr>
          <w:rFonts w:ascii="Times New Roman" w:hAnsi="Times New Roman" w:eastAsia="宋体" w:cs="Times New Roman"/>
          <w:b w:val="0"/>
          <w:sz w:val="24"/>
        </w:rPr>
        <w:t>统计：以源图像为聚类单位做配对 bootstrap（2,000 次），报告 95% CI；主检验唯一：相同 Γ 下策略 vs max(最强固定动作, best-of-k)；RQ1 的 8 个分组与消融分别预先分族，族内 Holm 校正 [30]；样本量在启动后用开发集方差做功效模拟，若不足以分辨 Δ≥5pp，则增样或缩小主张。</w:t>
      </w:r>
    </w:p>
    <w:p w14:paraId="1D616BC4">
      <w:pPr>
        <w:keepNext/>
        <w:keepLines/>
        <w:spacing w:before="240" w:after="120" w:line="312" w:lineRule="auto"/>
        <w:ind w:firstLine="0"/>
        <w:jc w:val="both"/>
        <w:outlineLvl w:val="1"/>
      </w:pPr>
      <w:r>
        <w:rPr>
          <w:rFonts w:ascii="Times New Roman" w:hAnsi="Times New Roman" w:eastAsia="宋体" w:cs="Times New Roman"/>
          <w:b/>
          <w:sz w:val="28"/>
        </w:rPr>
        <w:t>4.5 人工评价</w:t>
      </w:r>
    </w:p>
    <w:p w14:paraId="21ECAE68">
      <w:pPr>
        <w:keepNext w:val="0"/>
        <w:widowControl/>
        <w:spacing w:before="0" w:after="0" w:line="360" w:lineRule="auto"/>
        <w:ind w:firstLine="480"/>
        <w:jc w:val="both"/>
      </w:pPr>
      <w:r>
        <w:rPr>
          <w:rFonts w:ascii="Times New Roman" w:hAnsi="Times New Roman" w:eastAsia="宋体" w:cs="Times New Roman"/>
          <w:b w:val="0"/>
          <w:sz w:val="24"/>
        </w:rPr>
        <w:t>封存测试的人工评分单元为"任务 × 主检验涉及的互异输出"。策略、最强固定动作与 best-of-k 在同一任务上常选中同一结果，去重后并排匿名展示，逐输出给出 S/D/P。人工盲评覆盖 A 的全部 560 个测试任务，以及从 B 的 560 个测试任务中按操作分层随机抽取的 160 个任务（B 其余任务只用校准后的自动判分，并在报告中注明），共 720 个评分单元，每单元由 2 名组外评分者独立评分。每单元互异输出数 m∈[1,3]（策略、最强固定动作与 best-of-k 去重后），测试集评分为 1,440m 次（m=1 为下限）；开发校准另用 300 例（2 人独立标注，约 600 次）；合计约 2,040–4,920 次评分，按每次 1–2 分钟约 34–164 人时，m 在启动实验实测后修订，另计仲裁（按分歧率 20% 约 8 小时）、手册与培训 5–10 小时。开发集校准标注由三人轮换完成（非盲，仅用于制定规则与校准），封存测试主结论全部由组外评分者双盲完成。</w:t>
      </w:r>
    </w:p>
    <w:p w14:paraId="0940C543">
      <w:pPr>
        <w:keepNext/>
        <w:keepLines/>
        <w:spacing w:before="240" w:after="120" w:line="312" w:lineRule="auto"/>
        <w:ind w:firstLine="0"/>
        <w:jc w:val="both"/>
        <w:outlineLvl w:val="1"/>
      </w:pPr>
      <w:r>
        <w:rPr>
          <w:rFonts w:ascii="Times New Roman" w:hAnsi="Times New Roman" w:eastAsia="宋体" w:cs="Times New Roman"/>
          <w:b/>
          <w:sz w:val="28"/>
        </w:rPr>
        <w:t>4.6 启动实验与验证计划</w:t>
      </w:r>
    </w:p>
    <w:p w14:paraId="63F67982">
      <w:pPr>
        <w:keepNext w:val="0"/>
        <w:widowControl/>
        <w:spacing w:before="0" w:after="0" w:line="360" w:lineRule="auto"/>
        <w:ind w:firstLine="480"/>
        <w:jc w:val="both"/>
      </w:pPr>
      <w:r>
        <w:rPr>
          <w:rFonts w:ascii="Times New Roman" w:hAnsi="Times New Roman" w:eastAsia="宋体" w:cs="Times New Roman"/>
          <w:b w:val="0"/>
          <w:sz w:val="24"/>
        </w:rPr>
        <w:t>启动实验用开发集 24 张图像、两类操作（48 任务），执行参照、预测、收缩、扩张四种掩码，各 3 个种子、两个编辑器，共 1,152 次编辑。启动实验只覆盖四种掩码，精修、重定位、重采样在主实验阶段补充检验。目的不是证明方法有效，而是回答四个问题：</w:t>
      </w:r>
    </w:p>
    <w:p w14:paraId="755A6EE7">
      <w:pPr>
        <w:keepNext w:val="0"/>
        <w:widowControl/>
        <w:spacing w:before="0" w:after="0" w:line="360" w:lineRule="auto"/>
        <w:ind w:left="460" w:hanging="460"/>
        <w:jc w:val="both"/>
      </w:pPr>
      <w:r>
        <w:rPr>
          <w:rFonts w:ascii="Times New Roman" w:hAnsi="Times New Roman" w:eastAsia="宋体" w:cs="Times New Roman"/>
          <w:b w:val="0"/>
          <w:sz w:val="24"/>
        </w:rPr>
        <w:t xml:space="preserve">1. </w:t>
      </w:r>
      <w:r>
        <w:rPr>
          <w:rFonts w:ascii="Times New Roman" w:hAnsi="Times New Roman" w:eastAsia="宋体" w:cs="Times New Roman"/>
          <w:b/>
          <w:sz w:val="24"/>
        </w:rPr>
        <w:t>评价是否可执行</w:t>
      </w:r>
      <w:r>
        <w:rPr>
          <w:rFonts w:ascii="Times New Roman" w:hAnsi="Times New Roman" w:eastAsia="宋体" w:cs="Times New Roman"/>
          <w:b w:val="0"/>
          <w:sz w:val="24"/>
        </w:rPr>
        <w:t>：评分者能否区分“完成/破坏/不可判断”，人工一致性是否达到试点阈值（κ≥0.60，报告 95% CI）；</w:t>
      </w:r>
    </w:p>
    <w:p w14:paraId="7AD9F198">
      <w:pPr>
        <w:keepNext w:val="0"/>
        <w:widowControl/>
        <w:spacing w:before="0" w:after="0" w:line="360" w:lineRule="auto"/>
        <w:ind w:left="460" w:hanging="460"/>
        <w:jc w:val="both"/>
      </w:pPr>
      <w:r>
        <w:rPr>
          <w:rFonts w:ascii="Times New Roman" w:hAnsi="Times New Roman" w:eastAsia="宋体" w:cs="Times New Roman"/>
          <w:b w:val="0"/>
          <w:sz w:val="24"/>
        </w:rPr>
        <w:t xml:space="preserve">2. </w:t>
      </w:r>
      <w:r>
        <w:rPr>
          <w:rFonts w:ascii="Times New Roman" w:hAnsi="Times New Roman" w:eastAsia="宋体" w:cs="Times New Roman"/>
          <w:b/>
          <w:sz w:val="24"/>
        </w:rPr>
        <w:t>动作是否有效</w:t>
      </w:r>
      <w:r>
        <w:rPr>
          <w:rFonts w:ascii="Times New Roman" w:hAnsi="Times New Roman" w:eastAsia="宋体" w:cs="Times New Roman"/>
          <w:b w:val="0"/>
          <w:sz w:val="24"/>
        </w:rPr>
        <w:t>：至少一类可部署动作（收缩或扩张）是否在预注册任务组产生可重复改善；</w:t>
      </w:r>
    </w:p>
    <w:p w14:paraId="79461766">
      <w:pPr>
        <w:keepNext w:val="0"/>
        <w:widowControl/>
        <w:spacing w:before="0" w:after="0" w:line="360" w:lineRule="auto"/>
        <w:ind w:left="460" w:hanging="460"/>
        <w:jc w:val="both"/>
      </w:pPr>
      <w:r>
        <w:rPr>
          <w:rFonts w:ascii="Times New Roman" w:hAnsi="Times New Roman" w:eastAsia="宋体" w:cs="Times New Roman"/>
          <w:b w:val="0"/>
          <w:sz w:val="24"/>
        </w:rPr>
        <w:t xml:space="preserve">3. </w:t>
      </w:r>
      <w:r>
        <w:rPr>
          <w:rFonts w:ascii="Times New Roman" w:hAnsi="Times New Roman" w:eastAsia="宋体" w:cs="Times New Roman"/>
          <w:b/>
          <w:sz w:val="24"/>
        </w:rPr>
        <w:t>是否存在改进余量</w:t>
      </w:r>
      <w:r>
        <w:rPr>
          <w:rFonts w:ascii="Times New Roman" w:hAnsi="Times New Roman" w:eastAsia="宋体" w:cs="Times New Roman"/>
          <w:b w:val="0"/>
          <w:sz w:val="24"/>
        </w:rPr>
        <w:t>：oracle 相对“保持”/最强固定动作的差距是否大于种子噪声；</w:t>
      </w:r>
    </w:p>
    <w:p w14:paraId="70FD6857">
      <w:pPr>
        <w:keepNext w:val="0"/>
        <w:widowControl/>
        <w:spacing w:before="0" w:after="0" w:line="360" w:lineRule="auto"/>
        <w:ind w:left="460" w:hanging="460"/>
        <w:jc w:val="both"/>
      </w:pPr>
      <w:r>
        <w:rPr>
          <w:rFonts w:ascii="Times New Roman" w:hAnsi="Times New Roman" w:eastAsia="宋体" w:cs="Times New Roman"/>
          <w:b w:val="0"/>
          <w:sz w:val="24"/>
        </w:rPr>
        <w:t xml:space="preserve">4. </w:t>
      </w:r>
      <w:r>
        <w:rPr>
          <w:rFonts w:ascii="Times New Roman" w:hAnsi="Times New Roman" w:eastAsia="宋体" w:cs="Times New Roman"/>
          <w:b/>
          <w:sz w:val="24"/>
        </w:rPr>
        <w:t>资源是否可行</w:t>
      </w:r>
      <w:r>
        <w:rPr>
          <w:rFonts w:ascii="Times New Roman" w:hAnsi="Times New Roman" w:eastAsia="宋体" w:cs="Times New Roman"/>
          <w:b w:val="0"/>
          <w:sz w:val="24"/>
        </w:rPr>
        <w:t>：单次耗时、峰值显存、失败率与实际费用。</w:t>
      </w:r>
    </w:p>
    <w:p w14:paraId="2EF47A7D">
      <w:pPr>
        <w:keepNext w:val="0"/>
        <w:widowControl/>
        <w:spacing w:before="0" w:after="0" w:line="360" w:lineRule="auto"/>
        <w:ind w:firstLine="480"/>
        <w:jc w:val="both"/>
      </w:pPr>
      <w:r>
        <w:rPr>
          <w:rFonts w:ascii="Times New Roman" w:hAnsi="Times New Roman" w:eastAsia="宋体" w:cs="Times New Roman"/>
          <w:b w:val="0"/>
          <w:sz w:val="24"/>
        </w:rPr>
        <w:t>两条编辑器目前均未跑通；计划先完成环境与接口复现，再启动实验，将其作为第一阶段的核心验证；第一阶段结束时以四个问题为判据，决定进入主实验、修正工具或降级。若编辑器未能及时跑通，启动实验顺延并在第一阶段结束前完成半规模试跑。任一条不达标，先修正任务/工具/协议，不进入主实验。</w:t>
      </w:r>
    </w:p>
    <w:p w14:paraId="58EF0829">
      <w:pPr>
        <w:keepNext/>
        <w:keepLines/>
        <w:spacing w:before="360" w:after="160" w:line="312" w:lineRule="auto"/>
        <w:ind w:firstLine="0"/>
        <w:jc w:val="left"/>
        <w:outlineLvl w:val="0"/>
      </w:pPr>
      <w:r>
        <w:rPr>
          <w:rFonts w:ascii="Times New Roman" w:hAnsi="Times New Roman" w:eastAsia="宋体" w:cs="Times New Roman"/>
          <w:b/>
          <w:sz w:val="32"/>
        </w:rPr>
        <w:t>5 预期结果与分析计划</w:t>
      </w:r>
    </w:p>
    <w:p w14:paraId="24D7EBA1">
      <w:pPr>
        <w:keepNext/>
        <w:keepLines/>
        <w:spacing w:before="240" w:after="120" w:line="312" w:lineRule="auto"/>
        <w:ind w:firstLine="0"/>
        <w:jc w:val="both"/>
        <w:outlineLvl w:val="1"/>
      </w:pPr>
      <w:r>
        <w:rPr>
          <w:rFonts w:ascii="Times New Roman" w:hAnsi="Times New Roman" w:eastAsia="宋体" w:cs="Times New Roman"/>
          <w:b/>
          <w:sz w:val="28"/>
        </w:rPr>
        <w:t>5.1 若假设成立</w:t>
      </w:r>
    </w:p>
    <w:p w14:paraId="613778F2">
      <w:pPr>
        <w:keepNext w:val="0"/>
        <w:widowControl/>
        <w:spacing w:before="0" w:after="0" w:line="360" w:lineRule="auto"/>
        <w:ind w:left="440" w:hanging="240"/>
        <w:jc w:val="both"/>
      </w:pPr>
      <w:r>
        <w:rPr>
          <w:rFonts w:ascii="Times New Roman" w:hAnsi="Times New Roman" w:eastAsia="宋体" w:cs="Times New Roman"/>
          <w:b w:val="0"/>
          <w:sz w:val="24"/>
        </w:rPr>
        <w:t>• RQ1 成立：动作效果存在超出种子噪声的异质性，oracle 有可观改进余量；将报告动作类型/操作类型/误差类型的分层效应，并给出机制解释（例如移除更依赖边界与阴影覆盖，改色更依赖对象边界保持）。</w:t>
      </w:r>
    </w:p>
    <w:p w14:paraId="5ED1736F">
      <w:pPr>
        <w:keepNext w:val="0"/>
        <w:widowControl/>
        <w:spacing w:before="0" w:after="0" w:line="360" w:lineRule="auto"/>
        <w:ind w:left="440" w:hanging="240"/>
        <w:jc w:val="both"/>
      </w:pPr>
      <w:r>
        <w:rPr>
          <w:rFonts w:ascii="Times New Roman" w:hAnsi="Times New Roman" w:eastAsia="宋体" w:cs="Times New Roman"/>
          <w:b w:val="0"/>
          <w:sz w:val="24"/>
        </w:rPr>
        <w:t>• RQ2 成立：执行前特征能预测动作价值；等预算策略相对最强基线有正收益；将报告质量—成本曲线、校准与失败案例，并分析收益来自“选对动作”还是“正确保持”。 同时按 PreActIR [22] 的口径报告同质量下的调用/成本节省；若质量提升不显著但成本显著下降，作为次要正面结果。</w:t>
      </w:r>
    </w:p>
    <w:p w14:paraId="67D1599E">
      <w:pPr>
        <w:keepNext w:val="0"/>
        <w:widowControl/>
        <w:spacing w:before="0" w:after="0" w:line="360" w:lineRule="auto"/>
        <w:ind w:left="440" w:hanging="240"/>
        <w:jc w:val="both"/>
      </w:pPr>
      <w:r>
        <w:rPr>
          <w:rFonts w:ascii="Times New Roman" w:hAnsi="Times New Roman" w:eastAsia="宋体" w:cs="Times New Roman"/>
          <w:b w:val="0"/>
          <w:sz w:val="24"/>
        </w:rPr>
        <w:t>• RQ3 成立：人工校准后的评价可靠；将报告 κ、拒答率、覆盖率，以及校准/拒答对结论的影响。</w:t>
      </w:r>
    </w:p>
    <w:p w14:paraId="3D1BC35A">
      <w:pPr>
        <w:keepNext/>
        <w:keepLines/>
        <w:spacing w:before="240" w:after="120" w:line="312" w:lineRule="auto"/>
        <w:ind w:firstLine="0"/>
        <w:jc w:val="both"/>
        <w:outlineLvl w:val="1"/>
      </w:pPr>
      <w:r>
        <w:rPr>
          <w:rFonts w:ascii="Times New Roman" w:hAnsi="Times New Roman" w:eastAsia="宋体" w:cs="Times New Roman"/>
          <w:b/>
          <w:sz w:val="28"/>
        </w:rPr>
        <w:t>5.2 若假设不成立</w:t>
      </w:r>
    </w:p>
    <w:p w14:paraId="4B9C350C">
      <w:pPr>
        <w:keepNext w:val="0"/>
        <w:widowControl/>
        <w:spacing w:before="0" w:after="0" w:line="360" w:lineRule="auto"/>
        <w:ind w:firstLine="480"/>
        <w:jc w:val="both"/>
      </w:pPr>
      <w:r>
        <w:rPr>
          <w:rFonts w:ascii="Times New Roman" w:hAnsi="Times New Roman" w:eastAsia="宋体" w:cs="Times New Roman"/>
          <w:b w:val="0"/>
          <w:sz w:val="24"/>
        </w:rPr>
        <w:t>各研究问题不成立时的结论与处理见表 2 末列。三者存在依赖关系：RQ3 不成立时，RQ1/RQ2 的结论只能基于人工评分子集报告；RQ1 不成立时，RQ2 不再进行主检验，只报告预测器的诊断性指标。</w:t>
      </w:r>
    </w:p>
    <w:p w14:paraId="446A8752">
      <w:pPr>
        <w:keepNext w:val="0"/>
        <w:widowControl/>
        <w:spacing w:before="0" w:after="0" w:line="360" w:lineRule="auto"/>
        <w:ind w:firstLine="480"/>
        <w:jc w:val="both"/>
      </w:pPr>
      <w:r>
        <w:rPr>
          <w:rFonts w:ascii="Times New Roman" w:hAnsi="Times New Roman" w:eastAsia="宋体" w:cs="Times New Roman"/>
          <w:b w:val="0"/>
          <w:sz w:val="24"/>
        </w:rPr>
        <w:t>无论哪条不成立，动作接口、反事实动作表、评价协议与复现代码仍是可交付成果；负结果本身作为“在何种数据、编辑器与预算下动作选择无收益”的实证证据报告。</w:t>
      </w:r>
    </w:p>
    <w:p w14:paraId="0F55DC86">
      <w:pPr>
        <w:keepNext/>
        <w:keepLines/>
        <w:spacing w:before="240" w:after="120" w:line="312" w:lineRule="auto"/>
        <w:ind w:firstLine="0"/>
        <w:jc w:val="both"/>
        <w:outlineLvl w:val="1"/>
      </w:pPr>
      <w:r>
        <w:rPr>
          <w:rFonts w:ascii="Times New Roman" w:hAnsi="Times New Roman" w:eastAsia="宋体" w:cs="Times New Roman"/>
          <w:b/>
          <w:sz w:val="28"/>
        </w:rPr>
        <w:t>5.3 分析计划</w:t>
      </w:r>
    </w:p>
    <w:p w14:paraId="1ADB215B">
      <w:pPr>
        <w:keepNext w:val="0"/>
        <w:widowControl/>
        <w:spacing w:before="0" w:after="0" w:line="360" w:lineRule="auto"/>
        <w:ind w:left="460" w:hanging="460"/>
        <w:jc w:val="both"/>
      </w:pPr>
      <w:r>
        <w:rPr>
          <w:rFonts w:ascii="Times New Roman" w:hAnsi="Times New Roman" w:eastAsia="宋体" w:cs="Times New Roman"/>
          <w:b w:val="0"/>
          <w:sz w:val="24"/>
        </w:rPr>
        <w:t xml:space="preserve">1. </w:t>
      </w:r>
      <w:r>
        <w:rPr>
          <w:rFonts w:ascii="Times New Roman" w:hAnsi="Times New Roman" w:eastAsia="宋体" w:cs="Times New Roman"/>
          <w:b/>
          <w:sz w:val="24"/>
        </w:rPr>
        <w:t>剂量—反应</w:t>
      </w:r>
      <w:r>
        <w:rPr>
          <w:rFonts w:ascii="Times New Roman" w:hAnsi="Times New Roman" w:eastAsia="宋体" w:cs="Times New Roman"/>
          <w:b w:val="0"/>
          <w:sz w:val="24"/>
        </w:rPr>
        <w:t>：成功率随误差强度（IoU/边界位移/质心偏移）的变化曲线，按操作与误差类型分面；</w:t>
      </w:r>
    </w:p>
    <w:p w14:paraId="15288DA2">
      <w:pPr>
        <w:keepNext w:val="0"/>
        <w:widowControl/>
        <w:spacing w:before="0" w:after="0" w:line="360" w:lineRule="auto"/>
        <w:ind w:left="460" w:hanging="460"/>
        <w:jc w:val="both"/>
      </w:pPr>
      <w:r>
        <w:rPr>
          <w:rFonts w:ascii="Times New Roman" w:hAnsi="Times New Roman" w:eastAsia="宋体" w:cs="Times New Roman"/>
          <w:b w:val="0"/>
          <w:sz w:val="24"/>
        </w:rPr>
        <w:t xml:space="preserve">2. </w:t>
      </w:r>
      <w:r>
        <w:rPr>
          <w:rFonts w:ascii="Times New Roman" w:hAnsi="Times New Roman" w:eastAsia="宋体" w:cs="Times New Roman"/>
          <w:b/>
          <w:sz w:val="24"/>
        </w:rPr>
        <w:t>动作排序</w:t>
      </w:r>
      <w:r>
        <w:rPr>
          <w:rFonts w:ascii="Times New Roman" w:hAnsi="Times New Roman" w:eastAsia="宋体" w:cs="Times New Roman"/>
          <w:b w:val="0"/>
          <w:sz w:val="24"/>
        </w:rPr>
        <w:t>：各动作的平均改善、损伤与成本；动作级 oracle 与纯重采样 oracle 的差距；</w:t>
      </w:r>
    </w:p>
    <w:p w14:paraId="6EDD0262">
      <w:pPr>
        <w:keepNext w:val="0"/>
        <w:widowControl/>
        <w:spacing w:before="0" w:after="0" w:line="360" w:lineRule="auto"/>
        <w:ind w:left="460" w:hanging="460"/>
        <w:jc w:val="both"/>
      </w:pPr>
      <w:r>
        <w:rPr>
          <w:rFonts w:ascii="Times New Roman" w:hAnsi="Times New Roman" w:eastAsia="宋体" w:cs="Times New Roman"/>
          <w:b w:val="0"/>
          <w:sz w:val="24"/>
        </w:rPr>
        <w:t xml:space="preserve">3. </w:t>
      </w:r>
      <w:r>
        <w:rPr>
          <w:rFonts w:ascii="Times New Roman" w:hAnsi="Times New Roman" w:eastAsia="宋体" w:cs="Times New Roman"/>
          <w:b/>
          <w:sz w:val="24"/>
        </w:rPr>
        <w:t>预测—决策一致性</w:t>
      </w:r>
      <w:r>
        <w:rPr>
          <w:rFonts w:ascii="Times New Roman" w:hAnsi="Times New Roman" w:eastAsia="宋体" w:cs="Times New Roman"/>
          <w:b w:val="0"/>
          <w:sz w:val="24"/>
        </w:rPr>
        <w:t>：预测收益与实际收益的校准；预测高但决策无收益的样本分析；</w:t>
      </w:r>
    </w:p>
    <w:p w14:paraId="29D6CE74">
      <w:pPr>
        <w:keepNext w:val="0"/>
        <w:widowControl/>
        <w:spacing w:before="0" w:after="0" w:line="360" w:lineRule="auto"/>
        <w:ind w:left="460" w:hanging="460"/>
        <w:jc w:val="both"/>
      </w:pPr>
      <w:r>
        <w:rPr>
          <w:rFonts w:ascii="Times New Roman" w:hAnsi="Times New Roman" w:eastAsia="宋体" w:cs="Times New Roman"/>
          <w:b w:val="0"/>
          <w:sz w:val="24"/>
        </w:rPr>
        <w:t xml:space="preserve">4. </w:t>
      </w:r>
      <w:r>
        <w:rPr>
          <w:rFonts w:ascii="Times New Roman" w:hAnsi="Times New Roman" w:eastAsia="宋体" w:cs="Times New Roman"/>
          <w:b/>
          <w:sz w:val="24"/>
        </w:rPr>
        <w:t>跨编辑器</w:t>
      </w:r>
      <w:r>
        <w:rPr>
          <w:rFonts w:ascii="Times New Roman" w:hAnsi="Times New Roman" w:eastAsia="宋体" w:cs="Times New Roman"/>
          <w:b w:val="0"/>
          <w:sz w:val="24"/>
        </w:rPr>
        <w:t>：E_B 零样本迁移的方向与排序一致性；</w:t>
      </w:r>
    </w:p>
    <w:p w14:paraId="51965853">
      <w:pPr>
        <w:keepNext w:val="0"/>
        <w:widowControl/>
        <w:spacing w:before="0" w:after="0" w:line="360" w:lineRule="auto"/>
        <w:ind w:left="460" w:hanging="460"/>
        <w:jc w:val="both"/>
      </w:pPr>
      <w:r>
        <w:rPr>
          <w:rFonts w:ascii="Times New Roman" w:hAnsi="Times New Roman" w:eastAsia="宋体" w:cs="Times New Roman"/>
          <w:b w:val="0"/>
          <w:sz w:val="24"/>
        </w:rPr>
        <w:t xml:space="preserve">5. </w:t>
      </w:r>
      <w:r>
        <w:rPr>
          <w:rFonts w:ascii="Times New Roman" w:hAnsi="Times New Roman" w:eastAsia="宋体" w:cs="Times New Roman"/>
          <w:b/>
          <w:sz w:val="24"/>
        </w:rPr>
        <w:t>失败类型</w:t>
      </w:r>
      <w:r>
        <w:rPr>
          <w:rFonts w:ascii="Times New Roman" w:hAnsi="Times New Roman" w:eastAsia="宋体" w:cs="Times New Roman"/>
          <w:b w:val="0"/>
          <w:sz w:val="24"/>
        </w:rPr>
        <w:t>：按“改不动/改不全/过改溢出/阴影与反光残留/形变/错目标”等分类统计，给出代表案例与反例。</w:t>
      </w:r>
    </w:p>
    <w:p w14:paraId="312D832A">
      <w:pPr>
        <w:keepNext/>
        <w:keepLines/>
        <w:spacing w:before="360" w:after="160" w:line="312" w:lineRule="auto"/>
        <w:ind w:firstLine="0"/>
        <w:jc w:val="left"/>
        <w:outlineLvl w:val="0"/>
      </w:pPr>
      <w:r>
        <w:rPr>
          <w:rFonts w:ascii="Times New Roman" w:hAnsi="Times New Roman" w:eastAsia="宋体" w:cs="Times New Roman"/>
          <w:b/>
          <w:sz w:val="32"/>
        </w:rPr>
        <w:t>6 研究计划与作者分工</w:t>
      </w:r>
    </w:p>
    <w:p w14:paraId="45E6B4DF">
      <w:pPr>
        <w:keepNext/>
        <w:keepLines/>
        <w:spacing w:before="240" w:after="120" w:line="312" w:lineRule="auto"/>
        <w:ind w:firstLine="0"/>
        <w:jc w:val="both"/>
        <w:outlineLvl w:val="1"/>
      </w:pPr>
      <w:r>
        <w:rPr>
          <w:rFonts w:ascii="Times New Roman" w:hAnsi="Times New Roman" w:eastAsia="宋体" w:cs="Times New Roman"/>
          <w:b/>
          <w:sz w:val="28"/>
        </w:rPr>
        <w:t>6.1 进度安排</w:t>
      </w:r>
    </w:p>
    <w:p w14:paraId="039999F8">
      <w:pPr>
        <w:keepNext/>
        <w:spacing w:before="160" w:after="80" w:line="288" w:lineRule="auto"/>
        <w:ind w:firstLine="0"/>
        <w:jc w:val="center"/>
      </w:pPr>
      <w:r>
        <w:rPr>
          <w:rFonts w:ascii="Times New Roman" w:hAnsi="Times New Roman" w:eastAsia="宋体" w:cs="Times New Roman"/>
          <w:b/>
          <w:sz w:val="20"/>
        </w:rPr>
        <w:t>表 7 研究计划（按阶段）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4"/>
        <w:gridCol w:w="3053"/>
        <w:gridCol w:w="3053"/>
      </w:tblGrid>
      <w:tr w14:paraId="5E134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64" w:type="dxa"/>
            <w:shd w:val="clear" w:color="auto" w:fill="DCE6F1"/>
            <w:vAlign w:val="center"/>
          </w:tcPr>
          <w:p w14:paraId="67431546">
            <w:pPr>
              <w:keepNext w:val="0"/>
              <w:spacing w:before="0" w:after="0" w:line="276" w:lineRule="auto"/>
              <w:ind w:firstLine="0"/>
              <w:jc w:val="center"/>
            </w:pPr>
            <w:r>
              <w:rPr>
                <w:rFonts w:ascii="Times New Roman" w:hAnsi="Times New Roman" w:eastAsia="宋体" w:cs="Times New Roman"/>
                <w:b/>
                <w:sz w:val="19"/>
              </w:rPr>
              <w:t>阶段</w:t>
            </w:r>
          </w:p>
        </w:tc>
        <w:tc>
          <w:tcPr>
            <w:tcW w:w="3053" w:type="dxa"/>
            <w:shd w:val="clear" w:color="auto" w:fill="DCE6F1"/>
            <w:vAlign w:val="center"/>
          </w:tcPr>
          <w:p w14:paraId="2CE9B8D2">
            <w:pPr>
              <w:keepNext w:val="0"/>
              <w:spacing w:before="0" w:after="0" w:line="276" w:lineRule="auto"/>
              <w:ind w:firstLine="0"/>
              <w:jc w:val="center"/>
            </w:pPr>
            <w:r>
              <w:rPr>
                <w:rFonts w:ascii="Times New Roman" w:hAnsi="Times New Roman" w:eastAsia="宋体" w:cs="Times New Roman"/>
                <w:b/>
                <w:sz w:val="19"/>
              </w:rPr>
              <w:t>主要任务</w:t>
            </w:r>
          </w:p>
        </w:tc>
        <w:tc>
          <w:tcPr>
            <w:tcW w:w="3053" w:type="dxa"/>
            <w:shd w:val="clear" w:color="auto" w:fill="DCE6F1"/>
            <w:vAlign w:val="center"/>
          </w:tcPr>
          <w:p w14:paraId="7AC5D5A4">
            <w:pPr>
              <w:keepNext w:val="0"/>
              <w:spacing w:before="0" w:after="0" w:line="276" w:lineRule="auto"/>
              <w:ind w:firstLine="0"/>
              <w:jc w:val="center"/>
            </w:pPr>
            <w:r>
              <w:rPr>
                <w:rFonts w:ascii="Times New Roman" w:hAnsi="Times New Roman" w:eastAsia="宋体" w:cs="Times New Roman"/>
                <w:b/>
                <w:sz w:val="19"/>
              </w:rPr>
              <w:t>里程碑</w:t>
            </w:r>
          </w:p>
        </w:tc>
      </w:tr>
      <w:tr w14:paraId="3855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4" w:type="dxa"/>
            <w:vAlign w:val="center"/>
          </w:tcPr>
          <w:p w14:paraId="03172023">
            <w:pPr>
              <w:keepNext w:val="0"/>
              <w:spacing w:before="0" w:after="0" w:line="276" w:lineRule="auto"/>
              <w:ind w:firstLine="0"/>
              <w:jc w:val="center"/>
            </w:pPr>
            <w:r>
              <w:rPr>
                <w:rFonts w:ascii="Times New Roman" w:hAnsi="Times New Roman" w:eastAsia="宋体" w:cs="Times New Roman"/>
                <w:b w:val="0"/>
                <w:sz w:val="19"/>
              </w:rPr>
              <w:t>阶段一：试跑与前提检验</w:t>
            </w:r>
          </w:p>
        </w:tc>
        <w:tc>
          <w:tcPr>
            <w:tcW w:w="3053" w:type="dxa"/>
            <w:vAlign w:val="center"/>
          </w:tcPr>
          <w:p w14:paraId="12A29547">
            <w:pPr>
              <w:keepNext w:val="0"/>
              <w:spacing w:before="0" w:after="0" w:line="276" w:lineRule="auto"/>
              <w:ind w:firstLine="0"/>
              <w:jc w:val="left"/>
            </w:pPr>
            <w:r>
              <w:rPr>
                <w:rFonts w:ascii="Times New Roman" w:hAnsi="Times New Roman" w:eastAsia="宋体" w:cs="Times New Roman"/>
                <w:b w:val="0"/>
                <w:sz w:val="19"/>
              </w:rPr>
              <w:t>核验编辑器/许可/数据；实现 6 动作；完成 24 图启动实验与评分细则；实现基线</w:t>
            </w:r>
          </w:p>
        </w:tc>
        <w:tc>
          <w:tcPr>
            <w:tcW w:w="3053" w:type="dxa"/>
            <w:vAlign w:val="center"/>
          </w:tcPr>
          <w:p w14:paraId="3E11E867">
            <w:pPr>
              <w:spacing w:before="0" w:after="0" w:line="276" w:lineRule="auto"/>
            </w:pPr>
            <w:r>
              <w:rPr>
                <w:sz w:val="19"/>
              </w:rPr>
              <w:t>阶段一结束：启动报告、动作接口 v1、评分手册 v1；go/no-go</w:t>
            </w:r>
          </w:p>
        </w:tc>
      </w:tr>
      <w:tr w14:paraId="50F91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4" w:type="dxa"/>
            <w:vAlign w:val="center"/>
          </w:tcPr>
          <w:p w14:paraId="6E2C869A">
            <w:pPr>
              <w:keepNext w:val="0"/>
              <w:spacing w:before="0" w:after="0" w:line="276" w:lineRule="auto"/>
              <w:ind w:firstLine="0"/>
              <w:jc w:val="center"/>
            </w:pPr>
            <w:r>
              <w:rPr>
                <w:rFonts w:ascii="Times New Roman" w:hAnsi="Times New Roman" w:eastAsia="宋体" w:cs="Times New Roman"/>
                <w:b w:val="0"/>
                <w:sz w:val="19"/>
              </w:rPr>
              <w:t>阶段二：主池数据生成</w:t>
            </w:r>
          </w:p>
        </w:tc>
        <w:tc>
          <w:tcPr>
            <w:tcW w:w="3053" w:type="dxa"/>
            <w:vAlign w:val="center"/>
          </w:tcPr>
          <w:p w14:paraId="69C22379">
            <w:pPr>
              <w:keepNext w:val="0"/>
              <w:spacing w:before="0" w:after="0" w:line="276" w:lineRule="auto"/>
              <w:ind w:firstLine="0"/>
              <w:jc w:val="left"/>
            </w:pPr>
            <w:r>
              <w:rPr>
                <w:rFonts w:ascii="Times New Roman" w:hAnsi="Times New Roman" w:eastAsia="宋体" w:cs="Times New Roman"/>
                <w:b w:val="0"/>
                <w:sz w:val="19"/>
              </w:rPr>
              <w:t>编辑器 A 主池动作表（约 2.3 万次）；受控扰动；冻结切分与指标</w:t>
            </w:r>
          </w:p>
        </w:tc>
        <w:tc>
          <w:tcPr>
            <w:tcW w:w="3053" w:type="dxa"/>
            <w:vAlign w:val="center"/>
          </w:tcPr>
          <w:p w14:paraId="2AB08BEF">
            <w:pPr>
              <w:spacing w:before="0" w:after="0" w:line="276" w:lineRule="auto"/>
            </w:pPr>
            <w:r>
              <w:rPr>
                <w:sz w:val="19"/>
              </w:rPr>
              <w:t>阶段二结束：动作表 v1、受控数据、冻结切分</w:t>
            </w:r>
          </w:p>
        </w:tc>
      </w:tr>
      <w:tr w14:paraId="0B00D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4" w:type="dxa"/>
            <w:vAlign w:val="center"/>
          </w:tcPr>
          <w:p w14:paraId="7B1FF3C8">
            <w:pPr>
              <w:keepNext w:val="0"/>
              <w:spacing w:before="0" w:after="0" w:line="276" w:lineRule="auto"/>
              <w:ind w:firstLine="0"/>
              <w:jc w:val="center"/>
            </w:pPr>
            <w:r>
              <w:rPr>
                <w:rFonts w:ascii="Times New Roman" w:hAnsi="Times New Roman" w:eastAsia="宋体" w:cs="Times New Roman"/>
                <w:b w:val="0"/>
                <w:sz w:val="19"/>
              </w:rPr>
              <w:t>阶段三：方法开发与配置冻结</w:t>
            </w:r>
          </w:p>
        </w:tc>
        <w:tc>
          <w:tcPr>
            <w:tcW w:w="3053" w:type="dxa"/>
            <w:vAlign w:val="center"/>
          </w:tcPr>
          <w:p w14:paraId="77C82C3C">
            <w:pPr>
              <w:keepNext w:val="0"/>
              <w:spacing w:before="0" w:after="0" w:line="276" w:lineRule="auto"/>
              <w:ind w:firstLine="0"/>
              <w:jc w:val="left"/>
            </w:pPr>
            <w:r>
              <w:rPr>
                <w:rFonts w:ascii="Times New Roman" w:hAnsi="Times New Roman" w:eastAsia="宋体" w:cs="Times New Roman"/>
                <w:b w:val="0"/>
                <w:sz w:val="19"/>
              </w:rPr>
              <w:t>预测器/策略；等预算对照；消融；生成编辑器 B 的封存测试动作表（560 任务 × 19，仅登记哈希、不评价）；冻结配置</w:t>
            </w:r>
          </w:p>
        </w:tc>
        <w:tc>
          <w:tcPr>
            <w:tcW w:w="3053" w:type="dxa"/>
            <w:vAlign w:val="center"/>
          </w:tcPr>
          <w:p w14:paraId="0EB552AA">
            <w:pPr>
              <w:spacing w:before="0" w:after="0" w:line="276" w:lineRule="auto"/>
            </w:pPr>
            <w:r>
              <w:rPr>
                <w:sz w:val="19"/>
              </w:rPr>
              <w:t>阶段三结束：预测器 v1、策略 v1、对照报告；配置冻结（E_B 零样本迁移评价在阶段四解封后进行）</w:t>
            </w:r>
          </w:p>
        </w:tc>
      </w:tr>
      <w:tr w14:paraId="593CF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4" w:type="dxa"/>
            <w:vAlign w:val="center"/>
          </w:tcPr>
          <w:p w14:paraId="09FD70CC">
            <w:pPr>
              <w:keepNext w:val="0"/>
              <w:spacing w:before="0" w:after="0" w:line="276" w:lineRule="auto"/>
              <w:ind w:firstLine="0"/>
              <w:jc w:val="center"/>
            </w:pPr>
            <w:r>
              <w:rPr>
                <w:rFonts w:ascii="Times New Roman" w:hAnsi="Times New Roman" w:eastAsia="宋体" w:cs="Times New Roman"/>
                <w:b w:val="0"/>
                <w:sz w:val="19"/>
              </w:rPr>
              <w:t>阶段四：封存测试与总结</w:t>
            </w:r>
          </w:p>
        </w:tc>
        <w:tc>
          <w:tcPr>
            <w:tcW w:w="3053" w:type="dxa"/>
            <w:vAlign w:val="center"/>
          </w:tcPr>
          <w:p w14:paraId="1320EA5F">
            <w:pPr>
              <w:keepNext w:val="0"/>
              <w:spacing w:before="0" w:after="0" w:line="276" w:lineRule="auto"/>
              <w:ind w:firstLine="0"/>
              <w:jc w:val="left"/>
            </w:pPr>
            <w:r>
              <w:rPr>
                <w:rFonts w:ascii="Times New Roman" w:hAnsi="Times New Roman" w:eastAsia="宋体" w:cs="Times New Roman"/>
                <w:b w:val="0"/>
                <w:sz w:val="19"/>
              </w:rPr>
              <w:t>解封测试集；组外双人盲评；统计检验；报告/论文/复现材料</w:t>
            </w:r>
          </w:p>
        </w:tc>
        <w:tc>
          <w:tcPr>
            <w:tcW w:w="3053" w:type="dxa"/>
            <w:vAlign w:val="center"/>
          </w:tcPr>
          <w:p w14:paraId="737B2659">
            <w:pPr>
              <w:spacing w:before="0" w:after="0" w:line="276" w:lineRule="auto"/>
            </w:pPr>
            <w:r>
              <w:rPr>
                <w:sz w:val="19"/>
              </w:rPr>
              <w:t>阶段四结束：最终报告、论文初稿、复现包</w:t>
            </w:r>
          </w:p>
        </w:tc>
      </w:tr>
    </w:tbl>
    <w:p w14:paraId="574A0262">
      <w:pPr>
        <w:keepNext w:val="0"/>
        <w:spacing w:before="0" w:after="80" w:line="240" w:lineRule="auto"/>
        <w:ind w:firstLine="0"/>
        <w:jc w:val="both"/>
      </w:pPr>
    </w:p>
    <w:p w14:paraId="487A96A1">
      <w:pPr>
        <w:keepNext w:val="0"/>
        <w:widowControl/>
        <w:spacing w:before="0" w:after="0" w:line="360" w:lineRule="auto"/>
        <w:ind w:firstLine="480"/>
        <w:jc w:val="both"/>
      </w:pPr>
      <w:r>
        <w:rPr>
          <w:rFonts w:ascii="Times New Roman" w:hAnsi="Times New Roman" w:eastAsia="宋体" w:cs="Times New Roman"/>
          <w:b w:val="0"/>
          <w:sz w:val="24"/>
        </w:rPr>
        <w:t>检查点：第一阶段结束时——编辑器可运行、动作可实现、至少一类可部署动作有效、oracle 差距大于种子噪声、评分试点 κ≥0.60；第二阶段结束时——动作表完整、动作异质性成立；第三阶段结束时——预测器优于仅严重度基线、等成本策略有正收益；第四阶段结束时——封存测试完成。</w:t>
      </w:r>
    </w:p>
    <w:p w14:paraId="6A5CD568">
      <w:pPr>
        <w:keepNext/>
        <w:keepLines/>
        <w:spacing w:before="240" w:after="120" w:line="312" w:lineRule="auto"/>
        <w:ind w:firstLine="0"/>
        <w:jc w:val="both"/>
        <w:outlineLvl w:val="1"/>
      </w:pPr>
      <w:r>
        <w:rPr>
          <w:rFonts w:ascii="Times New Roman" w:hAnsi="Times New Roman" w:eastAsia="宋体" w:cs="Times New Roman"/>
          <w:b/>
          <w:sz w:val="28"/>
        </w:rPr>
        <w:t>6.2 作者分工</w:t>
      </w:r>
    </w:p>
    <w:p w14:paraId="67632F55">
      <w:pPr>
        <w:keepNext/>
        <w:spacing w:before="160" w:after="80" w:line="288" w:lineRule="auto"/>
        <w:ind w:firstLine="0"/>
        <w:jc w:val="center"/>
      </w:pPr>
      <w:r>
        <w:rPr>
          <w:rFonts w:ascii="Times New Roman" w:hAnsi="Times New Roman" w:eastAsia="宋体" w:cs="Times New Roman"/>
          <w:b/>
          <w:sz w:val="20"/>
        </w:rPr>
        <w:t>表 8 作者分工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3345"/>
        <w:gridCol w:w="3628"/>
      </w:tblGrid>
      <w:tr w14:paraId="164B1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814" w:type="dxa"/>
            <w:shd w:val="clear" w:color="auto" w:fill="DCE6F1"/>
            <w:vAlign w:val="center"/>
          </w:tcPr>
          <w:p w14:paraId="53EB0435">
            <w:pPr>
              <w:keepNext w:val="0"/>
              <w:spacing w:before="0" w:after="0" w:line="276" w:lineRule="auto"/>
              <w:ind w:firstLine="0"/>
              <w:jc w:val="center"/>
            </w:pPr>
            <w:r>
              <w:rPr>
                <w:rFonts w:ascii="Times New Roman" w:hAnsi="Times New Roman" w:eastAsia="宋体" w:cs="Times New Roman"/>
                <w:b/>
                <w:sz w:val="19"/>
              </w:rPr>
              <w:t>成员</w:t>
            </w:r>
          </w:p>
        </w:tc>
        <w:tc>
          <w:tcPr>
            <w:tcW w:w="3345" w:type="dxa"/>
            <w:shd w:val="clear" w:color="auto" w:fill="DCE6F1"/>
            <w:vAlign w:val="center"/>
          </w:tcPr>
          <w:p w14:paraId="6433FB39">
            <w:pPr>
              <w:keepNext w:val="0"/>
              <w:spacing w:before="0" w:after="0" w:line="276" w:lineRule="auto"/>
              <w:ind w:firstLine="0"/>
              <w:jc w:val="center"/>
            </w:pPr>
            <w:r>
              <w:rPr>
                <w:rFonts w:ascii="Times New Roman" w:hAnsi="Times New Roman" w:eastAsia="宋体" w:cs="Times New Roman"/>
                <w:b/>
                <w:sz w:val="19"/>
              </w:rPr>
              <w:t>主要职责</w:t>
            </w:r>
          </w:p>
        </w:tc>
        <w:tc>
          <w:tcPr>
            <w:tcW w:w="3628" w:type="dxa"/>
            <w:shd w:val="clear" w:color="auto" w:fill="DCE6F1"/>
            <w:vAlign w:val="center"/>
          </w:tcPr>
          <w:p w14:paraId="56E69B39">
            <w:pPr>
              <w:keepNext w:val="0"/>
              <w:spacing w:before="0" w:after="0" w:line="276" w:lineRule="auto"/>
              <w:ind w:firstLine="0"/>
              <w:jc w:val="center"/>
            </w:pPr>
            <w:r>
              <w:rPr>
                <w:rFonts w:ascii="Times New Roman" w:hAnsi="Times New Roman" w:eastAsia="宋体" w:cs="Times New Roman"/>
                <w:b/>
                <w:sz w:val="19"/>
              </w:rPr>
              <w:t>主要交付物</w:t>
            </w:r>
          </w:p>
        </w:tc>
      </w:tr>
      <w:tr w14:paraId="0600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3AB22AE9">
            <w:pPr>
              <w:keepNext w:val="0"/>
              <w:spacing w:before="0" w:after="0" w:line="276" w:lineRule="auto"/>
              <w:ind w:firstLine="0"/>
              <w:jc w:val="center"/>
            </w:pPr>
            <w:r>
              <w:rPr>
                <w:rFonts w:ascii="Times New Roman" w:hAnsi="Times New Roman" w:eastAsia="宋体" w:cs="Times New Roman"/>
                <w:b w:val="0"/>
                <w:sz w:val="19"/>
              </w:rPr>
              <w:t>孙彧</w:t>
            </w:r>
          </w:p>
        </w:tc>
        <w:tc>
          <w:tcPr>
            <w:tcW w:w="3345" w:type="dxa"/>
            <w:vAlign w:val="center"/>
          </w:tcPr>
          <w:p w14:paraId="05C0FAAB">
            <w:pPr>
              <w:keepNext w:val="0"/>
              <w:spacing w:before="0" w:after="0" w:line="276" w:lineRule="auto"/>
              <w:ind w:firstLine="0"/>
              <w:jc w:val="left"/>
            </w:pPr>
            <w:r>
              <w:rPr>
                <w:rFonts w:ascii="Times New Roman" w:hAnsi="Times New Roman" w:eastAsia="宋体" w:cs="Times New Roman"/>
                <w:b w:val="0"/>
                <w:sz w:val="19"/>
              </w:rPr>
              <w:t>预测与决策：标签/特征、预测器训练与校准、预算策略、等成本对照</w:t>
            </w:r>
          </w:p>
        </w:tc>
        <w:tc>
          <w:tcPr>
            <w:tcW w:w="3628" w:type="dxa"/>
            <w:vAlign w:val="center"/>
          </w:tcPr>
          <w:p w14:paraId="1B6AC72B">
            <w:pPr>
              <w:keepNext w:val="0"/>
              <w:spacing w:before="0" w:after="0" w:line="276" w:lineRule="auto"/>
              <w:ind w:firstLine="0"/>
              <w:jc w:val="left"/>
            </w:pPr>
            <w:r>
              <w:rPr>
                <w:rFonts w:ascii="Times New Roman" w:hAnsi="Times New Roman" w:eastAsia="宋体" w:cs="Times New Roman"/>
                <w:b w:val="0"/>
                <w:sz w:val="19"/>
              </w:rPr>
              <w:t>预测器/策略代码、校准与对照报告</w:t>
            </w:r>
          </w:p>
        </w:tc>
      </w:tr>
      <w:tr w14:paraId="6F5BA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E51B2A4">
            <w:pPr>
              <w:keepNext w:val="0"/>
              <w:spacing w:before="0" w:after="0" w:line="276" w:lineRule="auto"/>
              <w:ind w:firstLine="0"/>
              <w:jc w:val="center"/>
            </w:pPr>
            <w:r>
              <w:rPr>
                <w:rFonts w:ascii="Times New Roman" w:hAnsi="Times New Roman" w:eastAsia="宋体" w:cs="Times New Roman"/>
                <w:b w:val="0"/>
                <w:sz w:val="19"/>
              </w:rPr>
              <w:t>黄天志</w:t>
            </w:r>
          </w:p>
        </w:tc>
        <w:tc>
          <w:tcPr>
            <w:tcW w:w="3345" w:type="dxa"/>
            <w:vAlign w:val="center"/>
          </w:tcPr>
          <w:p w14:paraId="6E1560FC">
            <w:pPr>
              <w:keepNext w:val="0"/>
              <w:spacing w:before="0" w:after="0" w:line="276" w:lineRule="auto"/>
              <w:ind w:firstLine="0"/>
              <w:jc w:val="left"/>
            </w:pPr>
            <w:r>
              <w:rPr>
                <w:rFonts w:ascii="Times New Roman" w:hAnsi="Times New Roman" w:eastAsia="宋体" w:cs="Times New Roman"/>
                <w:b w:val="0"/>
                <w:sz w:val="19"/>
              </w:rPr>
              <w:t>评价与统计：评分细则、自动分校准、组外盲评、统计与功效</w:t>
            </w:r>
          </w:p>
        </w:tc>
        <w:tc>
          <w:tcPr>
            <w:tcW w:w="3628" w:type="dxa"/>
            <w:vAlign w:val="center"/>
          </w:tcPr>
          <w:p w14:paraId="7BEA2F22">
            <w:pPr>
              <w:keepNext w:val="0"/>
              <w:spacing w:before="0" w:after="0" w:line="276" w:lineRule="auto"/>
              <w:ind w:firstLine="0"/>
              <w:jc w:val="left"/>
            </w:pPr>
            <w:r>
              <w:rPr>
                <w:rFonts w:ascii="Times New Roman" w:hAnsi="Times New Roman" w:eastAsia="宋体" w:cs="Times New Roman"/>
                <w:b w:val="0"/>
                <w:sz w:val="19"/>
              </w:rPr>
              <w:t>评分手册、校准报告、盲评数据、统计附录</w:t>
            </w:r>
          </w:p>
        </w:tc>
      </w:tr>
      <w:tr w14:paraId="01EEC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814" w:type="dxa"/>
            <w:vAlign w:val="center"/>
          </w:tcPr>
          <w:p w14:paraId="5CF5D05E">
            <w:pPr>
              <w:keepNext w:val="0"/>
              <w:spacing w:before="0" w:after="0" w:line="276" w:lineRule="auto"/>
              <w:ind w:firstLine="0"/>
              <w:jc w:val="center"/>
            </w:pPr>
            <w:r>
              <w:rPr>
                <w:rFonts w:ascii="Times New Roman" w:hAnsi="Times New Roman" w:eastAsia="宋体" w:cs="Times New Roman"/>
                <w:b w:val="0"/>
                <w:sz w:val="19"/>
              </w:rPr>
              <w:t>何劲</w:t>
            </w:r>
          </w:p>
        </w:tc>
        <w:tc>
          <w:tcPr>
            <w:tcW w:w="3345" w:type="dxa"/>
            <w:vAlign w:val="center"/>
          </w:tcPr>
          <w:p w14:paraId="66012916">
            <w:pPr>
              <w:keepNext w:val="0"/>
              <w:spacing w:before="0" w:after="0" w:line="276" w:lineRule="auto"/>
              <w:ind w:firstLine="0"/>
              <w:jc w:val="left"/>
            </w:pPr>
            <w:r>
              <w:rPr>
                <w:rFonts w:ascii="Times New Roman" w:hAnsi="Times New Roman" w:eastAsia="宋体" w:cs="Times New Roman"/>
                <w:b w:val="0"/>
                <w:sz w:val="19"/>
              </w:rPr>
              <w:t>控制与机制：编辑器核验、6 动作实现、受控扰动、反事实动作表、机制分析</w:t>
            </w:r>
          </w:p>
        </w:tc>
        <w:tc>
          <w:tcPr>
            <w:tcW w:w="3628" w:type="dxa"/>
            <w:vAlign w:val="center"/>
          </w:tcPr>
          <w:p w14:paraId="4E71B9B4">
            <w:pPr>
              <w:keepNext w:val="0"/>
              <w:spacing w:before="0" w:after="0" w:line="276" w:lineRule="auto"/>
              <w:ind w:firstLine="0"/>
              <w:jc w:val="left"/>
            </w:pPr>
            <w:r>
              <w:rPr>
                <w:rFonts w:ascii="Times New Roman" w:hAnsi="Times New Roman" w:eastAsia="宋体" w:cs="Times New Roman"/>
                <w:b w:val="0"/>
                <w:sz w:val="19"/>
              </w:rPr>
              <w:t>动作接口、动作表、机制报告</w:t>
            </w:r>
          </w:p>
        </w:tc>
      </w:tr>
    </w:tbl>
    <w:p w14:paraId="57F43B9B">
      <w:pPr>
        <w:keepNext w:val="0"/>
        <w:spacing w:before="0" w:after="80" w:line="240" w:lineRule="auto"/>
        <w:ind w:firstLine="0"/>
        <w:jc w:val="both"/>
      </w:pPr>
    </w:p>
    <w:p w14:paraId="4880FFBC">
      <w:pPr>
        <w:keepNext w:val="0"/>
        <w:widowControl/>
        <w:spacing w:before="0" w:after="0" w:line="360" w:lineRule="auto"/>
        <w:ind w:firstLine="480"/>
        <w:jc w:val="both"/>
      </w:pPr>
      <w:r>
        <w:rPr>
          <w:rFonts w:ascii="Times New Roman" w:hAnsi="Times New Roman" w:eastAsia="宋体" w:cs="Times New Roman"/>
          <w:b w:val="0"/>
          <w:sz w:val="24"/>
        </w:rPr>
        <w:t>三人共同完成文献精读、实验设计讨论、结果分析与论文修改；关键结果由非主责成员独立复跑或审读；编辑器部署由何劲与孙彧共同负责，避免单点依赖。</w:t>
      </w:r>
    </w:p>
    <w:p w14:paraId="6AEDE23D">
      <w:pPr>
        <w:keepNext/>
        <w:keepLines/>
        <w:spacing w:before="240" w:after="120" w:line="312" w:lineRule="auto"/>
        <w:ind w:firstLine="0"/>
        <w:jc w:val="both"/>
        <w:outlineLvl w:val="1"/>
      </w:pPr>
      <w:r>
        <w:rPr>
          <w:rFonts w:ascii="Times New Roman" w:hAnsi="Times New Roman" w:eastAsia="宋体" w:cs="Times New Roman"/>
          <w:b/>
          <w:sz w:val="28"/>
        </w:rPr>
        <w:t>6.3 研究条件</w:t>
      </w:r>
    </w:p>
    <w:p w14:paraId="5CDDD559">
      <w:pPr>
        <w:keepNext w:val="0"/>
        <w:widowControl/>
        <w:spacing w:before="0" w:after="0" w:line="360" w:lineRule="auto"/>
        <w:ind w:firstLine="480"/>
        <w:jc w:val="both"/>
      </w:pPr>
      <w:r>
        <w:rPr>
          <w:rFonts w:ascii="Times New Roman" w:hAnsi="Times New Roman" w:eastAsia="宋体" w:cs="Times New Roman"/>
          <w:b w:val="0"/>
          <w:sz w:val="24"/>
        </w:rPr>
        <w:t>数据使用公开的 RefCOCO 系列与 COCO 实例掩码；编辑器候选为 SDXL-Inpainting 与 FLUX.1 Fill dev，均需在 24GB 级 GPU 上核验可运行性与耗时；代码、数据划分、动作表与评价协议在项目内统一管理，配置冻结后提交。算力以云 GPU 为主，按实测单次耗时与机时估算；若资源不足，按“外部分布 → 第二编辑器覆盖量 → 主池规模”的顺序缩减。</w:t>
      </w:r>
    </w:p>
    <w:p w14:paraId="79550AC6">
      <w:pPr>
        <w:keepNext/>
        <w:keepLines/>
        <w:spacing w:before="360" w:after="160" w:line="312" w:lineRule="auto"/>
        <w:ind w:firstLine="0"/>
        <w:jc w:val="left"/>
        <w:outlineLvl w:val="0"/>
      </w:pPr>
      <w:r>
        <w:rPr>
          <w:rFonts w:ascii="Times New Roman" w:hAnsi="Times New Roman" w:eastAsia="宋体" w:cs="Times New Roman"/>
          <w:b/>
          <w:sz w:val="32"/>
        </w:rPr>
        <w:t>7 风险与应对</w:t>
      </w:r>
    </w:p>
    <w:p w14:paraId="4FE1F4D1">
      <w:pPr>
        <w:keepNext/>
        <w:spacing w:before="160" w:after="80" w:line="288" w:lineRule="auto"/>
        <w:ind w:firstLine="0"/>
        <w:jc w:val="center"/>
      </w:pPr>
      <w:r>
        <w:rPr>
          <w:rFonts w:ascii="Times New Roman" w:hAnsi="Times New Roman" w:eastAsia="宋体" w:cs="Times New Roman"/>
          <w:b/>
          <w:sz w:val="20"/>
        </w:rPr>
        <w:t>表 9 风险与应对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26"/>
        <w:gridCol w:w="673"/>
        <w:gridCol w:w="4532"/>
      </w:tblGrid>
      <w:tr w14:paraId="5D4A2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526" w:type="dxa"/>
            <w:shd w:val="clear" w:color="auto" w:fill="DCE6F1"/>
            <w:vAlign w:val="center"/>
          </w:tcPr>
          <w:p w14:paraId="2C25558C">
            <w:pPr>
              <w:keepNext w:val="0"/>
              <w:spacing w:before="0" w:after="0" w:line="276" w:lineRule="auto"/>
              <w:ind w:firstLine="0"/>
              <w:jc w:val="center"/>
            </w:pPr>
            <w:r>
              <w:rPr>
                <w:rFonts w:ascii="Times New Roman" w:hAnsi="Times New Roman" w:eastAsia="宋体" w:cs="Times New Roman"/>
                <w:b/>
                <w:sz w:val="19"/>
              </w:rPr>
              <w:t>风险</w:t>
            </w:r>
          </w:p>
        </w:tc>
        <w:tc>
          <w:tcPr>
            <w:tcW w:w="673" w:type="dxa"/>
            <w:shd w:val="clear" w:color="auto" w:fill="DCE6F1"/>
            <w:vAlign w:val="center"/>
          </w:tcPr>
          <w:p w14:paraId="2EFC59A7">
            <w:pPr>
              <w:keepNext w:val="0"/>
              <w:spacing w:before="0" w:after="0" w:line="276" w:lineRule="auto"/>
              <w:ind w:firstLine="0"/>
              <w:jc w:val="center"/>
            </w:pPr>
            <w:r>
              <w:rPr>
                <w:rFonts w:ascii="Times New Roman" w:hAnsi="Times New Roman" w:eastAsia="宋体" w:cs="Times New Roman"/>
                <w:b/>
                <w:sz w:val="19"/>
              </w:rPr>
              <w:t>影响</w:t>
            </w:r>
          </w:p>
        </w:tc>
        <w:tc>
          <w:tcPr>
            <w:tcW w:w="4532" w:type="dxa"/>
            <w:shd w:val="clear" w:color="auto" w:fill="DCE6F1"/>
            <w:vAlign w:val="center"/>
          </w:tcPr>
          <w:p w14:paraId="28D40317">
            <w:pPr>
              <w:keepNext w:val="0"/>
              <w:spacing w:before="0" w:after="0" w:line="276" w:lineRule="auto"/>
              <w:ind w:firstLine="0"/>
              <w:jc w:val="center"/>
            </w:pPr>
            <w:r>
              <w:rPr>
                <w:rFonts w:ascii="Times New Roman" w:hAnsi="Times New Roman" w:eastAsia="宋体" w:cs="Times New Roman"/>
                <w:b/>
                <w:sz w:val="19"/>
              </w:rPr>
              <w:t>应对</w:t>
            </w:r>
          </w:p>
        </w:tc>
      </w:tr>
      <w:tr w14:paraId="3D51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26" w:type="dxa"/>
            <w:vAlign w:val="center"/>
          </w:tcPr>
          <w:p w14:paraId="32F29B8D">
            <w:pPr>
              <w:keepNext w:val="0"/>
              <w:spacing w:before="0" w:after="0" w:line="276" w:lineRule="auto"/>
              <w:ind w:firstLine="0"/>
              <w:jc w:val="center"/>
            </w:pPr>
            <w:r>
              <w:rPr>
                <w:rFonts w:ascii="Times New Roman" w:hAnsi="Times New Roman" w:eastAsia="宋体" w:cs="Times New Roman"/>
                <w:b w:val="0"/>
                <w:sz w:val="19"/>
              </w:rPr>
              <w:t>动作普遍无效/固定动作接近上界</w:t>
            </w:r>
          </w:p>
        </w:tc>
        <w:tc>
          <w:tcPr>
            <w:tcW w:w="673" w:type="dxa"/>
            <w:vAlign w:val="center"/>
          </w:tcPr>
          <w:p w14:paraId="16A0B966">
            <w:pPr>
              <w:keepNext w:val="0"/>
              <w:spacing w:before="0" w:after="0" w:line="276" w:lineRule="auto"/>
              <w:ind w:firstLine="0"/>
              <w:jc w:val="left"/>
            </w:pPr>
            <w:r>
              <w:rPr>
                <w:rFonts w:ascii="Times New Roman" w:hAnsi="Times New Roman" w:eastAsia="宋体" w:cs="Times New Roman"/>
                <w:b w:val="0"/>
                <w:sz w:val="19"/>
              </w:rPr>
              <w:t>高</w:t>
            </w:r>
          </w:p>
        </w:tc>
        <w:tc>
          <w:tcPr>
            <w:tcW w:w="4532" w:type="dxa"/>
            <w:vAlign w:val="center"/>
          </w:tcPr>
          <w:p w14:paraId="61F05705">
            <w:pPr>
              <w:keepNext w:val="0"/>
              <w:spacing w:before="0" w:after="0" w:line="276" w:lineRule="auto"/>
              <w:ind w:firstLine="0"/>
              <w:jc w:val="left"/>
            </w:pPr>
            <w:r>
              <w:rPr>
                <w:rFonts w:ascii="Times New Roman" w:hAnsi="Times New Roman" w:eastAsia="宋体" w:cs="Times New Roman"/>
                <w:b w:val="0"/>
                <w:sz w:val="19"/>
              </w:rPr>
              <w:t>启动实验先验证；不成立则转机制边界或诊断报告</w:t>
            </w:r>
          </w:p>
        </w:tc>
      </w:tr>
      <w:tr w14:paraId="50111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26" w:type="dxa"/>
            <w:vAlign w:val="center"/>
          </w:tcPr>
          <w:p w14:paraId="71E632F5">
            <w:pPr>
              <w:keepNext w:val="0"/>
              <w:spacing w:before="0" w:after="0" w:line="276" w:lineRule="auto"/>
              <w:ind w:firstLine="0"/>
              <w:jc w:val="center"/>
            </w:pPr>
            <w:r>
              <w:rPr>
                <w:rFonts w:ascii="Times New Roman" w:hAnsi="Times New Roman" w:eastAsia="宋体" w:cs="Times New Roman"/>
                <w:b w:val="0"/>
                <w:sz w:val="19"/>
              </w:rPr>
              <w:t>预测无增益/被随机性淹没</w:t>
            </w:r>
          </w:p>
        </w:tc>
        <w:tc>
          <w:tcPr>
            <w:tcW w:w="673" w:type="dxa"/>
            <w:vAlign w:val="center"/>
          </w:tcPr>
          <w:p w14:paraId="4CBC4206">
            <w:pPr>
              <w:keepNext w:val="0"/>
              <w:spacing w:before="0" w:after="0" w:line="276" w:lineRule="auto"/>
              <w:ind w:firstLine="0"/>
              <w:jc w:val="left"/>
            </w:pPr>
            <w:r>
              <w:rPr>
                <w:rFonts w:ascii="Times New Roman" w:hAnsi="Times New Roman" w:eastAsia="宋体" w:cs="Times New Roman"/>
                <w:b w:val="0"/>
                <w:sz w:val="19"/>
              </w:rPr>
              <w:t>高</w:t>
            </w:r>
          </w:p>
        </w:tc>
        <w:tc>
          <w:tcPr>
            <w:tcW w:w="4532" w:type="dxa"/>
            <w:vAlign w:val="center"/>
          </w:tcPr>
          <w:p w14:paraId="1F3547D2">
            <w:pPr>
              <w:keepNext w:val="0"/>
              <w:spacing w:before="0" w:after="0" w:line="276" w:lineRule="auto"/>
              <w:ind w:firstLine="0"/>
              <w:jc w:val="left"/>
            </w:pPr>
            <w:r>
              <w:rPr>
                <w:rFonts w:ascii="Times New Roman" w:hAnsi="Times New Roman" w:eastAsia="宋体" w:cs="Times New Roman"/>
                <w:b w:val="0"/>
                <w:sz w:val="19"/>
              </w:rPr>
              <w:t>先做简单基线；报告负结果与失效边界；保留动作表与协议</w:t>
            </w:r>
          </w:p>
        </w:tc>
      </w:tr>
      <w:tr w14:paraId="64A74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26" w:type="dxa"/>
            <w:vAlign w:val="center"/>
          </w:tcPr>
          <w:p w14:paraId="14357483">
            <w:pPr>
              <w:keepNext w:val="0"/>
              <w:spacing w:before="0" w:after="0" w:line="276" w:lineRule="auto"/>
              <w:ind w:firstLine="0"/>
              <w:jc w:val="center"/>
            </w:pPr>
            <w:r>
              <w:rPr>
                <w:rFonts w:ascii="Times New Roman" w:hAnsi="Times New Roman" w:eastAsia="宋体" w:cs="Times New Roman"/>
                <w:b w:val="0"/>
                <w:sz w:val="19"/>
              </w:rPr>
              <w:t>自动判分标签噪声使预测器学到判分器偏差</w:t>
            </w:r>
          </w:p>
        </w:tc>
        <w:tc>
          <w:tcPr>
            <w:tcW w:w="673" w:type="dxa"/>
            <w:vAlign w:val="center"/>
          </w:tcPr>
          <w:p w14:paraId="3E3C754D">
            <w:pPr>
              <w:keepNext w:val="0"/>
              <w:spacing w:before="0" w:after="0" w:line="276" w:lineRule="auto"/>
              <w:ind w:firstLine="0"/>
              <w:jc w:val="left"/>
            </w:pPr>
            <w:r>
              <w:rPr>
                <w:rFonts w:ascii="Times New Roman" w:hAnsi="Times New Roman" w:eastAsia="宋体" w:cs="Times New Roman"/>
                <w:b w:val="0"/>
                <w:sz w:val="19"/>
              </w:rPr>
              <w:t>高</w:t>
            </w:r>
          </w:p>
        </w:tc>
        <w:tc>
          <w:tcPr>
            <w:tcW w:w="4532" w:type="dxa"/>
            <w:vAlign w:val="center"/>
          </w:tcPr>
          <w:p w14:paraId="7D9FE150">
            <w:pPr>
              <w:keepNext w:val="0"/>
              <w:spacing w:before="0" w:after="0" w:line="276" w:lineRule="auto"/>
              <w:ind w:firstLine="0"/>
              <w:jc w:val="left"/>
            </w:pPr>
            <w:r>
              <w:rPr>
                <w:rFonts w:ascii="Times New Roman" w:hAnsi="Times New Roman" w:eastAsia="宋体" w:cs="Times New Roman"/>
                <w:b w:val="0"/>
                <w:sz w:val="19"/>
              </w:rPr>
              <w:t>开发集校准；低一致性类型不进训练；RQ3 报告影响</w:t>
            </w:r>
          </w:p>
        </w:tc>
      </w:tr>
      <w:tr w14:paraId="4026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26" w:type="dxa"/>
            <w:vAlign w:val="center"/>
          </w:tcPr>
          <w:p w14:paraId="167CC4CF">
            <w:pPr>
              <w:keepNext w:val="0"/>
              <w:spacing w:before="0" w:after="0" w:line="276" w:lineRule="auto"/>
              <w:ind w:firstLine="0"/>
              <w:jc w:val="center"/>
            </w:pPr>
            <w:r>
              <w:rPr>
                <w:rFonts w:ascii="Times New Roman" w:hAnsi="Times New Roman" w:eastAsia="宋体" w:cs="Times New Roman"/>
                <w:b w:val="0"/>
                <w:sz w:val="19"/>
              </w:rPr>
              <w:t>评价不可信（VLM 偏差大、κ 低）</w:t>
            </w:r>
          </w:p>
        </w:tc>
        <w:tc>
          <w:tcPr>
            <w:tcW w:w="673" w:type="dxa"/>
            <w:vAlign w:val="center"/>
          </w:tcPr>
          <w:p w14:paraId="4CD43635">
            <w:pPr>
              <w:keepNext w:val="0"/>
              <w:spacing w:before="0" w:after="0" w:line="276" w:lineRule="auto"/>
              <w:ind w:firstLine="0"/>
              <w:jc w:val="left"/>
            </w:pPr>
            <w:r>
              <w:rPr>
                <w:rFonts w:ascii="Times New Roman" w:hAnsi="Times New Roman" w:eastAsia="宋体" w:cs="Times New Roman"/>
                <w:b w:val="0"/>
                <w:sz w:val="19"/>
              </w:rPr>
              <w:t>高</w:t>
            </w:r>
          </w:p>
        </w:tc>
        <w:tc>
          <w:tcPr>
            <w:tcW w:w="4532" w:type="dxa"/>
            <w:vAlign w:val="center"/>
          </w:tcPr>
          <w:p w14:paraId="04AA389B">
            <w:pPr>
              <w:keepNext w:val="0"/>
              <w:spacing w:before="0" w:after="0" w:line="276" w:lineRule="auto"/>
              <w:ind w:firstLine="0"/>
              <w:jc w:val="left"/>
            </w:pPr>
            <w:r>
              <w:rPr>
                <w:rFonts w:ascii="Times New Roman" w:hAnsi="Times New Roman" w:eastAsia="宋体" w:cs="Times New Roman"/>
                <w:b w:val="0"/>
                <w:sz w:val="19"/>
              </w:rPr>
              <w:t>人工双盲为主；校准/拒答；阈值不达标则收缩结论</w:t>
            </w:r>
          </w:p>
        </w:tc>
      </w:tr>
      <w:tr w14:paraId="5D7A0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26" w:type="dxa"/>
            <w:vAlign w:val="center"/>
          </w:tcPr>
          <w:p w14:paraId="76990B6E">
            <w:pPr>
              <w:keepNext w:val="0"/>
              <w:spacing w:before="0" w:after="0" w:line="276" w:lineRule="auto"/>
              <w:ind w:firstLine="0"/>
              <w:jc w:val="center"/>
            </w:pPr>
            <w:r>
              <w:rPr>
                <w:rFonts w:ascii="Times New Roman" w:hAnsi="Times New Roman" w:eastAsia="宋体" w:cs="Times New Roman"/>
                <w:b w:val="0"/>
                <w:sz w:val="19"/>
              </w:rPr>
              <w:t>FLUX 在 24GB 不可行</w:t>
            </w:r>
          </w:p>
        </w:tc>
        <w:tc>
          <w:tcPr>
            <w:tcW w:w="673" w:type="dxa"/>
            <w:vAlign w:val="center"/>
          </w:tcPr>
          <w:p w14:paraId="07A7A708">
            <w:pPr>
              <w:keepNext w:val="0"/>
              <w:spacing w:before="0" w:after="0" w:line="276" w:lineRule="auto"/>
              <w:ind w:firstLine="0"/>
              <w:jc w:val="left"/>
            </w:pPr>
            <w:r>
              <w:rPr>
                <w:rFonts w:ascii="Times New Roman" w:hAnsi="Times New Roman" w:eastAsia="宋体" w:cs="Times New Roman"/>
                <w:b w:val="0"/>
                <w:sz w:val="19"/>
              </w:rPr>
              <w:t>中</w:t>
            </w:r>
          </w:p>
        </w:tc>
        <w:tc>
          <w:tcPr>
            <w:tcW w:w="4532" w:type="dxa"/>
            <w:vAlign w:val="center"/>
          </w:tcPr>
          <w:p w14:paraId="31432A20">
            <w:pPr>
              <w:keepNext w:val="0"/>
              <w:spacing w:before="0" w:after="0" w:line="276" w:lineRule="auto"/>
              <w:ind w:firstLine="0"/>
              <w:jc w:val="left"/>
            </w:pPr>
            <w:r>
              <w:rPr>
                <w:rFonts w:ascii="Times New Roman" w:hAnsi="Times New Roman" w:eastAsia="宋体" w:cs="Times New Roman"/>
                <w:b w:val="0"/>
                <w:sz w:val="19"/>
              </w:rPr>
              <w:t>量化/offload；换其他开源编辑器；跨模型结论降级</w:t>
            </w:r>
          </w:p>
        </w:tc>
      </w:tr>
      <w:tr w14:paraId="02D57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26" w:type="dxa"/>
            <w:vAlign w:val="center"/>
          </w:tcPr>
          <w:p w14:paraId="7CAB5823">
            <w:pPr>
              <w:keepNext w:val="0"/>
              <w:spacing w:before="0" w:after="0" w:line="276" w:lineRule="auto"/>
              <w:ind w:firstLine="0"/>
              <w:jc w:val="center"/>
            </w:pPr>
            <w:r>
              <w:rPr>
                <w:rFonts w:ascii="Times New Roman" w:hAnsi="Times New Roman" w:eastAsia="宋体" w:cs="Times New Roman"/>
                <w:b w:val="0"/>
                <w:sz w:val="19"/>
              </w:rPr>
              <w:t>数据/模型许可不明确</w:t>
            </w:r>
          </w:p>
        </w:tc>
        <w:tc>
          <w:tcPr>
            <w:tcW w:w="673" w:type="dxa"/>
            <w:vAlign w:val="center"/>
          </w:tcPr>
          <w:p w14:paraId="7E1692E6">
            <w:pPr>
              <w:keepNext w:val="0"/>
              <w:spacing w:before="0" w:after="0" w:line="276" w:lineRule="auto"/>
              <w:ind w:firstLine="0"/>
              <w:jc w:val="left"/>
            </w:pPr>
            <w:r>
              <w:rPr>
                <w:rFonts w:ascii="Times New Roman" w:hAnsi="Times New Roman" w:eastAsia="宋体" w:cs="Times New Roman"/>
                <w:b w:val="0"/>
                <w:sz w:val="19"/>
              </w:rPr>
              <w:t>中</w:t>
            </w:r>
          </w:p>
        </w:tc>
        <w:tc>
          <w:tcPr>
            <w:tcW w:w="4532" w:type="dxa"/>
            <w:vAlign w:val="center"/>
          </w:tcPr>
          <w:p w14:paraId="162A2EB2">
            <w:pPr>
              <w:keepNext w:val="0"/>
              <w:spacing w:before="0" w:after="0" w:line="276" w:lineRule="auto"/>
              <w:ind w:firstLine="0"/>
              <w:jc w:val="left"/>
            </w:pPr>
            <w:r>
              <w:rPr>
                <w:rFonts w:ascii="Times New Roman" w:hAnsi="Times New Roman" w:eastAsia="宋体" w:cs="Times New Roman"/>
                <w:b w:val="0"/>
                <w:sz w:val="19"/>
              </w:rPr>
              <w:t>启动前逐项核对；必要时换开源替代；不发布受限数据</w:t>
            </w:r>
          </w:p>
        </w:tc>
      </w:tr>
      <w:tr w14:paraId="0DED3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26" w:type="dxa"/>
            <w:vAlign w:val="center"/>
          </w:tcPr>
          <w:p w14:paraId="7FD0AA98">
            <w:pPr>
              <w:keepNext w:val="0"/>
              <w:spacing w:before="0" w:after="0" w:line="276" w:lineRule="auto"/>
              <w:ind w:firstLine="0"/>
              <w:jc w:val="center"/>
            </w:pPr>
            <w:r>
              <w:rPr>
                <w:rFonts w:ascii="Times New Roman" w:hAnsi="Times New Roman" w:eastAsia="宋体" w:cs="Times New Roman"/>
                <w:b w:val="0"/>
                <w:sz w:val="19"/>
              </w:rPr>
              <w:t>算力/预算不足</w:t>
            </w:r>
          </w:p>
        </w:tc>
        <w:tc>
          <w:tcPr>
            <w:tcW w:w="673" w:type="dxa"/>
            <w:vAlign w:val="center"/>
          </w:tcPr>
          <w:p w14:paraId="6C9DF444">
            <w:pPr>
              <w:keepNext w:val="0"/>
              <w:spacing w:before="0" w:after="0" w:line="276" w:lineRule="auto"/>
              <w:ind w:firstLine="0"/>
              <w:jc w:val="left"/>
            </w:pPr>
            <w:r>
              <w:rPr>
                <w:rFonts w:ascii="Times New Roman" w:hAnsi="Times New Roman" w:eastAsia="宋体" w:cs="Times New Roman"/>
                <w:b w:val="0"/>
                <w:sz w:val="19"/>
              </w:rPr>
              <w:t>中</w:t>
            </w:r>
          </w:p>
        </w:tc>
        <w:tc>
          <w:tcPr>
            <w:tcW w:w="4532" w:type="dxa"/>
            <w:vAlign w:val="center"/>
          </w:tcPr>
          <w:p w14:paraId="0EED48B6">
            <w:pPr>
              <w:keepNext w:val="0"/>
              <w:spacing w:before="0" w:after="0" w:line="276" w:lineRule="auto"/>
              <w:ind w:firstLine="0"/>
              <w:jc w:val="left"/>
            </w:pPr>
            <w:r>
              <w:rPr>
                <w:rFonts w:ascii="Times New Roman" w:hAnsi="Times New Roman" w:eastAsia="宋体" w:cs="Times New Roman"/>
                <w:b w:val="0"/>
                <w:sz w:val="19"/>
              </w:rPr>
              <w:t>云 GPU、缩减顺序、如实报告区间；启动实验不缩减</w:t>
            </w:r>
          </w:p>
        </w:tc>
      </w:tr>
      <w:tr w14:paraId="6A854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526" w:type="dxa"/>
            <w:vAlign w:val="center"/>
          </w:tcPr>
          <w:p w14:paraId="464177F1">
            <w:pPr>
              <w:keepNext w:val="0"/>
              <w:spacing w:before="0" w:after="0" w:line="276" w:lineRule="auto"/>
              <w:ind w:firstLine="0"/>
              <w:jc w:val="center"/>
            </w:pPr>
            <w:r>
              <w:rPr>
                <w:rFonts w:ascii="Times New Roman" w:hAnsi="Times New Roman" w:eastAsia="宋体" w:cs="Times New Roman"/>
                <w:b w:val="0"/>
                <w:sz w:val="19"/>
              </w:rPr>
              <w:t>进度延误（课程/竞赛）</w:t>
            </w:r>
          </w:p>
        </w:tc>
        <w:tc>
          <w:tcPr>
            <w:tcW w:w="673" w:type="dxa"/>
            <w:vAlign w:val="center"/>
          </w:tcPr>
          <w:p w14:paraId="287E635B">
            <w:pPr>
              <w:keepNext w:val="0"/>
              <w:spacing w:before="0" w:after="0" w:line="276" w:lineRule="auto"/>
              <w:ind w:firstLine="0"/>
              <w:jc w:val="left"/>
            </w:pPr>
            <w:r>
              <w:rPr>
                <w:rFonts w:ascii="Times New Roman" w:hAnsi="Times New Roman" w:eastAsia="宋体" w:cs="Times New Roman"/>
                <w:b w:val="0"/>
                <w:sz w:val="19"/>
              </w:rPr>
              <w:t>中</w:t>
            </w:r>
          </w:p>
        </w:tc>
        <w:tc>
          <w:tcPr>
            <w:tcW w:w="4532" w:type="dxa"/>
            <w:vAlign w:val="center"/>
          </w:tcPr>
          <w:p w14:paraId="719B25A5">
            <w:pPr>
              <w:keepNext w:val="0"/>
              <w:spacing w:before="0" w:after="0" w:line="276" w:lineRule="auto"/>
              <w:ind w:firstLine="0"/>
              <w:jc w:val="left"/>
            </w:pPr>
            <w:r>
              <w:rPr>
                <w:rFonts w:ascii="Times New Roman" w:hAnsi="Times New Roman" w:eastAsia="宋体" w:cs="Times New Roman"/>
                <w:b w:val="0"/>
                <w:sz w:val="19"/>
              </w:rPr>
              <w:t>缓冲期；模块文档化与备份人；缩减扩展实验</w:t>
            </w:r>
          </w:p>
        </w:tc>
      </w:tr>
    </w:tbl>
    <w:p w14:paraId="0C26F830">
      <w:pPr>
        <w:keepNext w:val="0"/>
        <w:spacing w:before="0" w:after="80" w:line="240" w:lineRule="auto"/>
        <w:ind w:firstLine="0"/>
        <w:jc w:val="both"/>
      </w:pPr>
    </w:p>
    <w:p w14:paraId="74EC712F">
      <w:pPr>
        <w:keepNext/>
        <w:keepLines/>
        <w:spacing w:before="360" w:after="160" w:line="312" w:lineRule="auto"/>
        <w:ind w:firstLine="0"/>
        <w:jc w:val="left"/>
        <w:outlineLvl w:val="0"/>
      </w:pPr>
      <w:r>
        <w:rPr>
          <w:rFonts w:ascii="Times New Roman" w:hAnsi="Times New Roman" w:eastAsia="宋体" w:cs="Times New Roman"/>
          <w:b/>
          <w:sz w:val="32"/>
        </w:rPr>
        <w:t>8 结论</w:t>
      </w:r>
    </w:p>
    <w:p w14:paraId="0FC5D805">
      <w:pPr>
        <w:keepNext w:val="0"/>
        <w:widowControl/>
        <w:spacing w:before="0" w:after="0" w:line="360" w:lineRule="auto"/>
        <w:ind w:firstLine="480"/>
        <w:jc w:val="both"/>
      </w:pPr>
      <w:r>
        <w:rPr>
          <w:rFonts w:ascii="Times New Roman" w:hAnsi="Times New Roman" w:eastAsia="宋体" w:cs="Times New Roman"/>
          <w:b w:val="0"/>
          <w:sz w:val="24"/>
        </w:rPr>
        <w:t>本文针对指代式图像编辑中“初始编辑后下一步动作值不值得做”的决策问题，提出由控制与机制、预测与决策、可信评价三部分组成的统一研究框架。方案以 600 图、2 类操作、6 个动作与 19 次/任务/编辑器的反事实动作表为基础，通过匹配 IoU 的受控扰动和真实预测掩码测量动作效果，用轻量预测器估计改善/破坏/成本，并在等成本口径下选择动作；评价侧用人工盲评校准自动判分，辅以拒答与覆盖率分析。报告给出了可证伪假设、实验规模、统计口径、启动实验与 go/no-go 判据，并预先说明负结果下的交付物。下一阶段将先完成编辑器复现与启动实验，再根据实测耗时、动作差异与评价一致性决定是否进入主实验。</w:t>
      </w:r>
    </w:p>
    <w:p w14:paraId="2383EDD9">
      <w:pPr>
        <w:keepNext/>
        <w:keepLines/>
        <w:spacing w:before="360" w:after="160" w:line="312" w:lineRule="auto"/>
        <w:ind w:firstLine="0"/>
        <w:jc w:val="left"/>
        <w:outlineLvl w:val="0"/>
      </w:pPr>
      <w:r>
        <w:rPr>
          <w:rFonts w:ascii="Times New Roman" w:hAnsi="Times New Roman" w:eastAsia="宋体" w:cs="Times New Roman"/>
          <w:b/>
          <w:sz w:val="32"/>
        </w:rPr>
        <w:t>参考文献</w:t>
      </w:r>
    </w:p>
    <w:p w14:paraId="6056F1E4">
      <w:pPr>
        <w:keepNext w:val="0"/>
        <w:spacing w:before="0" w:after="40" w:line="300" w:lineRule="auto"/>
        <w:ind w:left="425" w:hanging="425"/>
        <w:jc w:val="both"/>
      </w:pPr>
      <w:r>
        <w:rPr>
          <w:rFonts w:ascii="Times New Roman" w:hAnsi="Times New Roman" w:eastAsia="宋体" w:cs="Times New Roman"/>
          <w:b w:val="0"/>
          <w:sz w:val="21"/>
        </w:rPr>
        <w:t>[1] Brooks T, et al. InstructPix2Pix: Learning to Follow Image Editing Instructions[C]//CVPR, 2023.</w:t>
      </w:r>
    </w:p>
    <w:p w14:paraId="0D82EF2F">
      <w:pPr>
        <w:keepNext w:val="0"/>
        <w:spacing w:before="0" w:after="40" w:line="300" w:lineRule="auto"/>
        <w:ind w:left="425" w:hanging="425"/>
        <w:jc w:val="both"/>
      </w:pPr>
      <w:r>
        <w:rPr>
          <w:rFonts w:ascii="Times New Roman" w:hAnsi="Times New Roman" w:eastAsia="宋体" w:cs="Times New Roman"/>
          <w:b w:val="0"/>
          <w:sz w:val="21"/>
        </w:rPr>
        <w:t>[2] MagicBrush: A Manually Annotated Dataset for Instruction-Guided Image Editing[C]//NeurIPS Datasets and Benchmarks, 2023.</w:t>
      </w:r>
    </w:p>
    <w:p w14:paraId="7D365E0B">
      <w:pPr>
        <w:keepNext w:val="0"/>
        <w:spacing w:before="0" w:after="40" w:line="300" w:lineRule="auto"/>
        <w:ind w:left="425" w:hanging="425"/>
        <w:jc w:val="both"/>
      </w:pPr>
      <w:r>
        <w:rPr>
          <w:rFonts w:ascii="Times New Roman" w:hAnsi="Times New Roman" w:eastAsia="宋体" w:cs="Times New Roman"/>
          <w:b w:val="0"/>
          <w:sz w:val="21"/>
        </w:rPr>
        <w:t>[3] Li Z, et al. ZONE: Zero-Shot Instruction-Guided Local Editing[C]//CVPR, 2024.</w:t>
      </w:r>
    </w:p>
    <w:p w14:paraId="7F1B9BBB">
      <w:pPr>
        <w:keepNext w:val="0"/>
        <w:spacing w:before="0" w:after="40" w:line="300" w:lineRule="auto"/>
        <w:ind w:left="425" w:hanging="425"/>
        <w:jc w:val="both"/>
      </w:pPr>
      <w:r>
        <w:rPr>
          <w:rFonts w:ascii="Times New Roman" w:hAnsi="Times New Roman" w:eastAsia="宋体" w:cs="Times New Roman"/>
          <w:b w:val="0"/>
          <w:sz w:val="21"/>
        </w:rPr>
        <w:t>[4] FOCUS: Unified Vision-Language Modeling for Interactive Editing Driven by Referential Segmentation[C]//NeurIPS, 2025. arXiv:2506.16806.</w:t>
      </w:r>
    </w:p>
    <w:p w14:paraId="5DBC122B">
      <w:pPr>
        <w:keepNext w:val="0"/>
        <w:spacing w:before="0" w:after="40" w:line="300" w:lineRule="auto"/>
        <w:ind w:left="425" w:hanging="425"/>
        <w:jc w:val="both"/>
      </w:pPr>
      <w:r>
        <w:rPr>
          <w:rFonts w:ascii="Times New Roman" w:hAnsi="Times New Roman" w:eastAsia="宋体" w:cs="Times New Roman"/>
          <w:b w:val="0"/>
          <w:sz w:val="21"/>
        </w:rPr>
        <w:t>[5] Pathiraja A, et al. RefEdit: A Benchmark and Method for Improving Instruction-based Image Editing Model on Referring Expressions[C]//ICCV, 2025. arXiv:2506.03448.</w:t>
      </w:r>
    </w:p>
    <w:p w14:paraId="79FFEF4B">
      <w:pPr>
        <w:keepNext w:val="0"/>
        <w:spacing w:before="0" w:after="40" w:line="300" w:lineRule="auto"/>
        <w:ind w:left="425" w:hanging="425"/>
        <w:jc w:val="both"/>
      </w:pPr>
      <w:r>
        <w:rPr>
          <w:rFonts w:ascii="Times New Roman" w:hAnsi="Times New Roman" w:eastAsia="宋体" w:cs="Times New Roman"/>
          <w:b w:val="0"/>
          <w:sz w:val="21"/>
        </w:rPr>
        <w:t>[6] R²-Bench: Benchmarking the Robustness of Referring Perception Models under Perturbations[C]//ECCV, 2024. arXiv:2403.04924.</w:t>
      </w:r>
    </w:p>
    <w:p w14:paraId="03B0DB35">
      <w:pPr>
        <w:keepNext w:val="0"/>
        <w:spacing w:before="0" w:after="40" w:line="300" w:lineRule="auto"/>
        <w:ind w:left="425" w:hanging="425"/>
        <w:jc w:val="both"/>
      </w:pPr>
      <w:r>
        <w:rPr>
          <w:rFonts w:ascii="Times New Roman" w:hAnsi="Times New Roman" w:eastAsia="宋体" w:cs="Times New Roman"/>
          <w:b w:val="0"/>
          <w:sz w:val="21"/>
        </w:rPr>
        <w:t>[7] Bradbury R, Zhong D. Your Latent Mask is Wrong: Pixel-Equivalent Latent Compositing for Diffusion Models[C]//CVPR, 2026. arXiv:2512.05198.</w:t>
      </w:r>
    </w:p>
    <w:p w14:paraId="44DF855A">
      <w:pPr>
        <w:keepNext w:val="0"/>
        <w:spacing w:before="0" w:after="40" w:line="300" w:lineRule="auto"/>
        <w:ind w:left="425" w:hanging="425"/>
        <w:jc w:val="both"/>
      </w:pPr>
      <w:r>
        <w:rPr>
          <w:rFonts w:ascii="Times New Roman" w:hAnsi="Times New Roman" w:eastAsia="宋体" w:cs="Times New Roman"/>
          <w:b w:val="0"/>
          <w:sz w:val="21"/>
        </w:rPr>
        <w:t>[8] Shimosato K, Ukita N. Inpainting-Driven Mask Optimization for Object Removal[R]. arXiv:2403.15849, 2024.</w:t>
      </w:r>
    </w:p>
    <w:p w14:paraId="6B725207">
      <w:pPr>
        <w:keepNext w:val="0"/>
        <w:spacing w:before="0" w:after="40" w:line="300" w:lineRule="auto"/>
        <w:ind w:left="425" w:hanging="425"/>
        <w:jc w:val="both"/>
      </w:pPr>
      <w:r>
        <w:rPr>
          <w:rFonts w:ascii="Times New Roman" w:hAnsi="Times New Roman" w:eastAsia="宋体" w:cs="Times New Roman"/>
          <w:b w:val="0"/>
          <w:sz w:val="21"/>
        </w:rPr>
        <w:t>[9] MAD-paint: Mask-Aware Diffusion Sampling for Image Inpainting[C]//ICMR, 2025.</w:t>
      </w:r>
    </w:p>
    <w:p w14:paraId="50A7484F">
      <w:pPr>
        <w:keepNext w:val="0"/>
        <w:spacing w:before="0" w:after="40" w:line="300" w:lineRule="auto"/>
        <w:ind w:left="425" w:hanging="425"/>
        <w:jc w:val="both"/>
      </w:pPr>
      <w:r>
        <w:rPr>
          <w:rFonts w:ascii="Times New Roman" w:hAnsi="Times New Roman" w:eastAsia="宋体" w:cs="Times New Roman"/>
          <w:b w:val="0"/>
          <w:sz w:val="21"/>
        </w:rPr>
        <w:t>[10] Bai et al. UniEdit-I: Training-free Image Editing for Unified VLM via Iterative Understanding, Editing and Verifying[C]//CVPR, 2026.</w:t>
      </w:r>
    </w:p>
    <w:p w14:paraId="6A68F86A">
      <w:pPr>
        <w:keepNext w:val="0"/>
        <w:spacing w:before="0" w:after="40" w:line="300" w:lineRule="auto"/>
        <w:ind w:left="425" w:hanging="425"/>
        <w:jc w:val="both"/>
      </w:pPr>
      <w:r>
        <w:rPr>
          <w:rFonts w:ascii="Times New Roman" w:hAnsi="Times New Roman" w:eastAsia="宋体" w:cs="Times New Roman"/>
          <w:b w:val="0"/>
          <w:sz w:val="21"/>
        </w:rPr>
        <w:t>[11] Kim et al. Early Timestep Zero-Shot Candidate Selection for Instruction-Guided Image Editing[C]//ICCV, 2025.</w:t>
      </w:r>
    </w:p>
    <w:p w14:paraId="551AF6D0">
      <w:pPr>
        <w:keepNext w:val="0"/>
        <w:spacing w:before="0" w:after="40" w:line="300" w:lineRule="auto"/>
        <w:ind w:left="425" w:hanging="425"/>
        <w:jc w:val="both"/>
      </w:pPr>
      <w:r>
        <w:rPr>
          <w:rFonts w:ascii="Times New Roman" w:hAnsi="Times New Roman" w:eastAsia="宋体" w:cs="Times New Roman"/>
          <w:b w:val="0"/>
          <w:sz w:val="21"/>
        </w:rPr>
        <w:t>[12] GenArtist: Multimodal LLM as an Agent for Unified Image Generation and Editing[C]//NeurIPS, 2024.</w:t>
      </w:r>
    </w:p>
    <w:p w14:paraId="1FF93B1F">
      <w:pPr>
        <w:keepNext w:val="0"/>
        <w:spacing w:before="0" w:after="40" w:line="300" w:lineRule="auto"/>
        <w:ind w:left="425" w:hanging="425"/>
        <w:jc w:val="both"/>
      </w:pPr>
      <w:r>
        <w:rPr>
          <w:rFonts w:ascii="Times New Roman" w:hAnsi="Times New Roman" w:eastAsia="宋体" w:cs="Times New Roman"/>
          <w:b w:val="0"/>
          <w:sz w:val="21"/>
        </w:rPr>
        <w:t>[13] Ku M, et al. VIEScore: Towards Explainable Metrics for Conditional Image Synthesis Evaluation[C]//ACL, 2024.</w:t>
      </w:r>
    </w:p>
    <w:p w14:paraId="07FB682B">
      <w:pPr>
        <w:keepNext w:val="0"/>
        <w:spacing w:before="0" w:after="40" w:line="300" w:lineRule="auto"/>
        <w:ind w:left="425" w:hanging="425"/>
        <w:jc w:val="both"/>
      </w:pPr>
      <w:r>
        <w:rPr>
          <w:rFonts w:ascii="Times New Roman" w:hAnsi="Times New Roman" w:eastAsia="宋体" w:cs="Times New Roman"/>
          <w:b w:val="0"/>
          <w:sz w:val="21"/>
        </w:rPr>
        <w:t>[14] Liang Y, et al. Rich Human Feedback for Text-to-Image Generation[C]//CVPR, 2024.</w:t>
      </w:r>
    </w:p>
    <w:p w14:paraId="54BAC768">
      <w:pPr>
        <w:keepNext w:val="0"/>
        <w:spacing w:before="0" w:after="40" w:line="300" w:lineRule="auto"/>
        <w:ind w:left="425" w:hanging="425"/>
        <w:jc w:val="both"/>
      </w:pPr>
      <w:r>
        <w:rPr>
          <w:rFonts w:ascii="Times New Roman" w:hAnsi="Times New Roman" w:eastAsia="宋体" w:cs="Times New Roman"/>
          <w:b w:val="0"/>
          <w:sz w:val="21"/>
        </w:rPr>
        <w:t>[15] Geifman Y, El-Yaniv R. Selective Classification for Deep Neural Networks[C]//NeurIPS, 2017.</w:t>
      </w:r>
    </w:p>
    <w:p w14:paraId="37A54F7D">
      <w:pPr>
        <w:keepNext w:val="0"/>
        <w:spacing w:before="0" w:after="40" w:line="300" w:lineRule="auto"/>
        <w:ind w:left="425" w:hanging="425"/>
        <w:jc w:val="both"/>
      </w:pPr>
      <w:r>
        <w:rPr>
          <w:rFonts w:ascii="Times New Roman" w:hAnsi="Times New Roman" w:eastAsia="宋体" w:cs="Times New Roman"/>
          <w:b w:val="0"/>
          <w:sz w:val="21"/>
        </w:rPr>
        <w:t>[16] Corbière C, et al. Addressing Failure Prediction by Learning Model Confidence[C]//NeurIPS, 2019.</w:t>
      </w:r>
    </w:p>
    <w:p w14:paraId="56AE53E7">
      <w:pPr>
        <w:keepNext w:val="0"/>
        <w:spacing w:before="0" w:after="40" w:line="300" w:lineRule="auto"/>
        <w:ind w:left="425" w:hanging="425"/>
        <w:jc w:val="both"/>
      </w:pPr>
      <w:r>
        <w:rPr>
          <w:rFonts w:ascii="Times New Roman" w:hAnsi="Times New Roman" w:eastAsia="宋体" w:cs="Times New Roman"/>
          <w:b w:val="0"/>
          <w:sz w:val="21"/>
        </w:rPr>
        <w:t>[17] Chen L, Zaharia M, Zou J. FrugalGPT: How to Use Large Language Models While Reducing Cost and Improving Performance[R]. arXiv:2305.05176, 2023.</w:t>
      </w:r>
    </w:p>
    <w:p w14:paraId="79F28067">
      <w:pPr>
        <w:keepNext w:val="0"/>
        <w:spacing w:before="0" w:after="40" w:line="300" w:lineRule="auto"/>
        <w:ind w:left="425" w:hanging="425"/>
        <w:jc w:val="both"/>
      </w:pPr>
      <w:r>
        <w:rPr>
          <w:rFonts w:ascii="Times New Roman" w:hAnsi="Times New Roman" w:eastAsia="宋体" w:cs="Times New Roman"/>
          <w:b w:val="0"/>
          <w:sz w:val="21"/>
        </w:rPr>
        <w:t>[18] Liu S, et al. Grounding DINO: Marrying DINO with Grounded Pre-Training for Open-Set Object Detection[C]//ECCV, 2024.</w:t>
      </w:r>
    </w:p>
    <w:p w14:paraId="2A02DF78">
      <w:pPr>
        <w:keepNext w:val="0"/>
        <w:spacing w:before="0" w:after="40" w:line="300" w:lineRule="auto"/>
        <w:ind w:left="425" w:hanging="425"/>
        <w:jc w:val="both"/>
      </w:pPr>
      <w:r>
        <w:rPr>
          <w:rFonts w:ascii="Times New Roman" w:hAnsi="Times New Roman" w:eastAsia="宋体" w:cs="Times New Roman"/>
          <w:b w:val="0"/>
          <w:sz w:val="21"/>
        </w:rPr>
        <w:t>[19] Ravi N, et al. SAM 2: Segment Anything in Images and Videos[C]//ICLR, 2025.</w:t>
      </w:r>
    </w:p>
    <w:p w14:paraId="104CE49D">
      <w:pPr>
        <w:keepNext w:val="0"/>
        <w:spacing w:before="0" w:after="40" w:line="300" w:lineRule="auto"/>
        <w:ind w:left="425" w:hanging="425"/>
        <w:jc w:val="both"/>
      </w:pPr>
      <w:r>
        <w:rPr>
          <w:rFonts w:ascii="Times New Roman" w:hAnsi="Times New Roman" w:eastAsia="宋体" w:cs="Times New Roman"/>
          <w:b w:val="0"/>
          <w:sz w:val="21"/>
        </w:rPr>
        <w:t>[20] Podell D, et al. SDXL: Improving Latent Diffusion Models for High-Resolution Image Synthesis[C]//ICLR, 2024.</w:t>
      </w:r>
    </w:p>
    <w:p w14:paraId="3F630621">
      <w:pPr>
        <w:keepNext w:val="0"/>
        <w:spacing w:before="0" w:after="40" w:line="300" w:lineRule="auto"/>
        <w:ind w:left="425" w:hanging="425"/>
        <w:jc w:val="both"/>
      </w:pPr>
      <w:r>
        <w:rPr>
          <w:rFonts w:ascii="Times New Roman" w:hAnsi="Times New Roman" w:eastAsia="宋体" w:cs="Times New Roman"/>
          <w:b w:val="0"/>
          <w:sz w:val="21"/>
        </w:rPr>
        <w:t>[21] Black Forest Labs. FLUX.1 Fill: Inpainting Model[R]. 2024.</w:t>
      </w:r>
    </w:p>
    <w:p w14:paraId="110E1019">
      <w:pPr>
        <w:keepNext w:val="0"/>
        <w:spacing w:before="0" w:after="40" w:line="300" w:lineRule="auto"/>
        <w:ind w:left="425" w:hanging="425"/>
        <w:jc w:val="both"/>
      </w:pPr>
      <w:r>
        <w:rPr>
          <w:rFonts w:ascii="Times New Roman" w:hAnsi="Times New Roman" w:eastAsia="宋体" w:cs="Times New Roman"/>
          <w:b w:val="0"/>
          <w:sz w:val="21"/>
        </w:rPr>
        <w:t>[22] Zhang X, Wan J, Zhang L, et al. Look Before You Restore: Learning to Predict Before Acting for Agentic Image Restoration (PreActIR)[R]. arXiv:2610.20384, 2026.</w:t>
      </w:r>
    </w:p>
    <w:p w14:paraId="28F27DD6">
      <w:pPr>
        <w:keepNext w:val="0"/>
        <w:spacing w:before="0" w:after="40" w:line="300" w:lineRule="auto"/>
        <w:ind w:left="425" w:hanging="425"/>
        <w:jc w:val="both"/>
      </w:pPr>
      <w:r>
        <w:rPr>
          <w:rFonts w:ascii="Times New Roman" w:hAnsi="Times New Roman" w:eastAsia="宋体" w:cs="Times New Roman"/>
          <w:b w:val="0"/>
          <w:sz w:val="21"/>
        </w:rPr>
        <w:t>[23] Edit-Compass &amp; EditReward-Compass: A Unified Benchmark for Image Editing and Reward Modeling[R]. arXiv:2605.13062, 2026.</w:t>
      </w:r>
    </w:p>
    <w:p w14:paraId="049F7B97">
      <w:pPr>
        <w:keepNext w:val="0"/>
        <w:spacing w:before="0" w:after="40" w:line="300" w:lineRule="auto"/>
        <w:ind w:left="425" w:hanging="425"/>
        <w:jc w:val="both"/>
      </w:pPr>
      <w:r>
        <w:rPr>
          <w:rFonts w:ascii="Times New Roman" w:hAnsi="Times New Roman" w:eastAsia="宋体" w:cs="Times New Roman"/>
          <w:b w:val="0"/>
          <w:sz w:val="21"/>
        </w:rPr>
        <w:t>[24] Kazemzadeh S, et al. ReferItGame: Referring to Objects in Photographs of Natural Scenes[C]//EMNLP, 2014.</w:t>
      </w:r>
    </w:p>
    <w:p w14:paraId="699D211E">
      <w:pPr>
        <w:keepNext w:val="0"/>
        <w:spacing w:before="0" w:after="40" w:line="300" w:lineRule="auto"/>
        <w:ind w:left="425" w:hanging="425"/>
        <w:jc w:val="both"/>
      </w:pPr>
      <w:r>
        <w:rPr>
          <w:rFonts w:ascii="Times New Roman" w:hAnsi="Times New Roman" w:eastAsia="宋体" w:cs="Times New Roman"/>
          <w:b w:val="0"/>
          <w:sz w:val="21"/>
        </w:rPr>
        <w:t>[25] Yu L, et al. Modeling Context in Referring Expressions[C]//ECCV, 2016.</w:t>
      </w:r>
    </w:p>
    <w:p w14:paraId="2E0E1CEC">
      <w:pPr>
        <w:keepNext w:val="0"/>
        <w:spacing w:before="0" w:after="40" w:line="300" w:lineRule="auto"/>
        <w:ind w:left="425" w:hanging="425"/>
        <w:jc w:val="both"/>
      </w:pPr>
      <w:r>
        <w:rPr>
          <w:rFonts w:ascii="Times New Roman" w:hAnsi="Times New Roman" w:eastAsia="宋体" w:cs="Times New Roman"/>
          <w:b w:val="0"/>
          <w:sz w:val="21"/>
        </w:rPr>
        <w:t>[26] Mao J, et al. Generation and Comprehension of Unambiguous Object Descriptions[C]//CVPR, 2016.</w:t>
      </w:r>
    </w:p>
    <w:p w14:paraId="04FF83E2">
      <w:pPr>
        <w:keepNext w:val="0"/>
        <w:spacing w:before="0" w:after="40" w:line="300" w:lineRule="auto"/>
        <w:ind w:left="425" w:hanging="425"/>
        <w:jc w:val="both"/>
      </w:pPr>
      <w:r>
        <w:rPr>
          <w:rFonts w:ascii="Times New Roman" w:hAnsi="Times New Roman" w:eastAsia="宋体" w:cs="Times New Roman"/>
          <w:b w:val="0"/>
          <w:sz w:val="21"/>
        </w:rPr>
        <w:t>[27] Lin T Y, et al. Microsoft COCO: Common Objects in Context[C]//ECCV, 2014.</w:t>
      </w:r>
    </w:p>
    <w:p w14:paraId="3C439618">
      <w:pPr>
        <w:keepNext w:val="0"/>
        <w:spacing w:before="0" w:after="40" w:line="300" w:lineRule="auto"/>
        <w:ind w:left="425" w:hanging="425"/>
        <w:jc w:val="both"/>
      </w:pPr>
      <w:r>
        <w:rPr>
          <w:rFonts w:ascii="Times New Roman" w:hAnsi="Times New Roman" w:eastAsia="宋体" w:cs="Times New Roman"/>
          <w:b w:val="0"/>
          <w:sz w:val="21"/>
        </w:rPr>
        <w:t>[28] Zhang R, et al. The Unreasonable Effectiveness of Deep Features as a Perceptual Metric[C]//CVPR, 2018.</w:t>
      </w:r>
    </w:p>
    <w:p w14:paraId="3EEECC01">
      <w:pPr>
        <w:keepNext w:val="0"/>
        <w:spacing w:before="0" w:after="40" w:line="300" w:lineRule="auto"/>
        <w:ind w:left="425" w:hanging="425"/>
        <w:jc w:val="both"/>
      </w:pPr>
      <w:r>
        <w:rPr>
          <w:rFonts w:ascii="Times New Roman" w:hAnsi="Times New Roman" w:eastAsia="宋体" w:cs="Times New Roman"/>
          <w:b w:val="0"/>
          <w:sz w:val="21"/>
        </w:rPr>
        <w:t>[29] Cohen J. A Coefficient of Agreement for Nominal Scales[J]. Educational and Psychological Measurement, 1960.</w:t>
      </w:r>
    </w:p>
    <w:p w14:paraId="416715BF">
      <w:pPr>
        <w:keepNext w:val="0"/>
        <w:spacing w:before="0" w:after="40" w:line="300" w:lineRule="auto"/>
        <w:ind w:left="425" w:hanging="425"/>
        <w:jc w:val="both"/>
      </w:pPr>
      <w:r>
        <w:rPr>
          <w:rFonts w:ascii="Times New Roman" w:hAnsi="Times New Roman" w:eastAsia="宋体" w:cs="Times New Roman"/>
          <w:b w:val="0"/>
          <w:sz w:val="21"/>
        </w:rPr>
        <w:t>[30] Holm S. A Simple Sequentially Rejective Multiple Test Procedure[J]. Scandinavian Journal of Statistics, 1979.</w:t>
      </w:r>
    </w:p>
    <w:sectPr>
      <w:headerReference r:id="rId6" w:type="first"/>
      <w:footerReference r:id="rId8" w:type="first"/>
      <w:headerReference r:id="rId5" w:type="default"/>
      <w:footerReference r:id="rId7" w:type="default"/>
      <w:pgSz w:w="11906" w:h="16838"/>
      <w:pgMar w:top="1440" w:right="1417" w:bottom="1440" w:left="1701" w:header="850" w:footer="99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B2A3F">
    <w:pPr>
      <w:pStyle w:val="24"/>
      <w:keepNext w:val="0"/>
      <w:spacing w:before="0" w:after="0" w:line="240" w:lineRule="auto"/>
      <w:ind w:firstLine="0"/>
      <w:jc w:val="center"/>
    </w:pPr>
    <w:r>
      <w:rPr>
        <w:rFonts w:ascii="Times New Roman" w:hAnsi="Times New Roman" w:eastAsia="宋体" w:cs="Times New Roman"/>
        <w:b w:val="0"/>
        <w:sz w:val="18"/>
      </w:rPr>
      <w:t xml:space="preserve">第 </w:t>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PAGE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r>
      <w:rPr>
        <w:rFonts w:ascii="Times New Roman" w:hAnsi="Times New Roman" w:eastAsia="宋体" w:cs="Times New Roman"/>
        <w:b w:val="0"/>
        <w:sz w:val="18"/>
      </w:rPr>
      <w:t xml:space="preserve"> 页 / 共 </w:t>
    </w:r>
    <w:r>
      <w:rPr>
        <w:rFonts w:ascii="Times New Roman" w:hAnsi="Times New Roman" w:eastAsia="宋体" w:cs="Times New Roman"/>
        <w:sz w:val="18"/>
      </w:rPr>
      <w:fldChar w:fldCharType="begin"/>
    </w:r>
    <w:r>
      <w:rPr>
        <w:rFonts w:ascii="Times New Roman" w:hAnsi="Times New Roman" w:eastAsia="宋体" w:cs="Times New Roman"/>
        <w:sz w:val="18"/>
      </w:rPr>
      <w:instrText xml:space="preserve"> NUMPAGES </w:instrText>
    </w:r>
    <w:r>
      <w:rPr>
        <w:rFonts w:ascii="Times New Roman" w:hAnsi="Times New Roman" w:eastAsia="宋体" w:cs="Times New Roman"/>
        <w:sz w:val="18"/>
      </w:rPr>
      <w:fldChar w:fldCharType="separate"/>
    </w:r>
    <w:r>
      <w:rPr>
        <w:rFonts w:ascii="Times New Roman" w:hAnsi="Times New Roman" w:eastAsia="宋体" w:cs="Times New Roman"/>
        <w:sz w:val="18"/>
      </w:rPr>
      <w:t>1</w:t>
    </w:r>
    <w:r>
      <w:rPr>
        <w:rFonts w:ascii="Times New Roman" w:hAnsi="Times New Roman" w:eastAsia="宋体" w:cs="Times New Roman"/>
        <w:sz w:val="18"/>
      </w:rPr>
      <w:fldChar w:fldCharType="end"/>
    </w:r>
    <w:r>
      <w:rPr>
        <w:rFonts w:ascii="Times New Roman" w:hAnsi="Times New Roman" w:eastAsia="宋体" w:cs="Times New Roman"/>
        <w:b w:val="0"/>
        <w:sz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3F3B0">
    <w:pPr>
      <w:pStyle w:val="2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1056">
    <w:pPr>
      <w:pStyle w:val="25"/>
      <w:keepNext w:val="0"/>
      <w:pBdr>
        <w:bottom w:val="single" w:color="A6A6A6" w:sz="4" w:space="1"/>
      </w:pBdr>
      <w:spacing w:before="0" w:after="0" w:line="240" w:lineRule="auto"/>
      <w:ind w:firstLine="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21FC6">
    <w:pPr>
      <w:pStyle w:val="2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C0E94"/>
    <w:rsid w:val="1E5C34BC"/>
    <w:rsid w:val="3A4367ED"/>
    <w:rsid w:val="4A0C45E9"/>
    <w:rsid w:val="76531A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Times New Roman" w:hAnsi="Times New Roman"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rFonts w:ascii="Times New Roman" w:hAnsi="Times New Roman" w:eastAsia="宋体" w:cs="Times New Roman"/>
      <w:b/>
      <w:bCs/>
      <w:color w:val="4F81BD" w:themeColor="accent1"/>
      <w:sz w:val="20"/>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Times New Roman" w:hAnsi="Times New Roman"/>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6974</Words>
  <Characters>8563</Characters>
  <Lines>0</Lines>
  <Paragraphs>0</Paragraphs>
  <TotalTime>3</TotalTime>
  <ScaleCrop>false</ScaleCrop>
  <LinksUpToDate>false</LinksUpToDate>
  <CharactersWithSpaces>9045</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WPS_1658371318</dc:creator>
  <dc:description>generated by python-docx</dc:description>
  <cp:lastModifiedBy>黄天志</cp:lastModifiedBy>
  <dcterms:modified xsi:type="dcterms:W3CDTF">2026-10-26T12:24:24Z</dcterms:modified>
  <dc:subject>学生科研项目</dc:subject>
  <dc:title>指代式图像编辑中面向收益与内容保持的空间控制决策研究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eyJoZGlkIjoiNDZhOWUwMjNkYjcyZTE0MzkyZTk0MGU0YjFjODQwMjkiLCJ1c2VySWQiOiIxMzg5MzgyMjE0In0=</vt:lpwstr>
  </property>
  <property fmtid="{D5CDD505-2E9C-101B-9397-08002B2CF9AE}" pid="3" name="KSOProductBuildVer">
    <vt:lpwstr>2052-12.1.0.29161</vt:lpwstr>
  </property>
  <property fmtid="{D5CDD505-2E9C-101B-9397-08002B2CF9AE}" pid="4" name="ICV">
    <vt:lpwstr>E8CAF7CA26E142EFA08D12E3E9C43C4F_13</vt:lpwstr>
  </property>
</Properties>
</file>