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12E67" w14:textId="77777777" w:rsidR="00434C99" w:rsidRDefault="00C37485">
      <w:pPr>
        <w:jc w:val="center"/>
        <w:rPr>
          <w:sz w:val="30"/>
          <w:szCs w:val="30"/>
        </w:rPr>
      </w:pPr>
      <w:r>
        <w:rPr>
          <w:rFonts w:hint="eastAsia"/>
          <w:sz w:val="30"/>
          <w:szCs w:val="30"/>
        </w:rPr>
        <w:t>深圳零一学院</w:t>
      </w:r>
      <w:r>
        <w:rPr>
          <w:rFonts w:hint="eastAsia"/>
          <w:sz w:val="30"/>
          <w:szCs w:val="30"/>
        </w:rPr>
        <w:t>E</w:t>
      </w:r>
      <w:r>
        <w:rPr>
          <w:sz w:val="30"/>
          <w:szCs w:val="30"/>
        </w:rPr>
        <w:t>SRT</w:t>
      </w:r>
      <w:r>
        <w:rPr>
          <w:rFonts w:hint="eastAsia"/>
          <w:sz w:val="30"/>
          <w:szCs w:val="30"/>
        </w:rPr>
        <w:t>立项申请表</w:t>
      </w:r>
    </w:p>
    <w:tbl>
      <w:tblPr>
        <w:tblStyle w:val="a3"/>
        <w:tblW w:w="8900" w:type="dxa"/>
        <w:tblInd w:w="-350" w:type="dxa"/>
        <w:tblLook w:val="04A0" w:firstRow="1" w:lastRow="0" w:firstColumn="1" w:lastColumn="0" w:noHBand="0" w:noVBand="1"/>
      </w:tblPr>
      <w:tblGrid>
        <w:gridCol w:w="1089"/>
        <w:gridCol w:w="1051"/>
        <w:gridCol w:w="1460"/>
        <w:gridCol w:w="1048"/>
        <w:gridCol w:w="1090"/>
        <w:gridCol w:w="848"/>
        <w:gridCol w:w="2314"/>
      </w:tblGrid>
      <w:tr w:rsidR="00434C99" w14:paraId="3813A425" w14:textId="77777777">
        <w:trPr>
          <w:cantSplit/>
        </w:trPr>
        <w:tc>
          <w:tcPr>
            <w:tcW w:w="1134" w:type="dxa"/>
            <w:vMerge w:val="restart"/>
          </w:tcPr>
          <w:p w14:paraId="0DEC1753" w14:textId="77777777" w:rsidR="00434C99" w:rsidRDefault="00C37485">
            <w:pPr>
              <w:jc w:val="center"/>
            </w:pPr>
            <w:r>
              <w:rPr>
                <w:rFonts w:hint="eastAsia"/>
              </w:rPr>
              <w:t>学生个人信息</w:t>
            </w:r>
          </w:p>
        </w:tc>
        <w:tc>
          <w:tcPr>
            <w:tcW w:w="1077" w:type="dxa"/>
          </w:tcPr>
          <w:p w14:paraId="3CCC4F64" w14:textId="77777777" w:rsidR="00434C99" w:rsidRDefault="00C37485">
            <w:r>
              <w:rPr>
                <w:rFonts w:hint="eastAsia"/>
              </w:rPr>
              <w:t>姓名</w:t>
            </w:r>
          </w:p>
        </w:tc>
        <w:tc>
          <w:tcPr>
            <w:tcW w:w="1502" w:type="dxa"/>
          </w:tcPr>
          <w:p w14:paraId="4D7666D4" w14:textId="77777777" w:rsidR="00434C99" w:rsidRDefault="00C37485">
            <w:r>
              <w:rPr>
                <w:rFonts w:hint="eastAsia"/>
              </w:rPr>
              <w:t>黄天志</w:t>
            </w:r>
          </w:p>
        </w:tc>
        <w:tc>
          <w:tcPr>
            <w:tcW w:w="1077" w:type="dxa"/>
          </w:tcPr>
          <w:p w14:paraId="21E36158" w14:textId="77777777" w:rsidR="00434C99" w:rsidRDefault="00C37485">
            <w:r>
              <w:rPr>
                <w:rFonts w:hint="eastAsia"/>
              </w:rPr>
              <w:t>性别</w:t>
            </w:r>
          </w:p>
        </w:tc>
        <w:tc>
          <w:tcPr>
            <w:tcW w:w="1134" w:type="dxa"/>
          </w:tcPr>
          <w:p w14:paraId="1115FB7D" w14:textId="77777777" w:rsidR="00434C99" w:rsidRDefault="00C37485">
            <w:r>
              <w:rPr>
                <w:rFonts w:hint="eastAsia"/>
              </w:rPr>
              <w:t>男</w:t>
            </w:r>
          </w:p>
        </w:tc>
        <w:tc>
          <w:tcPr>
            <w:tcW w:w="652" w:type="dxa"/>
          </w:tcPr>
          <w:p w14:paraId="028CE1DE" w14:textId="77777777" w:rsidR="00434C99" w:rsidRDefault="00C37485">
            <w:r>
              <w:rPr>
                <w:rFonts w:hint="eastAsia"/>
              </w:rPr>
              <w:t>学校</w:t>
            </w:r>
          </w:p>
        </w:tc>
        <w:tc>
          <w:tcPr>
            <w:tcW w:w="2324" w:type="dxa"/>
          </w:tcPr>
          <w:p w14:paraId="72A0E1AD" w14:textId="77777777" w:rsidR="00434C99" w:rsidRDefault="00C37485">
            <w:r>
              <w:rPr>
                <w:rFonts w:hint="eastAsia"/>
              </w:rPr>
              <w:t>中国科学技术大学</w:t>
            </w:r>
          </w:p>
        </w:tc>
      </w:tr>
      <w:tr w:rsidR="00434C99" w14:paraId="2030404B" w14:textId="77777777">
        <w:trPr>
          <w:cantSplit/>
        </w:trPr>
        <w:tc>
          <w:tcPr>
            <w:tcW w:w="1134" w:type="dxa"/>
            <w:vMerge/>
          </w:tcPr>
          <w:p w14:paraId="42557459" w14:textId="77777777" w:rsidR="00434C99" w:rsidRDefault="00434C99">
            <w:pPr>
              <w:jc w:val="center"/>
            </w:pPr>
          </w:p>
        </w:tc>
        <w:tc>
          <w:tcPr>
            <w:tcW w:w="1077" w:type="dxa"/>
          </w:tcPr>
          <w:p w14:paraId="248DBD52" w14:textId="77777777" w:rsidR="00434C99" w:rsidRDefault="00C37485">
            <w:r>
              <w:rPr>
                <w:rFonts w:hint="eastAsia"/>
              </w:rPr>
              <w:t>院系</w:t>
            </w:r>
          </w:p>
        </w:tc>
        <w:tc>
          <w:tcPr>
            <w:tcW w:w="1502" w:type="dxa"/>
          </w:tcPr>
          <w:p w14:paraId="60AC91D9" w14:textId="77777777" w:rsidR="00434C99" w:rsidRDefault="00C37485">
            <w:r>
              <w:rPr>
                <w:rFonts w:hint="eastAsia"/>
              </w:rPr>
              <w:t>工程科学学院</w:t>
            </w:r>
          </w:p>
        </w:tc>
        <w:tc>
          <w:tcPr>
            <w:tcW w:w="1077" w:type="dxa"/>
          </w:tcPr>
          <w:p w14:paraId="72BF5CC4" w14:textId="77777777" w:rsidR="00434C99" w:rsidRDefault="00C37485">
            <w:r>
              <w:rPr>
                <w:rFonts w:hint="eastAsia"/>
              </w:rPr>
              <w:t>专业</w:t>
            </w:r>
          </w:p>
        </w:tc>
        <w:tc>
          <w:tcPr>
            <w:tcW w:w="1134" w:type="dxa"/>
          </w:tcPr>
          <w:p w14:paraId="667DAEA1" w14:textId="77777777" w:rsidR="00434C99" w:rsidRDefault="00C37485">
            <w:r>
              <w:rPr>
                <w:rFonts w:hint="eastAsia"/>
              </w:rPr>
              <w:t>理论与应用力学</w:t>
            </w:r>
          </w:p>
        </w:tc>
        <w:tc>
          <w:tcPr>
            <w:tcW w:w="652" w:type="dxa"/>
          </w:tcPr>
          <w:p w14:paraId="5DDB9BE3" w14:textId="77777777" w:rsidR="00434C99" w:rsidRDefault="00C37485">
            <w:r>
              <w:rPr>
                <w:rFonts w:hint="eastAsia"/>
              </w:rPr>
              <w:t>年级</w:t>
            </w:r>
          </w:p>
        </w:tc>
        <w:tc>
          <w:tcPr>
            <w:tcW w:w="2324" w:type="dxa"/>
          </w:tcPr>
          <w:p w14:paraId="41F21A70" w14:textId="77777777" w:rsidR="00434C99" w:rsidRDefault="00C37485">
            <w:r>
              <w:rPr>
                <w:rFonts w:hint="eastAsia"/>
              </w:rPr>
              <w:t>大二</w:t>
            </w:r>
          </w:p>
        </w:tc>
      </w:tr>
      <w:tr w:rsidR="00434C99" w14:paraId="1053D944" w14:textId="77777777">
        <w:trPr>
          <w:cantSplit/>
        </w:trPr>
        <w:tc>
          <w:tcPr>
            <w:tcW w:w="1134" w:type="dxa"/>
            <w:vMerge/>
          </w:tcPr>
          <w:p w14:paraId="438A36E8" w14:textId="77777777" w:rsidR="00434C99" w:rsidRDefault="00434C99">
            <w:pPr>
              <w:jc w:val="center"/>
            </w:pPr>
          </w:p>
        </w:tc>
        <w:tc>
          <w:tcPr>
            <w:tcW w:w="1077" w:type="dxa"/>
          </w:tcPr>
          <w:p w14:paraId="28694244" w14:textId="77777777" w:rsidR="00434C99" w:rsidRDefault="00C37485">
            <w:r>
              <w:rPr>
                <w:rFonts w:hint="eastAsia"/>
              </w:rPr>
              <w:t>联系电话</w:t>
            </w:r>
          </w:p>
        </w:tc>
        <w:tc>
          <w:tcPr>
            <w:tcW w:w="2579" w:type="dxa"/>
            <w:gridSpan w:val="2"/>
          </w:tcPr>
          <w:p w14:paraId="691FF854" w14:textId="77777777" w:rsidR="00434C99" w:rsidRDefault="00C37485">
            <w:r>
              <w:rPr>
                <w:rFonts w:hint="eastAsia"/>
              </w:rPr>
              <w:t>17380630118</w:t>
            </w:r>
          </w:p>
        </w:tc>
        <w:tc>
          <w:tcPr>
            <w:tcW w:w="1134" w:type="dxa"/>
          </w:tcPr>
          <w:p w14:paraId="0A868F40" w14:textId="77777777" w:rsidR="00434C99" w:rsidRDefault="00C37485">
            <w:r>
              <w:rPr>
                <w:rFonts w:hint="eastAsia"/>
              </w:rPr>
              <w:t>邮箱</w:t>
            </w:r>
          </w:p>
        </w:tc>
        <w:tc>
          <w:tcPr>
            <w:tcW w:w="2976" w:type="dxa"/>
            <w:gridSpan w:val="2"/>
          </w:tcPr>
          <w:p w14:paraId="673250D5" w14:textId="77777777" w:rsidR="00434C99" w:rsidRDefault="00C37485">
            <w:r>
              <w:rPr>
                <w:rFonts w:hint="eastAsia"/>
              </w:rPr>
              <w:t>huangtianzhi@mail.ustc.edu.cn</w:t>
            </w:r>
          </w:p>
        </w:tc>
      </w:tr>
      <w:tr w:rsidR="00434C99" w14:paraId="2C558C47" w14:textId="77777777">
        <w:trPr>
          <w:cantSplit/>
        </w:trPr>
        <w:tc>
          <w:tcPr>
            <w:tcW w:w="1134" w:type="dxa"/>
            <w:vMerge/>
          </w:tcPr>
          <w:p w14:paraId="51B1AB81" w14:textId="77777777" w:rsidR="00434C99" w:rsidRDefault="00434C99">
            <w:pPr>
              <w:jc w:val="center"/>
            </w:pPr>
          </w:p>
        </w:tc>
        <w:tc>
          <w:tcPr>
            <w:tcW w:w="1077" w:type="dxa"/>
          </w:tcPr>
          <w:p w14:paraId="3DD9A978" w14:textId="77777777" w:rsidR="00434C99" w:rsidRDefault="00C37485">
            <w:r>
              <w:rPr>
                <w:rFonts w:hint="eastAsia"/>
              </w:rPr>
              <w:t>暑校参与</w:t>
            </w:r>
            <w:r>
              <w:rPr>
                <w:rFonts w:hint="eastAsia"/>
              </w:rPr>
              <w:t>PSRT</w:t>
            </w:r>
            <w:r>
              <w:rPr>
                <w:rFonts w:hint="eastAsia"/>
              </w:rPr>
              <w:t>课题</w:t>
            </w:r>
          </w:p>
        </w:tc>
        <w:tc>
          <w:tcPr>
            <w:tcW w:w="6689" w:type="dxa"/>
            <w:gridSpan w:val="5"/>
          </w:tcPr>
          <w:p w14:paraId="5C1A4CD1" w14:textId="131D924E" w:rsidR="00434C99" w:rsidRDefault="00C37485">
            <w:r>
              <w:rPr>
                <w:rFonts w:hint="eastAsia"/>
              </w:rPr>
              <w:t>PAVG</w:t>
            </w:r>
            <w:r w:rsidR="00D12148">
              <w:rPr>
                <w:rFonts w:hint="eastAsia"/>
              </w:rPr>
              <w:t>——视频生成的物理性检测与修复闭环</w:t>
            </w:r>
          </w:p>
        </w:tc>
      </w:tr>
      <w:tr w:rsidR="00434C99" w14:paraId="39FCE6BF" w14:textId="77777777">
        <w:trPr>
          <w:cantSplit/>
        </w:trPr>
        <w:tc>
          <w:tcPr>
            <w:tcW w:w="1134" w:type="dxa"/>
          </w:tcPr>
          <w:p w14:paraId="268D995C" w14:textId="77777777" w:rsidR="00434C99" w:rsidRDefault="00C37485">
            <w:pPr>
              <w:jc w:val="center"/>
            </w:pPr>
            <w:r>
              <w:rPr>
                <w:rFonts w:hint="eastAsia"/>
              </w:rPr>
              <w:t>主要经历及获奖情况</w:t>
            </w:r>
          </w:p>
        </w:tc>
        <w:tc>
          <w:tcPr>
            <w:tcW w:w="7766" w:type="dxa"/>
            <w:gridSpan w:val="6"/>
          </w:tcPr>
          <w:p w14:paraId="2FEF58F0" w14:textId="77777777" w:rsidR="00434C99" w:rsidRDefault="00D12148">
            <w:r>
              <w:rPr>
                <w:rFonts w:hint="eastAsia"/>
              </w:rPr>
              <w:t>主要经历：1</w:t>
            </w:r>
            <w:r>
              <w:t xml:space="preserve">. </w:t>
            </w:r>
            <w:r>
              <w:rPr>
                <w:rFonts w:hint="eastAsia"/>
              </w:rPr>
              <w:t>大一下学期参与学校工程科学实践项目“</w:t>
            </w:r>
            <w:r w:rsidRPr="00D12148">
              <w:t>多自由度机械臂手势控制与视觉识别</w:t>
            </w:r>
            <w:r>
              <w:rPr>
                <w:rFonts w:hint="eastAsia"/>
              </w:rPr>
              <w:t>”，担任组长全面负责算法。2</w:t>
            </w:r>
            <w:r>
              <w:t xml:space="preserve">. </w:t>
            </w:r>
            <w:r>
              <w:rPr>
                <w:rFonts w:hint="eastAsia"/>
              </w:rPr>
              <w:t>大二上学期入选学校RoboMaster战队算法组成员，参与轮腿强化学习工作。</w:t>
            </w:r>
          </w:p>
          <w:p w14:paraId="5D86BBEA" w14:textId="26395DBA" w:rsidR="00D12148" w:rsidRDefault="00D12148">
            <w:pPr>
              <w:rPr>
                <w:rFonts w:hint="eastAsia"/>
              </w:rPr>
            </w:pPr>
            <w:r>
              <w:rPr>
                <w:rFonts w:hint="eastAsia"/>
              </w:rPr>
              <w:t>获奖情况：</w:t>
            </w:r>
            <w:r>
              <w:t>2025-2026</w:t>
            </w:r>
            <w:r>
              <w:rPr>
                <w:rFonts w:hint="eastAsia"/>
              </w:rPr>
              <w:t>学年度强基奖学金B类奖金、学校</w:t>
            </w:r>
            <w:r w:rsidRPr="00D12148">
              <w:t>优秀学生奖学金</w:t>
            </w:r>
            <w:r>
              <w:rPr>
                <w:rFonts w:hint="eastAsia"/>
              </w:rPr>
              <w:t>铜奖</w:t>
            </w:r>
          </w:p>
        </w:tc>
      </w:tr>
      <w:tr w:rsidR="00434C99" w14:paraId="6757288B" w14:textId="77777777">
        <w:trPr>
          <w:cantSplit/>
          <w:trHeight w:val="347"/>
        </w:trPr>
        <w:tc>
          <w:tcPr>
            <w:tcW w:w="1134" w:type="dxa"/>
          </w:tcPr>
          <w:p w14:paraId="6AD9AC68" w14:textId="77777777" w:rsidR="00434C99" w:rsidRDefault="00C37485">
            <w:pPr>
              <w:jc w:val="center"/>
            </w:pPr>
            <w:r>
              <w:rPr>
                <w:rFonts w:hint="eastAsia"/>
              </w:rPr>
              <w:t>项目名称</w:t>
            </w:r>
          </w:p>
        </w:tc>
        <w:tc>
          <w:tcPr>
            <w:tcW w:w="7766" w:type="dxa"/>
            <w:gridSpan w:val="6"/>
          </w:tcPr>
          <w:p>
            <w:r>
              <w:rPr>
                <w:rFonts w:ascii="Times New Roman" w:eastAsia="等线" w:hAnsi="Times New Roman" w:cs="Times New Roman"/>
              </w:rPr>
              <w:t>面向可靠图像编辑的诊断式评价方法研究</w:t>
            </w:r>
          </w:p>
        </w:tc>
      </w:tr>
      <w:tr w:rsidR="00434C99" w14:paraId="5286F595" w14:textId="77777777">
        <w:trPr>
          <w:cantSplit/>
          <w:trHeight w:val="346"/>
        </w:trPr>
        <w:tc>
          <w:tcPr>
            <w:tcW w:w="1134" w:type="dxa"/>
          </w:tcPr>
          <w:p w14:paraId="17F61E98" w14:textId="77777777" w:rsidR="00434C99" w:rsidRDefault="00C37485">
            <w:pPr>
              <w:jc w:val="center"/>
            </w:pPr>
            <w:r>
              <w:rPr>
                <w:rFonts w:hint="eastAsia"/>
              </w:rPr>
              <w:t>项目性质</w:t>
            </w:r>
          </w:p>
        </w:tc>
        <w:tc>
          <w:tcPr>
            <w:tcW w:w="7766" w:type="dxa"/>
            <w:gridSpan w:val="6"/>
          </w:tcPr>
          <w:p w14:paraId="24D9CC7F" w14:textId="77777777" w:rsidR="00434C99" w:rsidRDefault="00C37485">
            <w:pPr>
              <w:ind w:firstLineChars="200" w:firstLine="420"/>
            </w:pPr>
            <w:r>
              <w:rPr>
                <w:rFonts w:ascii="Segoe UI Symbol" w:eastAsia="等线" w:hAnsi="Segoe UI Symbol"/>
              </w:rPr>
              <w:t xml:space="preserve">□ </w:t>
            </w:r>
            <w:r>
              <w:rPr>
                <w:rFonts w:ascii="Segoe UI Symbol" w:eastAsia="等线" w:hAnsi="Segoe UI Symbol"/>
              </w:rPr>
              <w:t xml:space="preserve">导师课题　　　</w:t>
            </w:r>
            <w:r>
              <w:rPr>
                <w:rFonts w:ascii="Segoe UI Symbol" w:eastAsia="等线" w:hAnsi="Segoe UI Symbol"/>
              </w:rPr>
              <w:t>☑</w:t>
            </w:r>
            <w:r>
              <w:rPr>
                <w:rFonts w:ascii="Segoe UI Symbol" w:eastAsia="等线" w:hAnsi="Segoe UI Symbol"/>
              </w:rPr>
              <w:t xml:space="preserve"> </w:t>
            </w:r>
            <w:r>
              <w:rPr>
                <w:rFonts w:ascii="Segoe UI Symbol" w:eastAsia="等线" w:hAnsi="Segoe UI Symbol"/>
              </w:rPr>
              <w:t>学生自主立项</w:t>
            </w:r>
          </w:p>
        </w:tc>
      </w:tr>
      <w:tr w:rsidR="00434C99" w14:paraId="5C418579" w14:textId="77777777">
        <w:trPr>
          <w:cantSplit/>
          <w:trHeight w:val="346"/>
        </w:trPr>
        <w:tc>
          <w:tcPr>
            <w:tcW w:w="1134" w:type="dxa"/>
          </w:tcPr>
          <w:p w14:paraId="1ABE2DC8" w14:textId="77777777" w:rsidR="00434C99" w:rsidRDefault="00C37485">
            <w:pPr>
              <w:jc w:val="center"/>
            </w:pPr>
            <w:r>
              <w:rPr>
                <w:rFonts w:hint="eastAsia"/>
              </w:rPr>
              <w:t>导师姓名</w:t>
            </w:r>
          </w:p>
        </w:tc>
        <w:tc>
          <w:tcPr>
            <w:tcW w:w="2579" w:type="dxa"/>
            <w:gridSpan w:val="2"/>
          </w:tcPr>
          <w:p w14:paraId="5347AC95" w14:textId="77777777" w:rsidR="00434C99" w:rsidRDefault="00434C99"/>
        </w:tc>
        <w:tc>
          <w:tcPr>
            <w:tcW w:w="1077" w:type="dxa"/>
          </w:tcPr>
          <w:p w14:paraId="209C53D7" w14:textId="77777777" w:rsidR="00434C99" w:rsidRDefault="00C37485">
            <w:pPr>
              <w:jc w:val="center"/>
            </w:pPr>
            <w:r>
              <w:rPr>
                <w:rFonts w:hint="eastAsia"/>
              </w:rPr>
              <w:t>导师单位</w:t>
            </w:r>
          </w:p>
        </w:tc>
        <w:tc>
          <w:tcPr>
            <w:tcW w:w="4110" w:type="dxa"/>
            <w:gridSpan w:val="3"/>
          </w:tcPr>
          <w:p w14:paraId="2A6279B7" w14:textId="77777777" w:rsidR="00434C99" w:rsidRDefault="00434C99"/>
        </w:tc>
      </w:tr>
      <w:tr w:rsidR="00434C99" w14:paraId="62A0F4F7" w14:textId="77777777">
        <w:trPr>
          <w:cantSplit/>
          <w:trHeight w:val="346"/>
        </w:trPr>
        <w:tc>
          <w:tcPr>
            <w:tcW w:w="1134" w:type="dxa"/>
          </w:tcPr>
          <w:p w14:paraId="5410D7A1" w14:textId="77777777" w:rsidR="00434C99" w:rsidRDefault="00C37485">
            <w:pPr>
              <w:jc w:val="center"/>
            </w:pPr>
            <w:r>
              <w:rPr>
                <w:rFonts w:hint="eastAsia"/>
              </w:rPr>
              <w:t>导师电话</w:t>
            </w:r>
          </w:p>
        </w:tc>
        <w:tc>
          <w:tcPr>
            <w:tcW w:w="2579" w:type="dxa"/>
            <w:gridSpan w:val="2"/>
          </w:tcPr>
          <w:p w14:paraId="499D783F" w14:textId="77777777" w:rsidR="00434C99" w:rsidRDefault="00434C99"/>
        </w:tc>
        <w:tc>
          <w:tcPr>
            <w:tcW w:w="1077" w:type="dxa"/>
          </w:tcPr>
          <w:p w14:paraId="714200DA" w14:textId="77777777" w:rsidR="00434C99" w:rsidRDefault="00C37485">
            <w:pPr>
              <w:jc w:val="center"/>
            </w:pPr>
            <w:r>
              <w:rPr>
                <w:rFonts w:hint="eastAsia"/>
              </w:rPr>
              <w:t>导师邮箱</w:t>
            </w:r>
          </w:p>
        </w:tc>
        <w:tc>
          <w:tcPr>
            <w:tcW w:w="4110" w:type="dxa"/>
            <w:gridSpan w:val="3"/>
          </w:tcPr>
          <w:p w14:paraId="747874E6" w14:textId="77777777" w:rsidR="00434C99" w:rsidRDefault="00434C99"/>
        </w:tc>
      </w:tr>
      <w:tr w:rsidR="00434C99" w14:paraId="0554DBF0" w14:textId="77777777">
        <w:trPr>
          <w:cantSplit/>
          <w:trHeight w:val="634"/>
        </w:trPr>
        <w:tc>
          <w:tcPr>
            <w:tcW w:w="1134" w:type="dxa"/>
          </w:tcPr>
          <w:p w14:paraId="11D9DC11" w14:textId="77777777" w:rsidR="00434C99" w:rsidRDefault="00C37485">
            <w:pPr>
              <w:jc w:val="center"/>
            </w:pPr>
            <w:r>
              <w:rPr>
                <w:rFonts w:hint="eastAsia"/>
              </w:rPr>
              <w:t>导师及学科背景</w:t>
            </w:r>
          </w:p>
        </w:tc>
        <w:tc>
          <w:tcPr>
            <w:tcW w:w="7766" w:type="dxa"/>
            <w:gridSpan w:val="6"/>
          </w:tcPr>
          <w:p w14:paraId="6FA39F12" w14:textId="77777777" w:rsidR="00434C99" w:rsidRDefault="00434C99">
            <w:pPr>
              <w:rPr>
                <w:sz w:val="15"/>
                <w:szCs w:val="15"/>
              </w:rPr>
            </w:pPr>
          </w:p>
        </w:tc>
      </w:tr>
      <w:tr w:rsidR="00434C99" w14:paraId="0CD0CB38" w14:textId="77777777">
        <w:trPr>
          <w:cantSplit/>
          <w:trHeight w:val="1784"/>
        </w:trPr>
        <w:tc>
          <w:tcPr>
            <w:tcW w:w="1134" w:type="dxa"/>
          </w:tcPr>
          <w:p w14:paraId="006192AA" w14:textId="77777777" w:rsidR="00434C99" w:rsidRDefault="00C37485">
            <w:pPr>
              <w:jc w:val="center"/>
            </w:pPr>
            <w:r>
              <w:rPr>
                <w:rFonts w:hint="eastAsia"/>
              </w:rPr>
              <w:t>项目内容</w:t>
            </w:r>
          </w:p>
          <w:p w14:paraId="61D9F84D" w14:textId="77777777" w:rsidR="00434C99" w:rsidRDefault="00434C99">
            <w:pPr>
              <w:jc w:val="center"/>
            </w:pPr>
          </w:p>
          <w:p w14:paraId="29304634" w14:textId="77777777" w:rsidR="00434C99" w:rsidRDefault="00434C99">
            <w:pPr>
              <w:jc w:val="center"/>
            </w:pPr>
          </w:p>
        </w:tc>
        <w:tc>
          <w:tcPr>
            <w:tcW w:w="7766" w:type="dxa"/>
            <w:gridSpan w:val="6"/>
          </w:tcPr>
          <w:p>
            <w:pPr>
              <w:rPr>
                <w:sz w:val="15"/>
                <w:szCs w:val="15"/>
              </w:rPr>
            </w:pPr>
            <w:r>
              <w:rPr>
                <w:sz w:val="15"/>
                <w:szCs w:val="15"/>
              </w:rPr>
              <w:t>修订定位：本副本将原“评价与统计”职责拓展为可独立开展的诊断式评价研究，保留团队评分细则、校准、盲评组织与统计职责。属导师讨论稿，不代表队友已同意新分工；本表仍为原 ESRT 模板，不冒充学校大研正式表格。</w:t>
            </w:r>
          </w:p>
          <w:p>
            <w:pPr>
              <w:rPr>
                <w:sz w:val="15"/>
                <w:szCs w:val="15"/>
              </w:rPr>
            </w:pPr>
            <w:r>
              <w:rPr>
                <w:sz w:val="15"/>
                <w:szCs w:val="15"/>
              </w:rPr>
              <w:t>研究问题：面对编辑中的可疑变化，评价器能否学习诊断成立、撤销与保持的条件，并自主选择下一步检查的区域、属性和工具，区分合理关联变化与非预期损伤？</w:t>
            </w:r>
          </w:p>
          <w:p>
            <w:pPr>
              <w:rPr>
                <w:sz w:val="15"/>
                <w:szCs w:val="15"/>
              </w:rPr>
            </w:pPr>
            <w:r>
              <w:rPr>
                <w:sz w:val="15"/>
                <w:szCs w:val="15"/>
              </w:rPr>
              <w:t>研究内容：（1）构建原图—指令—结果的区域及属性诊断表示，分别记录完成度、内容保持、局部质量与不确定性。（2）用对应修正、无关改善及新增损伤对照，训练轻量诊断模块，要求修好对应错误后撤销诊断，无关美化不改变判断。（3）训练检查价值模块，在有限工具集合内学习下一步检查哪里、检查什么及何时停止。（4）以真实结果、未见编辑器与工具故障测试检验泛化，采用独立人工评价与等成本对照。</w:t>
            </w:r>
          </w:p>
          <w:p>
            <w:pPr>
              <w:rPr>
                <w:sz w:val="15"/>
                <w:szCs w:val="15"/>
              </w:rPr>
            </w:pPr>
            <w:r>
              <w:rPr>
                <w:sz w:val="15"/>
                <w:szCs w:val="15"/>
              </w:rPr>
              <w:t>独立实施：先使用许可允许的公开编辑结果或固定工具少量生成样例，不以团队反事实动作表或决策器完成为前提。初期冻结基础模型，训练小头，必要时参数高效适配；不训练编辑器。先做20组试标，再根据学习曲线扩充数据，规模与算力待导师确认。</w:t>
            </w:r>
          </w:p>
          <w:p>
            <w:pPr>
              <w:rPr>
                <w:sz w:val="15"/>
                <w:szCs w:val="15"/>
              </w:rPr>
            </w:pPr>
            <w:r>
              <w:rPr>
                <w:sz w:val="15"/>
                <w:szCs w:val="15"/>
              </w:rPr>
              <w:t>团队衔接：向队友提供初始结果的结构化诊断、证据和检查成本，由队友预测并选择编辑动作。可辅助训练标签质量审核，但不把本模型同时作为最终成绩的唯一裁判。诊断检查策略与实际改图策略分别归属，原六动作保持由团队实现。</w:t>
            </w:r>
          </w:p>
        </w:tc>
      </w:tr>
      <w:tr w:rsidR="00434C99" w14:paraId="40B57E8C" w14:textId="77777777">
        <w:trPr>
          <w:cantSplit/>
          <w:trHeight w:val="678"/>
        </w:trPr>
        <w:tc>
          <w:tcPr>
            <w:tcW w:w="1134" w:type="dxa"/>
          </w:tcPr>
          <w:p w14:paraId="62A16A54" w14:textId="77777777" w:rsidR="00434C99" w:rsidRDefault="00C37485">
            <w:r>
              <w:rPr>
                <w:rFonts w:hint="eastAsia"/>
              </w:rPr>
              <w:lastRenderedPageBreak/>
              <w:t>预期成果</w:t>
            </w:r>
          </w:p>
        </w:tc>
        <w:tc>
          <w:tcPr>
            <w:tcW w:w="7766" w:type="dxa"/>
            <w:gridSpan w:val="6"/>
          </w:tcPr>
          <w:p>
            <w:pPr>
              <w:rPr>
                <w:sz w:val="15"/>
                <w:szCs w:val="15"/>
              </w:rPr>
            </w:pPr>
            <w:r>
              <w:rPr>
                <w:sz w:val="15"/>
                <w:szCs w:val="15"/>
              </w:rPr>
              <w:t>独立成果：①诊断与对照标注协议及可发布的数据清单；②可检验诊断模型与下一步检查选择器；③真实性、干扰稳定性、跨编辑器和成本实验；④可复现代码及个人研究报告。</w:t>
            </w:r>
          </w:p>
          <w:p>
            <w:pPr>
              <w:rPr>
                <w:sz w:val="15"/>
                <w:szCs w:val="15"/>
              </w:rPr>
            </w:pPr>
            <w:r>
              <w:rPr>
                <w:sz w:val="15"/>
                <w:szCs w:val="15"/>
              </w:rPr>
              <w:t>团队成果：评分与校准手册、诊断接口、盲评组织和统计附录，以及保持同一决策算法的输入消融实验。论文投稿是争取目标，不作为必然产出。</w:t>
            </w:r>
          </w:p>
          <w:p>
            <w:pPr>
              <w:rPr>
                <w:sz w:val="15"/>
                <w:szCs w:val="15"/>
              </w:rPr>
            </w:pPr>
            <w:r>
              <w:rPr>
                <w:sz w:val="15"/>
                <w:szCs w:val="15"/>
              </w:rPr>
              <w:t>候选贡献：诊断响应监督与面向疑点的证据价值学习；定位、工具调用和反馈修复本身已有先例，须与近邻工作充分比较。导师指导和组外复核均如实署名。</w:t>
            </w:r>
          </w:p>
        </w:tc>
      </w:tr>
      <w:tr w:rsidR="00434C99" w14:paraId="1E5F9739" w14:textId="77777777">
        <w:trPr>
          <w:cantSplit/>
          <w:trHeight w:val="678"/>
        </w:trPr>
        <w:tc>
          <w:tcPr>
            <w:tcW w:w="1134" w:type="dxa"/>
          </w:tcPr>
          <w:p w14:paraId="0DC97F11" w14:textId="77777777" w:rsidR="00434C99" w:rsidRDefault="00C37485">
            <w:pPr>
              <w:jc w:val="center"/>
            </w:pPr>
            <w:r>
              <w:rPr>
                <w:rFonts w:hint="eastAsia"/>
              </w:rPr>
              <w:t>研究计划和进度安排</w:t>
            </w:r>
          </w:p>
        </w:tc>
        <w:tc>
          <w:tcPr>
            <w:tcW w:w="7766" w:type="dxa"/>
            <w:gridSpan w:val="6"/>
          </w:tcPr>
          <w:p>
            <w:pPr>
              <w:rPr>
                <w:sz w:val="15"/>
                <w:szCs w:val="15"/>
              </w:rPr>
            </w:pPr>
            <w:r>
              <w:rPr>
                <w:sz w:val="15"/>
                <w:szCs w:val="15"/>
              </w:rPr>
              <w:t>建议按30个有效工作周推进，每周平均12小时，其中个人研究约10小时、团队职责约2小时；另留约4个日历周应对考试与排队。</w:t>
            </w:r>
          </w:p>
          <w:p>
            <w:pPr>
              <w:rPr>
                <w:sz w:val="15"/>
                <w:szCs w:val="15"/>
              </w:rPr>
            </w:pPr>
            <w:r>
              <w:rPr>
                <w:sz w:val="15"/>
                <w:szCs w:val="15"/>
              </w:rPr>
              <w:t>W1–4：文献、资源核查、强基线与20组试标；W5–9：诊断协议、数据划分与工具缓存；W10–15：对照诊断训练；W16–21：区域与检查选择策略；W22–26：独立泛化、故障与等成本验证；W27–30：封存测试、报告、团队接口及复现。</w:t>
            </w:r>
          </w:p>
          <w:p>
            <w:pPr>
              <w:rPr>
                <w:sz w:val="15"/>
                <w:szCs w:val="15"/>
              </w:rPr>
            </w:pPr>
            <w:r>
              <w:rPr>
                <w:sz w:val="15"/>
                <w:szCs w:val="15"/>
              </w:rPr>
              <w:t>个人独立工作预算260–340小时，团队额外职责40–60小时，合计300–400小时；基准计划为300+60=360小时，不含组外评分者工时。若长期每周仅8小时，总历时约38–50个有效周。具体日期按导师启动与学校通知调整。</w:t>
            </w:r>
          </w:p>
        </w:tc>
      </w:tr>
      <w:tr w:rsidR="00434C99" w14:paraId="0E07B5A4" w14:textId="77777777">
        <w:trPr>
          <w:cantSplit/>
          <w:trHeight w:val="678"/>
        </w:trPr>
        <w:tc>
          <w:tcPr>
            <w:tcW w:w="1134" w:type="dxa"/>
          </w:tcPr>
          <w:p w14:paraId="73078FBC" w14:textId="77777777" w:rsidR="00434C99" w:rsidRDefault="00C37485">
            <w:r>
              <w:rPr>
                <w:rFonts w:hint="eastAsia"/>
              </w:rPr>
              <w:t>项目预计花费经费及内容</w:t>
            </w:r>
          </w:p>
        </w:tc>
        <w:tc>
          <w:tcPr>
            <w:tcW w:w="7766" w:type="dxa"/>
            <w:gridSpan w:val="6"/>
          </w:tcPr>
          <w:p>
            <w:pPr>
              <w:rPr>
                <w:sz w:val="15"/>
                <w:szCs w:val="15"/>
              </w:rPr>
            </w:pPr>
            <w:r>
              <w:rPr>
                <w:sz w:val="15"/>
                <w:szCs w:val="15"/>
              </w:rPr>
              <w:t>预算改为待资源核实的规划区间，不沿用原1800元作为充分经费承诺：独立课题算力/API暂预留800–1800元，独立数据复核400–800元，存储与重跑200–400元，合计1400–3000元。均为非报价的预算占位，按20组试跑实测修订；实验室提供资源时记录实物支持。团队原大规模盲评与动作生成另列团队预算，不重复报销，不把900元视为必然足够。</w:t>
            </w:r>
          </w:p>
        </w:tc>
      </w:tr>
      <w:tr w:rsidR="00434C99" w14:paraId="448E0007" w14:textId="77777777">
        <w:trPr>
          <w:cantSplit/>
          <w:trHeight w:val="678"/>
        </w:trPr>
        <w:tc>
          <w:tcPr>
            <w:tcW w:w="1134" w:type="dxa"/>
          </w:tcPr>
          <w:p w14:paraId="7D8B45A6" w14:textId="77777777" w:rsidR="00434C99" w:rsidRDefault="00C37485">
            <w:pPr>
              <w:jc w:val="center"/>
            </w:pPr>
            <w:r>
              <w:rPr>
                <w:rFonts w:hint="eastAsia"/>
              </w:rPr>
              <w:t>现有物质基础</w:t>
            </w:r>
          </w:p>
        </w:tc>
        <w:tc>
          <w:tcPr>
            <w:tcW w:w="7766" w:type="dxa"/>
            <w:gridSpan w:val="6"/>
            <w:tcBorders>
              <w:bottom w:val="single" w:sz="4" w:space="0" w:color="auto"/>
            </w:tcBorders>
          </w:tcPr>
          <w:p>
            <w:pPr>
              <w:rPr>
                <w:sz w:val="15"/>
                <w:szCs w:val="15"/>
              </w:rPr>
            </w:pPr>
            <w:r>
              <w:rPr>
                <w:sz w:val="15"/>
                <w:szCs w:val="15"/>
              </w:rPr>
              <w:t>已有基础：团队研究文档、评价协议草案与文献调研；可考虑公开编辑结果和开源评分、检测、分割及OCR组件。实际GPU、API额度和导师均待确认，不声明已获实验室支持。每周可投入8–15小时，目前约一位同学可协助标注；团队最终双人组外盲评还需协调第二位组外人员。本人有算法实践经历，但模型适配、统计与可靠性实验需在导师指导下补齐。</w:t>
            </w:r>
          </w:p>
        </w:tc>
      </w:tr>
      <w:tr w:rsidR="00434C99" w14:paraId="649E4010" w14:textId="77777777">
        <w:trPr>
          <w:cantSplit/>
          <w:trHeight w:val="678"/>
        </w:trPr>
        <w:tc>
          <w:tcPr>
            <w:tcW w:w="1134" w:type="dxa"/>
          </w:tcPr>
          <w:p w14:paraId="5A983879" w14:textId="77777777" w:rsidR="00434C99" w:rsidRDefault="00C37485">
            <w:r>
              <w:rPr>
                <w:rFonts w:hint="eastAsia"/>
              </w:rPr>
              <w:t>学生签字</w:t>
            </w:r>
          </w:p>
        </w:tc>
        <w:tc>
          <w:tcPr>
            <w:tcW w:w="7766" w:type="dxa"/>
            <w:gridSpan w:val="6"/>
          </w:tcPr>
          <w:p w14:paraId="5A3E277E" w14:textId="77777777" w:rsidR="00434C99" w:rsidRDefault="00434C99">
            <w:pPr>
              <w:rPr>
                <w:sz w:val="15"/>
                <w:szCs w:val="15"/>
              </w:rPr>
            </w:pPr>
          </w:p>
          <w:p w14:paraId="092F9688" w14:textId="77777777" w:rsidR="00434C99" w:rsidRDefault="00C37485">
            <w:pPr>
              <w:rPr>
                <w:sz w:val="15"/>
                <w:szCs w:val="15"/>
              </w:rPr>
            </w:pPr>
            <w:r>
              <w:rPr>
                <w:rFonts w:hint="eastAsia"/>
                <w:sz w:val="15"/>
                <w:szCs w:val="15"/>
              </w:rPr>
              <w:t>（签字，日期）</w:t>
            </w:r>
          </w:p>
        </w:tc>
      </w:tr>
      <w:tr w:rsidR="00434C99" w14:paraId="62B8EF41" w14:textId="77777777">
        <w:trPr>
          <w:cantSplit/>
          <w:trHeight w:val="678"/>
        </w:trPr>
        <w:tc>
          <w:tcPr>
            <w:tcW w:w="1134" w:type="dxa"/>
          </w:tcPr>
          <w:p w14:paraId="402EADE2" w14:textId="77777777" w:rsidR="00434C99" w:rsidRDefault="00C37485">
            <w:r>
              <w:rPr>
                <w:rFonts w:hint="eastAsia"/>
              </w:rPr>
              <w:t>课题导师签字</w:t>
            </w:r>
          </w:p>
        </w:tc>
        <w:tc>
          <w:tcPr>
            <w:tcW w:w="7766" w:type="dxa"/>
            <w:gridSpan w:val="6"/>
          </w:tcPr>
          <w:p w14:paraId="49DC8818" w14:textId="77777777" w:rsidR="00434C99" w:rsidRDefault="00C37485">
            <w:pPr>
              <w:rPr>
                <w:sz w:val="15"/>
                <w:szCs w:val="15"/>
              </w:rPr>
            </w:pPr>
            <w:r>
              <w:rPr>
                <w:rFonts w:hint="eastAsia"/>
                <w:sz w:val="15"/>
                <w:szCs w:val="15"/>
              </w:rPr>
              <w:t>课题审批意见：</w:t>
            </w:r>
          </w:p>
          <w:p w14:paraId="43FFD2DE" w14:textId="77777777" w:rsidR="00434C99" w:rsidRDefault="00434C99">
            <w:pPr>
              <w:rPr>
                <w:sz w:val="15"/>
                <w:szCs w:val="15"/>
              </w:rPr>
            </w:pPr>
          </w:p>
          <w:p w14:paraId="551D093A" w14:textId="77777777" w:rsidR="00434C99" w:rsidRDefault="00434C99">
            <w:pPr>
              <w:rPr>
                <w:sz w:val="15"/>
                <w:szCs w:val="15"/>
              </w:rPr>
            </w:pPr>
          </w:p>
          <w:p w14:paraId="3B1648B9" w14:textId="77777777" w:rsidR="00434C99" w:rsidRDefault="00C37485">
            <w:pPr>
              <w:rPr>
                <w:sz w:val="15"/>
                <w:szCs w:val="15"/>
              </w:rPr>
            </w:pPr>
            <w:r>
              <w:rPr>
                <w:rFonts w:hint="eastAsia"/>
                <w:sz w:val="15"/>
                <w:szCs w:val="15"/>
              </w:rPr>
              <w:t>（签字，日期）</w:t>
            </w:r>
          </w:p>
        </w:tc>
      </w:tr>
    </w:tbl>
    <w:p w14:paraId="3DBB538C" w14:textId="77777777" w:rsidR="00434C99" w:rsidRDefault="00C37485">
      <w:r>
        <w:br w:type="page"/>
      </w:r>
    </w:p>
    <w:p w14:paraId="775739B1" w14:textId="77777777" w:rsidR="00434C99" w:rsidRDefault="00C37485">
      <w:pPr>
        <w:widowControl/>
        <w:spacing w:before="120" w:afterLines="50" w:after="156" w:line="280" w:lineRule="exact"/>
        <w:ind w:right="420"/>
        <w:contextualSpacing/>
        <w:rPr>
          <w:rFonts w:ascii="Times New Roman" w:eastAsia="仿宋" w:hAnsi="Times New Roman" w:cs="Arial"/>
          <w:b/>
          <w:bCs/>
          <w:sz w:val="24"/>
          <w:szCs w:val="24"/>
        </w:rPr>
      </w:pPr>
      <w:r>
        <w:rPr>
          <w:rFonts w:ascii="Times New Roman" w:eastAsia="仿宋" w:hAnsi="Times New Roman" w:cs="Arial" w:hint="eastAsia"/>
          <w:b/>
          <w:bCs/>
          <w:sz w:val="24"/>
          <w:szCs w:val="24"/>
        </w:rPr>
        <w:lastRenderedPageBreak/>
        <w:t>深圳零一学院简介：</w:t>
      </w:r>
    </w:p>
    <w:p w14:paraId="3DC99A5F" w14:textId="77777777" w:rsidR="00434C99" w:rsidRDefault="00C37485">
      <w:pPr>
        <w:spacing w:line="400" w:lineRule="exact"/>
        <w:ind w:firstLineChars="200" w:firstLine="480"/>
        <w:jc w:val="left"/>
        <w:rPr>
          <w:rFonts w:ascii="Times New Roman" w:eastAsia="仿宋" w:hAnsi="Times New Roman"/>
          <w:sz w:val="24"/>
          <w:szCs w:val="24"/>
        </w:rPr>
      </w:pPr>
      <w:r>
        <w:rPr>
          <w:rFonts w:ascii="Times New Roman" w:eastAsia="仿宋" w:hAnsi="Times New Roman" w:cs="Arial"/>
          <w:sz w:val="24"/>
          <w:szCs w:val="24"/>
        </w:rPr>
        <w:t>深圳零一学院缘起于清华大学</w:t>
      </w:r>
      <w:r>
        <w:rPr>
          <w:rFonts w:ascii="Times New Roman" w:eastAsia="仿宋" w:hAnsi="Times New Roman" w:cs="Arial" w:hint="eastAsia"/>
          <w:sz w:val="24"/>
          <w:szCs w:val="24"/>
        </w:rPr>
        <w:t>“</w:t>
      </w:r>
      <w:r>
        <w:rPr>
          <w:rFonts w:ascii="Times New Roman" w:eastAsia="仿宋" w:hAnsi="Times New Roman" w:cs="Arial"/>
          <w:sz w:val="24"/>
          <w:szCs w:val="24"/>
        </w:rPr>
        <w:t>学堂计划</w:t>
      </w:r>
      <w:r>
        <w:rPr>
          <w:rFonts w:ascii="Times New Roman" w:eastAsia="仿宋" w:hAnsi="Times New Roman" w:cs="Arial" w:hint="eastAsia"/>
          <w:sz w:val="24"/>
          <w:szCs w:val="24"/>
        </w:rPr>
        <w:t>”</w:t>
      </w:r>
      <w:r>
        <w:rPr>
          <w:rFonts w:ascii="Times New Roman" w:eastAsia="仿宋" w:hAnsi="Times New Roman" w:cs="Arial"/>
          <w:sz w:val="24"/>
          <w:szCs w:val="24"/>
        </w:rPr>
        <w:t>钱学森力学班（简称</w:t>
      </w:r>
      <w:r>
        <w:rPr>
          <w:rFonts w:ascii="Times New Roman" w:eastAsia="仿宋" w:hAnsi="Times New Roman" w:cs="Arial" w:hint="eastAsia"/>
          <w:sz w:val="24"/>
          <w:szCs w:val="24"/>
        </w:rPr>
        <w:t>“</w:t>
      </w:r>
      <w:r>
        <w:rPr>
          <w:rFonts w:ascii="Times New Roman" w:eastAsia="仿宋" w:hAnsi="Times New Roman" w:cs="Arial"/>
          <w:sz w:val="24"/>
          <w:szCs w:val="24"/>
        </w:rPr>
        <w:t>清华钱班</w:t>
      </w:r>
      <w:r>
        <w:rPr>
          <w:rFonts w:ascii="Times New Roman" w:eastAsia="仿宋" w:hAnsi="Times New Roman" w:cs="Arial" w:hint="eastAsia"/>
          <w:sz w:val="24"/>
          <w:szCs w:val="24"/>
        </w:rPr>
        <w:t>”</w:t>
      </w:r>
      <w:r>
        <w:rPr>
          <w:rFonts w:ascii="Times New Roman" w:eastAsia="仿宋" w:hAnsi="Times New Roman" w:cs="Arial"/>
          <w:sz w:val="24"/>
          <w:szCs w:val="24"/>
        </w:rPr>
        <w:t>）。清华钱班创办于</w:t>
      </w:r>
      <w:r>
        <w:rPr>
          <w:rFonts w:ascii="Times New Roman" w:eastAsia="仿宋" w:hAnsi="Times New Roman" w:cs="Arial"/>
          <w:sz w:val="24"/>
          <w:szCs w:val="24"/>
        </w:rPr>
        <w:t>2009</w:t>
      </w:r>
      <w:r>
        <w:rPr>
          <w:rFonts w:ascii="Times New Roman" w:eastAsia="仿宋" w:hAnsi="Times New Roman" w:cs="Arial"/>
          <w:sz w:val="24"/>
          <w:szCs w:val="24"/>
        </w:rPr>
        <w:t>年，是</w:t>
      </w:r>
      <w:r>
        <w:rPr>
          <w:rFonts w:ascii="Times New Roman" w:eastAsia="仿宋" w:hAnsi="Times New Roman" w:cs="Arial" w:hint="eastAsia"/>
          <w:sz w:val="24"/>
          <w:szCs w:val="24"/>
        </w:rPr>
        <w:t>“</w:t>
      </w:r>
      <w:r>
        <w:rPr>
          <w:rFonts w:ascii="Times New Roman" w:eastAsia="仿宋" w:hAnsi="Times New Roman" w:cs="Arial"/>
          <w:sz w:val="24"/>
          <w:szCs w:val="24"/>
        </w:rPr>
        <w:t>清华学堂人才培养计划</w:t>
      </w:r>
      <w:r>
        <w:rPr>
          <w:rFonts w:ascii="Times New Roman" w:eastAsia="仿宋" w:hAnsi="Times New Roman" w:cs="Arial" w:hint="eastAsia"/>
          <w:sz w:val="24"/>
          <w:szCs w:val="24"/>
        </w:rPr>
        <w:t>”</w:t>
      </w:r>
      <w:r>
        <w:rPr>
          <w:rFonts w:ascii="Times New Roman" w:eastAsia="仿宋" w:hAnsi="Times New Roman" w:cs="Arial"/>
          <w:sz w:val="24"/>
          <w:szCs w:val="24"/>
        </w:rPr>
        <w:t>暨国家</w:t>
      </w:r>
      <w:r>
        <w:rPr>
          <w:rFonts w:ascii="Times New Roman" w:eastAsia="仿宋" w:hAnsi="Times New Roman" w:cs="Arial" w:hint="eastAsia"/>
          <w:sz w:val="24"/>
          <w:szCs w:val="24"/>
        </w:rPr>
        <w:t>“</w:t>
      </w:r>
      <w:r>
        <w:rPr>
          <w:rFonts w:ascii="Times New Roman" w:eastAsia="仿宋" w:hAnsi="Times New Roman" w:cs="Arial"/>
          <w:sz w:val="24"/>
          <w:szCs w:val="24"/>
        </w:rPr>
        <w:t>基础学科拔尖学生培养试验计划</w:t>
      </w:r>
      <w:r>
        <w:rPr>
          <w:rFonts w:ascii="Times New Roman" w:eastAsia="仿宋" w:hAnsi="Times New Roman" w:cs="Arial" w:hint="eastAsia"/>
          <w:sz w:val="24"/>
          <w:szCs w:val="24"/>
        </w:rPr>
        <w:t>”</w:t>
      </w:r>
      <w:r>
        <w:rPr>
          <w:rFonts w:ascii="Times New Roman" w:eastAsia="仿宋" w:hAnsi="Times New Roman" w:cs="Arial"/>
          <w:sz w:val="24"/>
          <w:szCs w:val="24"/>
        </w:rPr>
        <w:t>66</w:t>
      </w:r>
      <w:r>
        <w:rPr>
          <w:rFonts w:ascii="Times New Roman" w:eastAsia="仿宋" w:hAnsi="Times New Roman" w:cs="Arial"/>
          <w:sz w:val="24"/>
          <w:szCs w:val="24"/>
        </w:rPr>
        <w:t>个试点项目中，唯一不是定位于单一学科，而是工科基础（或力学与工程技术所有学科交叉创新）的试验班。其使命是：发掘和培养有志于通过科技改变世界、造福人类的创新型人才，探索未来创新人才的培养模式，回答</w:t>
      </w:r>
      <w:r>
        <w:rPr>
          <w:rFonts w:ascii="Times New Roman" w:eastAsia="仿宋" w:hAnsi="Times New Roman" w:cs="Arial" w:hint="eastAsia"/>
          <w:sz w:val="24"/>
          <w:szCs w:val="24"/>
        </w:rPr>
        <w:t>“</w:t>
      </w:r>
      <w:r>
        <w:rPr>
          <w:rFonts w:ascii="Times New Roman" w:eastAsia="仿宋" w:hAnsi="Times New Roman" w:cs="Arial"/>
          <w:sz w:val="24"/>
          <w:szCs w:val="24"/>
        </w:rPr>
        <w:t>钱学森之问</w:t>
      </w:r>
      <w:r>
        <w:rPr>
          <w:rFonts w:ascii="Times New Roman" w:eastAsia="仿宋" w:hAnsi="Times New Roman" w:cs="Arial" w:hint="eastAsia"/>
          <w:sz w:val="24"/>
          <w:szCs w:val="24"/>
        </w:rPr>
        <w:t>”</w:t>
      </w:r>
      <w:r>
        <w:rPr>
          <w:rFonts w:ascii="Times New Roman" w:eastAsia="仿宋" w:hAnsi="Times New Roman" w:cs="Arial"/>
          <w:sz w:val="24"/>
          <w:szCs w:val="24"/>
        </w:rPr>
        <w:t>。</w:t>
      </w:r>
    </w:p>
    <w:p w14:paraId="1BBB68DB" w14:textId="77777777" w:rsidR="00434C99" w:rsidRDefault="00C37485">
      <w:pPr>
        <w:spacing w:line="400" w:lineRule="exact"/>
        <w:ind w:firstLineChars="200" w:firstLine="480"/>
        <w:jc w:val="left"/>
        <w:rPr>
          <w:rFonts w:ascii="Times New Roman" w:eastAsia="仿宋" w:hAnsi="Times New Roman"/>
          <w:sz w:val="24"/>
          <w:szCs w:val="24"/>
        </w:rPr>
      </w:pPr>
      <w:r>
        <w:rPr>
          <w:rFonts w:ascii="Times New Roman" w:eastAsia="仿宋" w:hAnsi="Times New Roman" w:cs="Arial"/>
          <w:sz w:val="24"/>
          <w:szCs w:val="24"/>
        </w:rPr>
        <w:t>钱班师生围绕核心使命经十余年锲而不舍地探索实践，逐步发展出以</w:t>
      </w:r>
      <w:r>
        <w:rPr>
          <w:rFonts w:ascii="Times New Roman" w:eastAsia="仿宋" w:hAnsi="Times New Roman" w:cs="Arial" w:hint="eastAsia"/>
          <w:sz w:val="24"/>
          <w:szCs w:val="24"/>
        </w:rPr>
        <w:t>“</w:t>
      </w:r>
      <w:r>
        <w:rPr>
          <w:rFonts w:ascii="Times New Roman" w:eastAsia="仿宋" w:hAnsi="Times New Roman" w:cs="Arial"/>
          <w:sz w:val="24"/>
          <w:szCs w:val="24"/>
        </w:rPr>
        <w:t>三要素汇聚</w:t>
      </w:r>
      <w:r>
        <w:rPr>
          <w:rFonts w:ascii="Times New Roman" w:eastAsia="仿宋" w:hAnsi="Times New Roman" w:cs="Arial" w:hint="eastAsia"/>
          <w:sz w:val="24"/>
          <w:szCs w:val="24"/>
        </w:rPr>
        <w:t>”</w:t>
      </w:r>
      <w:r>
        <w:rPr>
          <w:rFonts w:ascii="Times New Roman" w:eastAsia="仿宋" w:hAnsi="Times New Roman" w:cs="Arial"/>
          <w:sz w:val="24"/>
          <w:szCs w:val="24"/>
        </w:rPr>
        <w:t>、</w:t>
      </w:r>
      <w:r>
        <w:rPr>
          <w:rFonts w:ascii="Times New Roman" w:eastAsia="仿宋" w:hAnsi="Times New Roman" w:cs="Arial" w:hint="eastAsia"/>
          <w:sz w:val="24"/>
          <w:szCs w:val="24"/>
        </w:rPr>
        <w:t>“</w:t>
      </w:r>
      <w:r>
        <w:rPr>
          <w:rFonts w:ascii="Times New Roman" w:eastAsia="仿宋" w:hAnsi="Times New Roman" w:cs="Arial"/>
          <w:sz w:val="24"/>
          <w:szCs w:val="24"/>
        </w:rPr>
        <w:t>进阶研究</w:t>
      </w:r>
      <w:r>
        <w:rPr>
          <w:rFonts w:ascii="Times New Roman" w:eastAsia="仿宋" w:hAnsi="Times New Roman" w:cs="Arial"/>
          <w:sz w:val="24"/>
          <w:szCs w:val="24"/>
        </w:rPr>
        <w:t>-</w:t>
      </w:r>
      <w:r>
        <w:rPr>
          <w:rFonts w:ascii="Times New Roman" w:eastAsia="仿宋" w:hAnsi="Times New Roman" w:cs="Arial"/>
          <w:sz w:val="24"/>
          <w:szCs w:val="24"/>
        </w:rPr>
        <w:t>精深学习</w:t>
      </w:r>
      <w:r>
        <w:rPr>
          <w:rFonts w:ascii="Times New Roman" w:eastAsia="仿宋" w:hAnsi="Times New Roman" w:cs="Arial" w:hint="eastAsia"/>
          <w:sz w:val="24"/>
          <w:szCs w:val="24"/>
        </w:rPr>
        <w:t>”</w:t>
      </w:r>
      <w:r>
        <w:rPr>
          <w:rFonts w:ascii="Times New Roman" w:eastAsia="仿宋" w:hAnsi="Times New Roman" w:cs="Arial"/>
          <w:sz w:val="24"/>
          <w:szCs w:val="24"/>
        </w:rPr>
        <w:t>为特色的创新人才培养体系，帮助绝大多数学生找到自己的激情所在并创造开放生态使其创新潜力充分发挥，培育了一</w:t>
      </w:r>
      <w:r>
        <w:rPr>
          <w:rFonts w:ascii="Times New Roman" w:eastAsia="仿宋" w:hAnsi="Times New Roman" w:cs="Arial"/>
          <w:sz w:val="24"/>
          <w:szCs w:val="24"/>
        </w:rPr>
        <w:t>批极富创造力和创新潜力的年轻英才，在清华、麻省理工、华为等顶尖高校和顶尖高科技企业赢得了卓越声誉。</w:t>
      </w:r>
    </w:p>
    <w:p w14:paraId="5E645F43" w14:textId="77777777" w:rsidR="00434C99" w:rsidRDefault="00C37485">
      <w:pPr>
        <w:spacing w:line="400" w:lineRule="exact"/>
        <w:ind w:firstLineChars="200" w:firstLine="480"/>
        <w:jc w:val="left"/>
        <w:rPr>
          <w:rFonts w:ascii="Times New Roman" w:eastAsia="仿宋" w:hAnsi="Times New Roman"/>
          <w:sz w:val="24"/>
          <w:szCs w:val="24"/>
        </w:rPr>
      </w:pPr>
      <w:r>
        <w:rPr>
          <w:rFonts w:ascii="Times New Roman" w:eastAsia="仿宋" w:hAnsi="Times New Roman" w:cs="Arial"/>
          <w:sz w:val="24"/>
          <w:szCs w:val="24"/>
        </w:rPr>
        <w:t>伴随国家发展与国际形势变化，变革创新人才培养模式、培养</w:t>
      </w:r>
      <w:r>
        <w:rPr>
          <w:rFonts w:ascii="Times New Roman" w:eastAsia="仿宋" w:hAnsi="Times New Roman" w:cs="Arial" w:hint="eastAsia"/>
          <w:sz w:val="24"/>
          <w:szCs w:val="24"/>
        </w:rPr>
        <w:t>“</w:t>
      </w:r>
      <w:r>
        <w:rPr>
          <w:rFonts w:ascii="Times New Roman" w:eastAsia="仿宋" w:hAnsi="Times New Roman" w:cs="Arial"/>
          <w:sz w:val="24"/>
          <w:szCs w:val="24"/>
        </w:rPr>
        <w:t>从</w:t>
      </w:r>
      <w:r>
        <w:rPr>
          <w:rFonts w:ascii="Times New Roman" w:eastAsia="仿宋" w:hAnsi="Times New Roman" w:cs="Arial"/>
          <w:sz w:val="24"/>
          <w:szCs w:val="24"/>
        </w:rPr>
        <w:t>0</w:t>
      </w:r>
      <w:r>
        <w:rPr>
          <w:rFonts w:ascii="Times New Roman" w:eastAsia="仿宋" w:hAnsi="Times New Roman" w:cs="Arial"/>
          <w:sz w:val="24"/>
          <w:szCs w:val="24"/>
        </w:rPr>
        <w:t>到</w:t>
      </w:r>
      <w:r>
        <w:rPr>
          <w:rFonts w:ascii="Times New Roman" w:eastAsia="仿宋" w:hAnsi="Times New Roman" w:cs="Arial"/>
          <w:sz w:val="24"/>
          <w:szCs w:val="24"/>
        </w:rPr>
        <w:t>1</w:t>
      </w:r>
      <w:r>
        <w:rPr>
          <w:rFonts w:ascii="Times New Roman" w:eastAsia="仿宋" w:hAnsi="Times New Roman" w:cs="Arial" w:hint="eastAsia"/>
          <w:sz w:val="24"/>
          <w:szCs w:val="24"/>
        </w:rPr>
        <w:t>”</w:t>
      </w:r>
      <w:r>
        <w:rPr>
          <w:rFonts w:ascii="Times New Roman" w:eastAsia="仿宋" w:hAnsi="Times New Roman" w:cs="Arial"/>
          <w:sz w:val="24"/>
          <w:szCs w:val="24"/>
        </w:rPr>
        <w:t>创新人才成为愈发迫切与重要的战略需求；经十余年探索成功的清华钱班模式，由于它的独特定位、独创性和显著成效，为探索构建我国全新机制体制创新人才培养体系提供了宝贵的</w:t>
      </w:r>
      <w:r>
        <w:rPr>
          <w:rFonts w:ascii="Times New Roman" w:eastAsia="仿宋" w:hAnsi="Times New Roman" w:cs="Arial" w:hint="eastAsia"/>
          <w:sz w:val="24"/>
          <w:szCs w:val="24"/>
        </w:rPr>
        <w:t>“</w:t>
      </w:r>
      <w:r>
        <w:rPr>
          <w:rFonts w:ascii="Times New Roman" w:eastAsia="仿宋" w:hAnsi="Times New Roman" w:cs="Arial"/>
          <w:sz w:val="24"/>
          <w:szCs w:val="24"/>
        </w:rPr>
        <w:t>原型</w:t>
      </w:r>
      <w:r>
        <w:rPr>
          <w:rFonts w:ascii="Times New Roman" w:eastAsia="仿宋" w:hAnsi="Times New Roman" w:cs="Arial" w:hint="eastAsia"/>
          <w:sz w:val="24"/>
          <w:szCs w:val="24"/>
        </w:rPr>
        <w:t>”</w:t>
      </w:r>
      <w:r>
        <w:rPr>
          <w:rFonts w:ascii="Times New Roman" w:eastAsia="仿宋" w:hAnsi="Times New Roman" w:cs="Arial"/>
          <w:sz w:val="24"/>
          <w:szCs w:val="24"/>
        </w:rPr>
        <w:t>。</w:t>
      </w:r>
      <w:r>
        <w:rPr>
          <w:rFonts w:ascii="Times New Roman" w:eastAsia="仿宋" w:hAnsi="Times New Roman" w:cs="Arial"/>
          <w:sz w:val="24"/>
          <w:szCs w:val="24"/>
        </w:rPr>
        <w:t>2021</w:t>
      </w:r>
      <w:r>
        <w:rPr>
          <w:rFonts w:ascii="Times New Roman" w:eastAsia="仿宋" w:hAnsi="Times New Roman" w:cs="Arial"/>
          <w:sz w:val="24"/>
          <w:szCs w:val="24"/>
        </w:rPr>
        <w:t>年，在深圳市委市政府的大力支持下，钱班核心团队于深圳创建零一学院，依托于深圳与</w:t>
      </w:r>
      <w:r>
        <w:rPr>
          <w:rFonts w:ascii="Times New Roman" w:eastAsia="仿宋" w:hAnsi="Times New Roman" w:cs="Arial" w:hint="eastAsia"/>
          <w:sz w:val="24"/>
          <w:szCs w:val="24"/>
        </w:rPr>
        <w:t>“</w:t>
      </w:r>
      <w:r>
        <w:rPr>
          <w:rFonts w:ascii="Times New Roman" w:eastAsia="仿宋" w:hAnsi="Times New Roman" w:cs="Arial"/>
          <w:sz w:val="24"/>
          <w:szCs w:val="24"/>
        </w:rPr>
        <w:t>大湾区</w:t>
      </w:r>
      <w:r>
        <w:rPr>
          <w:rFonts w:ascii="Times New Roman" w:eastAsia="仿宋" w:hAnsi="Times New Roman" w:cs="Arial" w:hint="eastAsia"/>
          <w:sz w:val="24"/>
          <w:szCs w:val="24"/>
        </w:rPr>
        <w:t>”</w:t>
      </w:r>
      <w:r>
        <w:rPr>
          <w:rFonts w:ascii="Times New Roman" w:eastAsia="仿宋" w:hAnsi="Times New Roman" w:cs="Arial"/>
          <w:sz w:val="24"/>
          <w:szCs w:val="24"/>
        </w:rPr>
        <w:t>创新生态、资源与政策优势，探索数智时代开放性创新人才培养全新范式，为顶尖创新人才</w:t>
      </w:r>
      <w:r>
        <w:rPr>
          <w:rFonts w:ascii="Times New Roman" w:eastAsia="仿宋" w:hAnsi="Times New Roman" w:cs="Arial"/>
          <w:sz w:val="24"/>
          <w:szCs w:val="24"/>
        </w:rPr>
        <w:t>汇集整合与自主培养的全新平台。</w:t>
      </w:r>
    </w:p>
    <w:p w14:paraId="4CE3648F" w14:textId="77777777" w:rsidR="00434C99" w:rsidRDefault="00434C99">
      <w:pPr>
        <w:widowControl/>
        <w:spacing w:before="120" w:afterLines="50" w:after="156" w:line="280" w:lineRule="exact"/>
        <w:ind w:right="420"/>
        <w:contextualSpacing/>
        <w:rPr>
          <w:rFonts w:ascii="等线" w:eastAsia="等线" w:hAnsi="等线" w:cs="Arial"/>
          <w:szCs w:val="21"/>
        </w:rPr>
      </w:pPr>
    </w:p>
    <w:p w14:paraId="64FAE431" w14:textId="77777777" w:rsidR="00434C99" w:rsidRDefault="00C37485">
      <w:pPr>
        <w:widowControl/>
        <w:spacing w:before="120" w:afterLines="50" w:after="156" w:line="280" w:lineRule="exact"/>
        <w:ind w:right="420"/>
        <w:contextualSpacing/>
        <w:rPr>
          <w:rFonts w:ascii="Times New Roman" w:eastAsia="仿宋" w:hAnsi="Times New Roman" w:cs="Arial"/>
          <w:b/>
          <w:bCs/>
          <w:sz w:val="24"/>
          <w:szCs w:val="24"/>
        </w:rPr>
      </w:pPr>
      <w:r>
        <w:rPr>
          <w:rFonts w:ascii="Times New Roman" w:eastAsia="仿宋" w:hAnsi="Times New Roman" w:cs="Arial" w:hint="eastAsia"/>
          <w:b/>
          <w:bCs/>
          <w:sz w:val="24"/>
          <w:szCs w:val="24"/>
        </w:rPr>
        <w:t>零一学院进阶式培养体系简介：</w:t>
      </w:r>
    </w:p>
    <w:p w14:paraId="160305E0" w14:textId="77777777" w:rsidR="00434C99" w:rsidRDefault="00C37485">
      <w:pPr>
        <w:spacing w:line="400" w:lineRule="exact"/>
        <w:ind w:firstLineChars="200" w:firstLine="480"/>
        <w:jc w:val="left"/>
        <w:rPr>
          <w:rFonts w:ascii="Times New Roman" w:eastAsia="仿宋" w:hAnsi="Times New Roman" w:cs="Arial"/>
          <w:sz w:val="24"/>
          <w:szCs w:val="24"/>
        </w:rPr>
      </w:pPr>
      <w:r>
        <w:rPr>
          <w:rFonts w:ascii="Times New Roman" w:eastAsia="仿宋" w:hAnsi="Times New Roman" w:cs="Arial"/>
          <w:sz w:val="24"/>
          <w:szCs w:val="24"/>
        </w:rPr>
        <w:t>零一学院打破传统以知识结构建设为核心、学段分割的培养模式，首次实现以重大挑战问题为牵引，以</w:t>
      </w:r>
      <w:r>
        <w:rPr>
          <w:rFonts w:ascii="Times New Roman" w:eastAsia="仿宋" w:hAnsi="Times New Roman" w:cs="Arial" w:hint="eastAsia"/>
          <w:sz w:val="24"/>
          <w:szCs w:val="24"/>
        </w:rPr>
        <w:t>“</w:t>
      </w:r>
      <w:r>
        <w:rPr>
          <w:rFonts w:ascii="Times New Roman" w:eastAsia="仿宋" w:hAnsi="Times New Roman" w:cs="Arial"/>
          <w:sz w:val="24"/>
          <w:szCs w:val="24"/>
        </w:rPr>
        <w:t>进阶研究</w:t>
      </w:r>
      <w:r>
        <w:rPr>
          <w:rFonts w:ascii="Times New Roman" w:eastAsia="仿宋" w:hAnsi="Times New Roman" w:cs="Arial"/>
          <w:sz w:val="24"/>
          <w:szCs w:val="24"/>
        </w:rPr>
        <w:t>—</w:t>
      </w:r>
      <w:r>
        <w:rPr>
          <w:rFonts w:ascii="Times New Roman" w:eastAsia="仿宋" w:hAnsi="Times New Roman" w:cs="Arial"/>
          <w:sz w:val="24"/>
          <w:szCs w:val="24"/>
        </w:rPr>
        <w:t>精深学习</w:t>
      </w:r>
      <w:r>
        <w:rPr>
          <w:rFonts w:ascii="Times New Roman" w:eastAsia="仿宋" w:hAnsi="Times New Roman" w:cs="Arial" w:hint="eastAsia"/>
          <w:sz w:val="24"/>
          <w:szCs w:val="24"/>
        </w:rPr>
        <w:t>”</w:t>
      </w:r>
      <w:r>
        <w:rPr>
          <w:rFonts w:ascii="Times New Roman" w:eastAsia="仿宋" w:hAnsi="Times New Roman" w:cs="Arial"/>
          <w:sz w:val="24"/>
          <w:szCs w:val="24"/>
        </w:rPr>
        <w:t>体系</w:t>
      </w:r>
      <w:r>
        <w:rPr>
          <w:rFonts w:ascii="Times New Roman" w:eastAsia="仿宋" w:hAnsi="Times New Roman" w:cs="Arial"/>
          <w:sz w:val="24"/>
          <w:szCs w:val="24"/>
        </w:rPr>
        <w:t>(Advanced Progressive Research for Intensive Learning</w:t>
      </w:r>
      <w:r>
        <w:rPr>
          <w:rFonts w:ascii="Times New Roman" w:eastAsia="仿宋" w:hAnsi="Times New Roman" w:cs="Arial"/>
          <w:sz w:val="24"/>
          <w:szCs w:val="24"/>
        </w:rPr>
        <w:t>，</w:t>
      </w:r>
      <w:r>
        <w:rPr>
          <w:rFonts w:ascii="Times New Roman" w:eastAsia="仿宋" w:hAnsi="Times New Roman" w:cs="Arial"/>
          <w:sz w:val="24"/>
          <w:szCs w:val="24"/>
        </w:rPr>
        <w:t>APRIL)</w:t>
      </w:r>
      <w:r>
        <w:rPr>
          <w:rFonts w:ascii="Times New Roman" w:eastAsia="仿宋" w:hAnsi="Times New Roman" w:cs="Arial"/>
          <w:sz w:val="24"/>
          <w:szCs w:val="24"/>
        </w:rPr>
        <w:t>为核心的人才</w:t>
      </w:r>
      <w:r>
        <w:rPr>
          <w:rFonts w:ascii="Times New Roman" w:eastAsia="仿宋" w:hAnsi="Times New Roman" w:cs="Arial" w:hint="eastAsia"/>
          <w:sz w:val="24"/>
          <w:szCs w:val="24"/>
        </w:rPr>
        <w:t>“</w:t>
      </w:r>
      <w:r>
        <w:rPr>
          <w:rFonts w:ascii="Times New Roman" w:eastAsia="仿宋" w:hAnsi="Times New Roman" w:cs="Arial"/>
          <w:sz w:val="24"/>
          <w:szCs w:val="24"/>
        </w:rPr>
        <w:t>成长</w:t>
      </w:r>
      <w:r>
        <w:rPr>
          <w:rFonts w:ascii="Times New Roman" w:eastAsia="仿宋" w:hAnsi="Times New Roman" w:cs="Arial"/>
          <w:sz w:val="24"/>
          <w:szCs w:val="24"/>
        </w:rPr>
        <w:t>-</w:t>
      </w:r>
      <w:r>
        <w:rPr>
          <w:rFonts w:ascii="Times New Roman" w:eastAsia="仿宋" w:hAnsi="Times New Roman" w:cs="Arial"/>
          <w:sz w:val="24"/>
          <w:szCs w:val="24"/>
        </w:rPr>
        <w:t>冒尖</w:t>
      </w:r>
      <w:r>
        <w:rPr>
          <w:rFonts w:ascii="Times New Roman" w:eastAsia="仿宋" w:hAnsi="Times New Roman" w:cs="Arial" w:hint="eastAsia"/>
          <w:sz w:val="24"/>
          <w:szCs w:val="24"/>
        </w:rPr>
        <w:t>”</w:t>
      </w:r>
      <w:r>
        <w:rPr>
          <w:rFonts w:ascii="Times New Roman" w:eastAsia="仿宋" w:hAnsi="Times New Roman" w:cs="Arial"/>
          <w:sz w:val="24"/>
          <w:szCs w:val="24"/>
        </w:rPr>
        <w:t>体系。进阶式研究学习是由入门、初阶的</w:t>
      </w:r>
      <w:r>
        <w:rPr>
          <w:rFonts w:ascii="Times New Roman" w:eastAsia="仿宋" w:hAnsi="Times New Roman" w:cs="Arial"/>
          <w:sz w:val="24"/>
          <w:szCs w:val="24"/>
        </w:rPr>
        <w:t>X-ideas</w:t>
      </w:r>
      <w:r>
        <w:rPr>
          <w:rFonts w:ascii="Times New Roman" w:eastAsia="仿宋" w:hAnsi="Times New Roman" w:cs="Arial"/>
          <w:sz w:val="24"/>
          <w:szCs w:val="24"/>
        </w:rPr>
        <w:t>（交叉创新挑战性问题）和多轮</w:t>
      </w:r>
      <w:r>
        <w:rPr>
          <w:rFonts w:ascii="Times New Roman" w:eastAsia="仿宋" w:hAnsi="Times New Roman" w:cs="Arial"/>
          <w:sz w:val="24"/>
          <w:szCs w:val="24"/>
        </w:rPr>
        <w:t>P/E SRT</w:t>
      </w:r>
      <w:r>
        <w:rPr>
          <w:rFonts w:ascii="Times New Roman" w:eastAsia="仿宋" w:hAnsi="Times New Roman" w:cs="Arial"/>
          <w:sz w:val="24"/>
          <w:szCs w:val="24"/>
        </w:rPr>
        <w:t>（学生研究训练），中阶的整一年的</w:t>
      </w:r>
      <w:r>
        <w:rPr>
          <w:rFonts w:ascii="Times New Roman" w:eastAsia="仿宋" w:hAnsi="Times New Roman" w:cs="Arial"/>
          <w:sz w:val="24"/>
          <w:szCs w:val="24"/>
        </w:rPr>
        <w:t>ORIC</w:t>
      </w:r>
      <w:r>
        <w:rPr>
          <w:rFonts w:ascii="Times New Roman" w:eastAsia="仿宋" w:hAnsi="Times New Roman" w:cs="Arial"/>
          <w:sz w:val="24"/>
          <w:szCs w:val="24"/>
        </w:rPr>
        <w:t>（开放挑战性创新研究），到高阶的在全球顶尖高校和企业半</w:t>
      </w:r>
      <w:r>
        <w:rPr>
          <w:rFonts w:ascii="Times New Roman" w:eastAsia="仿宋" w:hAnsi="Times New Roman" w:cs="Arial"/>
          <w:sz w:val="24"/>
          <w:szCs w:val="24"/>
        </w:rPr>
        <w:t>年实践的</w:t>
      </w:r>
      <w:r>
        <w:rPr>
          <w:rFonts w:ascii="Times New Roman" w:eastAsia="仿宋" w:hAnsi="Times New Roman" w:cs="Arial"/>
          <w:sz w:val="24"/>
          <w:szCs w:val="24"/>
        </w:rPr>
        <w:t>SURF</w:t>
      </w:r>
      <w:r>
        <w:rPr>
          <w:rFonts w:ascii="Times New Roman" w:eastAsia="仿宋" w:hAnsi="Times New Roman" w:cs="Arial"/>
          <w:sz w:val="24"/>
          <w:szCs w:val="24"/>
        </w:rPr>
        <w:t>（高年级学生研究员）等阶段组成。通过引入学术界、产业界及全球可持续发展所面临的重大挑战性问题，点燃学生颠覆传统、开创未知领域的激情与梦想；通过汇聚国内外做过</w:t>
      </w:r>
      <w:r>
        <w:rPr>
          <w:rFonts w:ascii="Times New Roman" w:eastAsia="仿宋" w:hAnsi="Times New Roman" w:cs="Arial" w:hint="eastAsia"/>
          <w:sz w:val="24"/>
          <w:szCs w:val="24"/>
        </w:rPr>
        <w:t>“</w:t>
      </w:r>
      <w:r>
        <w:rPr>
          <w:rFonts w:ascii="Times New Roman" w:eastAsia="仿宋" w:hAnsi="Times New Roman" w:cs="Arial"/>
          <w:sz w:val="24"/>
          <w:szCs w:val="24"/>
        </w:rPr>
        <w:t>从</w:t>
      </w:r>
      <w:r>
        <w:rPr>
          <w:rFonts w:ascii="Times New Roman" w:eastAsia="仿宋" w:hAnsi="Times New Roman" w:cs="Arial"/>
          <w:sz w:val="24"/>
          <w:szCs w:val="24"/>
        </w:rPr>
        <w:t>0</w:t>
      </w:r>
      <w:r>
        <w:rPr>
          <w:rFonts w:ascii="Times New Roman" w:eastAsia="仿宋" w:hAnsi="Times New Roman" w:cs="Arial"/>
          <w:sz w:val="24"/>
          <w:szCs w:val="24"/>
        </w:rPr>
        <w:t>到</w:t>
      </w:r>
      <w:r>
        <w:rPr>
          <w:rFonts w:ascii="Times New Roman" w:eastAsia="仿宋" w:hAnsi="Times New Roman" w:cs="Arial"/>
          <w:sz w:val="24"/>
          <w:szCs w:val="24"/>
        </w:rPr>
        <w:t>1</w:t>
      </w:r>
      <w:r>
        <w:rPr>
          <w:rFonts w:ascii="Times New Roman" w:eastAsia="仿宋" w:hAnsi="Times New Roman" w:cs="Arial" w:hint="eastAsia"/>
          <w:sz w:val="24"/>
          <w:szCs w:val="24"/>
        </w:rPr>
        <w:t>”</w:t>
      </w:r>
      <w:r>
        <w:rPr>
          <w:rFonts w:ascii="Times New Roman" w:eastAsia="仿宋" w:hAnsi="Times New Roman" w:cs="Arial"/>
          <w:sz w:val="24"/>
          <w:szCs w:val="24"/>
        </w:rPr>
        <w:t>、有着顶尖创新思维与人才培养经验的大导师，为创新者的成长提供关键点拨指导和高层次平台；通过科学设计、逐级上升的</w:t>
      </w:r>
      <w:r>
        <w:rPr>
          <w:rFonts w:ascii="Times New Roman" w:eastAsia="仿宋" w:hAnsi="Times New Roman" w:cs="Arial" w:hint="eastAsia"/>
          <w:sz w:val="24"/>
          <w:szCs w:val="24"/>
        </w:rPr>
        <w:t>“</w:t>
      </w:r>
      <w:r>
        <w:rPr>
          <w:rFonts w:ascii="Times New Roman" w:eastAsia="仿宋" w:hAnsi="Times New Roman" w:cs="Arial"/>
          <w:sz w:val="24"/>
          <w:szCs w:val="24"/>
        </w:rPr>
        <w:t>拔尖创新人才能力等级证书</w:t>
      </w:r>
      <w:r>
        <w:rPr>
          <w:rFonts w:ascii="Times New Roman" w:eastAsia="仿宋" w:hAnsi="Times New Roman" w:cs="Arial" w:hint="eastAsia"/>
          <w:sz w:val="24"/>
          <w:szCs w:val="24"/>
        </w:rPr>
        <w:t>”</w:t>
      </w:r>
      <w:r>
        <w:rPr>
          <w:rFonts w:ascii="Times New Roman" w:eastAsia="仿宋" w:hAnsi="Times New Roman" w:cs="Arial"/>
          <w:sz w:val="24"/>
          <w:szCs w:val="24"/>
        </w:rPr>
        <w:t>培养体系，为学生提供目标明确、反馈及时、能力匹配的高度</w:t>
      </w:r>
      <w:r>
        <w:rPr>
          <w:rFonts w:ascii="Times New Roman" w:eastAsia="仿宋" w:hAnsi="Times New Roman" w:cs="Arial" w:hint="eastAsia"/>
          <w:sz w:val="24"/>
          <w:szCs w:val="24"/>
        </w:rPr>
        <w:t>“</w:t>
      </w:r>
      <w:r>
        <w:rPr>
          <w:rFonts w:ascii="Times New Roman" w:eastAsia="仿宋" w:hAnsi="Times New Roman" w:cs="Arial"/>
          <w:sz w:val="24"/>
          <w:szCs w:val="24"/>
        </w:rPr>
        <w:t>心流</w:t>
      </w:r>
      <w:r>
        <w:rPr>
          <w:rFonts w:ascii="Times New Roman" w:eastAsia="仿宋" w:hAnsi="Times New Roman" w:cs="Arial" w:hint="eastAsia"/>
          <w:sz w:val="24"/>
          <w:szCs w:val="24"/>
        </w:rPr>
        <w:t>”</w:t>
      </w:r>
      <w:r>
        <w:rPr>
          <w:rFonts w:ascii="Times New Roman" w:eastAsia="仿宋" w:hAnsi="Times New Roman" w:cs="Arial"/>
          <w:sz w:val="24"/>
          <w:szCs w:val="24"/>
        </w:rPr>
        <w:t>创新成长体验。</w:t>
      </w:r>
    </w:p>
    <w:p w14:paraId="78A4153C" w14:textId="77777777" w:rsidR="00434C99" w:rsidRDefault="00434C99"/>
    <w:sectPr w:rsidR="00434C99">
      <w:pgSz w:w="11906" w:h="16838"/>
      <w:pgMar w:top="873" w:right="1800" w:bottom="873"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F2B64" w14:textId="77777777" w:rsidR="00C37485" w:rsidRDefault="00C37485" w:rsidP="00D12148">
      <w:r>
        <w:separator/>
      </w:r>
    </w:p>
  </w:endnote>
  <w:endnote w:type="continuationSeparator" w:id="0">
    <w:p w14:paraId="678065EA" w14:textId="77777777" w:rsidR="00C37485" w:rsidRDefault="00C37485" w:rsidP="00D12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55427C" w14:textId="77777777" w:rsidR="00C37485" w:rsidRDefault="00C37485" w:rsidP="00D12148">
      <w:r>
        <w:separator/>
      </w:r>
    </w:p>
  </w:footnote>
  <w:footnote w:type="continuationSeparator" w:id="0">
    <w:p w14:paraId="2C3996E5" w14:textId="77777777" w:rsidR="00C37485" w:rsidRDefault="00C37485" w:rsidP="00D121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8466F1"/>
    <w:rsid w:val="00096714"/>
    <w:rsid w:val="002014C4"/>
    <w:rsid w:val="00282F87"/>
    <w:rsid w:val="00353260"/>
    <w:rsid w:val="00434C99"/>
    <w:rsid w:val="004B288E"/>
    <w:rsid w:val="004F0946"/>
    <w:rsid w:val="0052625D"/>
    <w:rsid w:val="00535714"/>
    <w:rsid w:val="00562826"/>
    <w:rsid w:val="00653B88"/>
    <w:rsid w:val="006F2B19"/>
    <w:rsid w:val="0078671F"/>
    <w:rsid w:val="008466F1"/>
    <w:rsid w:val="008C5A57"/>
    <w:rsid w:val="0097512B"/>
    <w:rsid w:val="00A241F1"/>
    <w:rsid w:val="00AA4512"/>
    <w:rsid w:val="00AF1A11"/>
    <w:rsid w:val="00C37485"/>
    <w:rsid w:val="00C94165"/>
    <w:rsid w:val="00D12148"/>
    <w:rsid w:val="00D321A3"/>
    <w:rsid w:val="00D57C1E"/>
    <w:rsid w:val="00D62471"/>
    <w:rsid w:val="00E35839"/>
    <w:rsid w:val="00E37306"/>
    <w:rsid w:val="04621B08"/>
    <w:rsid w:val="07F10EC9"/>
    <w:rsid w:val="0D344F1E"/>
    <w:rsid w:val="19053D5D"/>
    <w:rsid w:val="192C4A82"/>
    <w:rsid w:val="2EBC0698"/>
    <w:rsid w:val="35D31230"/>
    <w:rsid w:val="3A173499"/>
    <w:rsid w:val="3BE0342A"/>
    <w:rsid w:val="3CB8655B"/>
    <w:rsid w:val="406A65F7"/>
    <w:rsid w:val="48BE6FE7"/>
    <w:rsid w:val="4A871F75"/>
    <w:rsid w:val="4DE659DD"/>
    <w:rsid w:val="534C21ED"/>
    <w:rsid w:val="558772CD"/>
    <w:rsid w:val="56ED2E56"/>
    <w:rsid w:val="623946E6"/>
    <w:rsid w:val="73F94615"/>
    <w:rsid w:val="778A445A"/>
    <w:rsid w:val="7D2A66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71C6A6"/>
  <w15:docId w15:val="{399AD8EC-E171-406D-8D26-8FE49C79E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1214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D12148"/>
    <w:rPr>
      <w:kern w:val="2"/>
      <w:sz w:val="18"/>
      <w:szCs w:val="18"/>
    </w:rPr>
  </w:style>
  <w:style w:type="paragraph" w:styleId="a6">
    <w:name w:val="footer"/>
    <w:basedOn w:val="a"/>
    <w:link w:val="a7"/>
    <w:uiPriority w:val="99"/>
    <w:unhideWhenUsed/>
    <w:rsid w:val="00D12148"/>
    <w:pPr>
      <w:tabs>
        <w:tab w:val="center" w:pos="4153"/>
        <w:tab w:val="right" w:pos="8306"/>
      </w:tabs>
      <w:snapToGrid w:val="0"/>
      <w:jc w:val="left"/>
    </w:pPr>
    <w:rPr>
      <w:sz w:val="18"/>
      <w:szCs w:val="18"/>
    </w:rPr>
  </w:style>
  <w:style w:type="character" w:customStyle="1" w:styleId="a7">
    <w:name w:val="页脚 字符"/>
    <w:basedOn w:val="a0"/>
    <w:link w:val="a6"/>
    <w:uiPriority w:val="99"/>
    <w:rsid w:val="00D1214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425</Words>
  <Characters>2429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rjx</dc:creator>
  <cp:lastModifiedBy>天志 黄</cp:lastModifiedBy>
  <cp:revision>8</cp:revision>
  <dcterms:created xsi:type="dcterms:W3CDTF">2022-09-18T13:35:00Z</dcterms:created>
  <dcterms:modified xsi:type="dcterms:W3CDTF">2026-10-24T15:32:00Z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FAA9601B9D944C24B921DBDE295128AF_13</vt:lpwstr>
  </property>
  <property fmtid="{D5CDD505-2E9C-101B-9397-08002B2CF9AE}" pid="4" name="KSOTemplateDocerSaveRecord">
    <vt:lpwstr>eyJoZGlkIjoiYzE3MDRmMmE4YTljNzkzZjQ5NDRmNDE4MGFkNzYxMzAiLCJ1c2VySWQiOiIxNzc2NDk5ODQzIn0=</vt:lpwstr>
  </property>
</Properties>
</file>