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黄天志个人独立研究方案</w:t>
      </w:r>
    </w:p>
    <w:p>
      <w:r>
        <w:t>面向可靠图像编辑的诊断式评价方法研究</w:t>
        <w:br/>
        <w:t>导师讨论稿 · 个人工作与团队职责分别核算</w:t>
      </w:r>
    </w:p>
    <w:p>
      <w:pPr>
        <w:pStyle w:val="Heading2"/>
      </w:pPr>
      <w:r>
        <w:t>定位与独立性</w:t>
      </w:r>
    </w:p>
    <w:p>
      <w:r>
        <w:t>研究一个会主动查证的图像编辑质检员：它理解指令、提出疑点，学习下一步检查哪里与什么属性，再根据证据保留或推翻诊断。独立课题可使用公开结果或固定工具生成数据，不等待团队动作表和决策器。独立是研究问题和实验链条可单独成立，不排斥导师指导、组外复核或共同署名。</w:t>
      </w:r>
    </w:p>
    <w:p>
      <w:pPr>
        <w:pStyle w:val="Heading2"/>
      </w:pPr>
      <w:r>
        <w:t>拟解决的两个核心问题</w:t>
      </w:r>
    </w:p>
    <w:p>
      <w:r>
        <w:t>一是可检验诊断学习。利用“对应错误被修正”和“无关内容被改善”等对照，学习诊断应何时撤销、保持或更新。二是主动核验学习。根据当前疑点与证据，选择区域、属性及检查方式，并决定何时停止。对合理关联变化的辨别是关键挑战，修复收益是应用扩展。</w:t>
      </w:r>
    </w:p>
    <w:p>
      <w:pPr>
        <w:pStyle w:val="Heading2"/>
      </w:pPr>
      <w:r>
        <w:t>起步任务与边界</w:t>
      </w:r>
    </w:p>
    <w:p>
      <w:r>
        <w:t>先覆盖改色与局部属性编辑中可核实的文字、对象和边界保持；再加入少量反光、材质等合理关联变化。起步场景简单是为验证机制，不把课题缩成固定分类器。第一版不开发通用修复器、不研究全部物理规律、不承担队友的编辑动作选择。</w:t>
      </w:r>
    </w:p>
    <w:tbl>
      <w:tblPr>
        <w:tblW w:type="auto" w:w="0"/>
        <w:tblLayout w:type="fixed"/>
        <w:tblLook w:firstColumn="1" w:firstRow="1" w:lastColumn="0" w:lastRow="0" w:noHBand="0" w:noVBand="1" w:val="04A0"/>
      </w:tblPr>
      <w:tblGrid>
        <w:gridCol w:w="4649"/>
        <w:gridCol w:w="4649"/>
      </w:tblGrid>
      <w:tr>
        <w:trPr>
          <w:tblHeader/>
        </w:trPr>
        <w:tc>
          <w:tcPr>
            <w:tcW w:type="dxa" w:w="2268"/>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条件</w:t>
            </w:r>
          </w:p>
        </w:tc>
        <w:tc>
          <w:tcPr>
            <w:tcW w:type="dxa" w:w="6803"/>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对方案的影响</w:t>
            </w:r>
          </w:p>
        </w:tc>
      </w:tr>
      <w:tr>
        <w:trPr/>
        <w:tc>
          <w:tcPr>
            <w:tcW w:type="dxa" w:w="2268"/>
            <w:tcBorders>
              <w:top w:val="single" w:sz="4" w:color="D9D9D9"/>
              <w:left w:val="single" w:sz="4" w:color="D9D9D9"/>
              <w:bottom w:val="single" w:sz="4" w:color="D9D9D9"/>
              <w:right w:val="single" w:sz="4" w:color="D9D9D9"/>
            </w:tcBorders>
          </w:tcPr>
          <w:p>
            <w:pPr>
              <w:spacing w:after="80" w:before="80" w:line="264" w:lineRule="auto"/>
            </w:pPr>
            <w:r>
              <w:rPr>
                <w:b w:val="0"/>
                <w:sz w:val="18"/>
              </w:rPr>
              <w:t>每周8–15小时</w:t>
            </w:r>
          </w:p>
        </w:tc>
        <w:tc>
          <w:tcPr>
            <w:tcW w:type="dxa" w:w="6803"/>
            <w:tcBorders>
              <w:top w:val="single" w:sz="4" w:color="D9D9D9"/>
              <w:left w:val="single" w:sz="4" w:color="D9D9D9"/>
              <w:bottom w:val="single" w:sz="4" w:color="D9D9D9"/>
              <w:right w:val="single" w:sz="4" w:color="D9D9D9"/>
            </w:tcBorders>
          </w:tcPr>
          <w:p>
            <w:pPr>
              <w:spacing w:after="80" w:before="80" w:line="264" w:lineRule="auto"/>
            </w:pPr>
            <w:r>
              <w:rPr>
                <w:b w:val="0"/>
                <w:sz w:val="18"/>
              </w:rPr>
              <w:t>按平均12小时做基准，考试期降低强度并顺延</w:t>
            </w:r>
          </w:p>
        </w:tc>
      </w:tr>
      <w:tr>
        <w:trPr/>
        <w:tc>
          <w:tcPr>
            <w:tcW w:type="dxa" w:w="2268"/>
            <w:tcBorders>
              <w:top w:val="single" w:sz="4" w:color="D9D9D9"/>
              <w:left w:val="single" w:sz="4" w:color="D9D9D9"/>
              <w:bottom w:val="single" w:sz="4" w:color="D9D9D9"/>
              <w:right w:val="single" w:sz="4" w:color="D9D9D9"/>
            </w:tcBorders>
          </w:tcPr>
          <w:p>
            <w:pPr>
              <w:spacing w:after="80" w:before="80" w:line="264" w:lineRule="auto"/>
            </w:pPr>
            <w:r>
              <w:rPr>
                <w:b w:val="0"/>
                <w:sz w:val="18"/>
              </w:rPr>
              <w:t>算力与API未知</w:t>
            </w:r>
          </w:p>
        </w:tc>
        <w:tc>
          <w:tcPr>
            <w:tcW w:type="dxa" w:w="6803"/>
            <w:tcBorders>
              <w:top w:val="single" w:sz="4" w:color="D9D9D9"/>
              <w:left w:val="single" w:sz="4" w:color="D9D9D9"/>
              <w:bottom w:val="single" w:sz="4" w:color="D9D9D9"/>
              <w:right w:val="single" w:sz="4" w:color="D9D9D9"/>
            </w:tcBorders>
          </w:tcPr>
          <w:p>
            <w:pPr>
              <w:spacing w:after="80" w:before="80" w:line="264" w:lineRule="auto"/>
            </w:pPr>
            <w:r>
              <w:rPr>
                <w:b w:val="0"/>
                <w:sz w:val="18"/>
              </w:rPr>
              <w:t>先冻结骨干、缓存证据、小头训练，再决定适配</w:t>
            </w:r>
          </w:p>
        </w:tc>
      </w:tr>
      <w:tr>
        <w:trPr/>
        <w:tc>
          <w:tcPr>
            <w:tcW w:type="dxa" w:w="2268"/>
            <w:tcBorders>
              <w:top w:val="single" w:sz="4" w:color="D9D9D9"/>
              <w:left w:val="single" w:sz="4" w:color="D9D9D9"/>
              <w:bottom w:val="single" w:sz="4" w:color="D9D9D9"/>
              <w:right w:val="single" w:sz="4" w:color="D9D9D9"/>
            </w:tcBorders>
          </w:tcPr>
          <w:p>
            <w:pPr>
              <w:spacing w:after="80" w:before="80" w:line="264" w:lineRule="auto"/>
            </w:pPr>
            <w:r>
              <w:rPr>
                <w:b w:val="0"/>
                <w:sz w:val="18"/>
              </w:rPr>
              <w:t>约1位标注助手</w:t>
            </w:r>
          </w:p>
        </w:tc>
        <w:tc>
          <w:tcPr>
            <w:tcW w:type="dxa" w:w="6803"/>
            <w:tcBorders>
              <w:top w:val="single" w:sz="4" w:color="D9D9D9"/>
              <w:left w:val="single" w:sz="4" w:color="D9D9D9"/>
              <w:bottom w:val="single" w:sz="4" w:color="D9D9D9"/>
              <w:right w:val="single" w:sz="4" w:color="D9D9D9"/>
            </w:tcBorders>
          </w:tcPr>
          <w:p>
            <w:pPr>
              <w:spacing w:after="80" w:before="80" w:line="264" w:lineRule="auto"/>
            </w:pPr>
            <w:r>
              <w:rPr>
                <w:b w:val="0"/>
                <w:sz w:val="18"/>
              </w:rPr>
              <w:t>个人承担主标；独立测试双评，团队组外盲评另协调</w:t>
            </w:r>
          </w:p>
        </w:tc>
      </w:tr>
      <w:tr>
        <w:trPr/>
        <w:tc>
          <w:tcPr>
            <w:tcW w:type="dxa" w:w="2268"/>
            <w:tcBorders>
              <w:top w:val="single" w:sz="4" w:color="D9D9D9"/>
              <w:left w:val="single" w:sz="4" w:color="D9D9D9"/>
              <w:bottom w:val="single" w:sz="4" w:color="D9D9D9"/>
              <w:right w:val="single" w:sz="4" w:color="D9D9D9"/>
            </w:tcBorders>
          </w:tcPr>
          <w:p>
            <w:pPr>
              <w:spacing w:after="80" w:before="80" w:line="264" w:lineRule="auto"/>
            </w:pPr>
            <w:r>
              <w:rPr>
                <w:b w:val="0"/>
                <w:sz w:val="18"/>
              </w:rPr>
              <w:t>原团队职责仍存在</w:t>
            </w:r>
          </w:p>
        </w:tc>
        <w:tc>
          <w:tcPr>
            <w:tcW w:type="dxa" w:w="6803"/>
            <w:tcBorders>
              <w:top w:val="single" w:sz="4" w:color="D9D9D9"/>
              <w:left w:val="single" w:sz="4" w:color="D9D9D9"/>
              <w:bottom w:val="single" w:sz="4" w:color="D9D9D9"/>
              <w:right w:val="single" w:sz="4" w:color="D9D9D9"/>
            </w:tcBorders>
          </w:tcPr>
          <w:p>
            <w:pPr>
              <w:spacing w:after="80" w:before="80" w:line="264" w:lineRule="auto"/>
            </w:pPr>
            <w:r>
              <w:rPr>
                <w:b w:val="0"/>
                <w:sz w:val="18"/>
              </w:rPr>
              <w:t>单独预留40–60小时，不能再全部算作独立研究时间</w:t>
            </w:r>
          </w:p>
        </w:tc>
      </w:tr>
    </w:tbl>
    <w:p/>
    <w:p>
      <w:r>
        <w:t>阶段成果可以是可信的负结果与边界分析；不保证首次、投稿等级或预定性能提升。正式学校申报需使用当年模板，ESRT副本仅为原申请的讨论修订。</w:t>
      </w:r>
    </w:p>
    <w:p>
      <w:r>
        <w:br w:type="page"/>
      </w:r>
    </w:p>
    <w:p>
      <w:pPr>
        <w:pStyle w:val="Heading1"/>
      </w:pPr>
      <w:r>
        <w:t>技术路线与个人交付物</w:t>
      </w:r>
    </w:p>
    <w:tbl>
      <w:tblPr>
        <w:tblW w:type="auto" w:w="0"/>
        <w:tblLayout w:type="fixed"/>
        <w:tblLook w:firstColumn="1" w:firstRow="1" w:lastColumn="0" w:lastRow="0" w:noHBand="0" w:noVBand="1" w:val="04A0"/>
      </w:tblPr>
      <w:tblGrid>
        <w:gridCol w:w="3099"/>
        <w:gridCol w:w="3099"/>
        <w:gridCol w:w="3099"/>
      </w:tblGrid>
      <w:tr>
        <w:trPr>
          <w:tblHeader/>
        </w:trPr>
        <w:tc>
          <w:tcPr>
            <w:tcW w:type="dxa" w:w="1701"/>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模块</w:t>
            </w:r>
          </w:p>
        </w:tc>
        <w:tc>
          <w:tcPr>
            <w:tcW w:type="dxa" w:w="4535"/>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个人工作</w:t>
            </w:r>
          </w:p>
        </w:tc>
        <w:tc>
          <w:tcPr>
            <w:tcW w:type="dxa" w:w="2835"/>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复用基础</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要求与诊断</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定义对象 属性 要求 证据 不确定性字段</w:t>
            </w:r>
          </w:p>
        </w:tc>
        <w:tc>
          <w:tcPr>
            <w:tcW w:type="dxa" w:w="2835"/>
            <w:tcBorders>
              <w:top w:val="single" w:sz="4" w:color="D9D9D9"/>
              <w:left w:val="single" w:sz="4" w:color="D9D9D9"/>
              <w:bottom w:val="single" w:sz="4" w:color="D9D9D9"/>
              <w:right w:val="single" w:sz="4" w:color="D9D9D9"/>
            </w:tcBorders>
          </w:tcPr>
          <w:p>
            <w:pPr>
              <w:spacing w:after="80" w:before="80" w:line="264" w:lineRule="auto"/>
            </w:pPr>
            <w:r>
              <w:rPr>
                <w:b w:val="0"/>
                <w:sz w:val="18"/>
              </w:rPr>
              <w:t>冻结多模态骨干提出候选</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响应学习</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真实性 修正撤销 无关稳定 新损伤监督</w:t>
            </w:r>
          </w:p>
        </w:tc>
        <w:tc>
          <w:tcPr>
            <w:tcW w:type="dxa" w:w="2835"/>
            <w:tcBorders>
              <w:top w:val="single" w:sz="4" w:color="D9D9D9"/>
              <w:left w:val="single" w:sz="4" w:color="D9D9D9"/>
              <w:bottom w:val="single" w:sz="4" w:color="D9D9D9"/>
              <w:right w:val="single" w:sz="4" w:color="D9D9D9"/>
            </w:tcBorders>
          </w:tcPr>
          <w:p>
            <w:pPr>
              <w:spacing w:after="80" w:before="80" w:line="264" w:lineRule="auto"/>
            </w:pPr>
            <w:r>
              <w:rPr>
                <w:b w:val="0"/>
                <w:sz w:val="18"/>
              </w:rPr>
              <w:t>缓存局部图像与表示</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主动核验</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区域×属性×工具候选价值学习及停止策略</w:t>
            </w:r>
          </w:p>
        </w:tc>
        <w:tc>
          <w:tcPr>
            <w:tcW w:type="dxa" w:w="2835"/>
            <w:tcBorders>
              <w:top w:val="single" w:sz="4" w:color="D9D9D9"/>
              <w:left w:val="single" w:sz="4" w:color="D9D9D9"/>
              <w:bottom w:val="single" w:sz="4" w:color="D9D9D9"/>
              <w:right w:val="single" w:sz="4" w:color="D9D9D9"/>
            </w:tcBorders>
          </w:tcPr>
          <w:p>
            <w:pPr>
              <w:spacing w:after="80" w:before="80" w:line="264" w:lineRule="auto"/>
            </w:pPr>
            <w:r>
              <w:rPr>
                <w:b w:val="0"/>
                <w:sz w:val="18"/>
              </w:rPr>
              <w:t>裁剪 OCR 检测 分割</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验证</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独立真值 成本 泛化 故障测试</w:t>
            </w:r>
          </w:p>
        </w:tc>
        <w:tc>
          <w:tcPr>
            <w:tcW w:type="dxa" w:w="2835"/>
            <w:tcBorders>
              <w:top w:val="single" w:sz="4" w:color="D9D9D9"/>
              <w:left w:val="single" w:sz="4" w:color="D9D9D9"/>
              <w:bottom w:val="single" w:sz="4" w:color="D9D9D9"/>
              <w:right w:val="single" w:sz="4" w:color="D9D9D9"/>
            </w:tcBorders>
          </w:tcPr>
          <w:p>
            <w:pPr>
              <w:spacing w:after="80" w:before="80" w:line="264" w:lineRule="auto"/>
            </w:pPr>
            <w:r>
              <w:rPr>
                <w:b w:val="0"/>
                <w:sz w:val="18"/>
              </w:rPr>
              <w:t>强评价模型与固定检查基线</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输出</w:t>
            </w:r>
          </w:p>
        </w:tc>
        <w:tc>
          <w:tcPr>
            <w:tcW w:type="dxa" w:w="4535"/>
            <w:tcBorders>
              <w:top w:val="single" w:sz="4" w:color="D9D9D9"/>
              <w:left w:val="single" w:sz="4" w:color="D9D9D9"/>
              <w:bottom w:val="single" w:sz="4" w:color="D9D9D9"/>
              <w:right w:val="single" w:sz="4" w:color="D9D9D9"/>
            </w:tcBorders>
          </w:tcPr>
          <w:p>
            <w:pPr>
              <w:spacing w:after="80" w:before="80" w:line="264" w:lineRule="auto"/>
            </w:pPr>
            <w:r>
              <w:rPr>
                <w:b w:val="0"/>
                <w:sz w:val="18"/>
              </w:rPr>
              <w:t>纠错及保护条件与版本化接口</w:t>
            </w:r>
          </w:p>
        </w:tc>
        <w:tc>
          <w:tcPr>
            <w:tcW w:type="dxa" w:w="2835"/>
            <w:tcBorders>
              <w:top w:val="single" w:sz="4" w:color="D9D9D9"/>
              <w:left w:val="single" w:sz="4" w:color="D9D9D9"/>
              <w:bottom w:val="single" w:sz="4" w:color="D9D9D9"/>
              <w:right w:val="single" w:sz="4" w:color="D9D9D9"/>
            </w:tcBorders>
          </w:tcPr>
          <w:p>
            <w:pPr>
              <w:spacing w:after="80" w:before="80" w:line="264" w:lineRule="auto"/>
            </w:pPr>
            <w:r>
              <w:rPr>
                <w:b w:val="0"/>
                <w:sz w:val="18"/>
              </w:rPr>
              <w:t>固定工具仅用于应用验证</w:t>
            </w:r>
          </w:p>
        </w:tc>
      </w:tr>
    </w:tbl>
    <w:p/>
    <w:p>
      <w:pPr>
        <w:pStyle w:val="Heading2"/>
      </w:pPr>
      <w:r>
        <w:t>学习实施</w:t>
      </w:r>
    </w:p>
    <w:p>
      <w:r>
        <w:t>诊断头学习当前错误是否真实，并约束对照间的响应；真实性监督防止“永远没有错”的退化解。检查头在训练时利用候选检查前后相对独立标签的诊断损失下降与实测成本学习排序，推理时不能访问标签。先监督学习，必要时再研究短序列策略，不默认采用强化学习。</w:t>
      </w:r>
    </w:p>
    <w:p>
      <w:r>
        <w:t>区域候选同时包括对象框、差异区域和覆盖性网格，避免永远只检查已怀疑位置。OCR不可读、对齐失败和工具缺失均有独立状态，不可编码成“无损伤”。小头不等于低总成本，骨干推理与工具调用均记录。</w:t>
      </w:r>
    </w:p>
    <w:p>
      <w:pPr>
        <w:pStyle w:val="Heading2"/>
      </w:pPr>
      <w:r>
        <w:t>独立完成的验收产物</w:t>
      </w:r>
    </w:p>
    <w:p>
      <w:r>
        <w:t>数据说明与拆分清单；诊断标注协议；对照诊断模型；下一步检查选择器；至少一个真实数据和一个留出编辑器实验；固定清单、直接工具路由与完整方法消融；个人报告和复现脚本。团队联合性能提升不作为个人课题完成的唯一条件。</w:t>
      </w:r>
    </w:p>
    <w:p>
      <w:pPr>
        <w:pStyle w:val="Heading2"/>
      </w:pPr>
      <w:r>
        <w:t>扩展储备</w:t>
      </w:r>
    </w:p>
    <w:p>
      <w:r>
        <w:t>所有28个idea保留在研究全景文档。复杂变化依赖图、在线图像干预、多轮历史追踪、反馈收益与保护条件学习为扩展；优先保留对照诊断、主动检查、不确定性与真实泛化。模块更多不自动带来鲁棒性。</w:t>
      </w:r>
    </w:p>
    <w:p>
      <w:r>
        <w:br w:type="page"/>
      </w:r>
    </w:p>
    <w:p>
      <w:pPr>
        <w:pStyle w:val="Heading1"/>
      </w:pPr>
      <w:r>
        <w:t>数据设计与实验可信度</w:t>
      </w:r>
    </w:p>
    <w:p>
      <w:r>
        <w:t>先用20组样例试标和计时，检查人类是否能判断合理变化与真实损伤。首轮可规划200组训练开发（例如160训练、40开发）与100组独立测试，每组约3–4种有效变化；组内变体并非独立样本，规模由试跑和学习曲线调整，不宣称已足够。</w:t>
      </w:r>
    </w:p>
    <w:p>
      <w:r>
        <w:t>训练可用自动候选与伪标签，但人工核验修改是否真的只改变目标因素。按原图先划分再构造变体；公开基准作为测试时不得同时用于训练。个人数据与团队封存测试做ID或图像哈希排重；团队开发样例若训练评价器，就不能继续充当该评价器的独立校准集。</w:t>
      </w:r>
    </w:p>
    <w:tbl>
      <w:tblPr>
        <w:tblW w:type="auto" w:w="0"/>
        <w:tblLayout w:type="fixed"/>
        <w:tblLook w:firstColumn="1" w:firstRow="1" w:lastColumn="0" w:lastRow="0" w:noHBand="0" w:noVBand="1" w:val="04A0"/>
      </w:tblPr>
      <w:tblGrid>
        <w:gridCol w:w="4649"/>
        <w:gridCol w:w="4649"/>
      </w:tblGrid>
      <w:tr>
        <w:trPr>
          <w:tblHeader/>
        </w:trPr>
        <w:tc>
          <w:tcPr>
            <w:tcW w:type="dxa" w:w="3969"/>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比较</w:t>
            </w:r>
          </w:p>
        </w:tc>
        <w:tc>
          <w:tcPr>
            <w:tcW w:type="dxa" w:w="5102"/>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回答的问题</w:t>
            </w:r>
          </w:p>
        </w:tc>
      </w:tr>
      <w:tr>
        <w:trPr/>
        <w:tc>
          <w:tcPr>
            <w:tcW w:type="dxa" w:w="3969"/>
            <w:tcBorders>
              <w:top w:val="single" w:sz="4" w:color="D9D9D9"/>
              <w:left w:val="single" w:sz="4" w:color="D9D9D9"/>
              <w:bottom w:val="single" w:sz="4" w:color="D9D9D9"/>
              <w:right w:val="single" w:sz="4" w:color="D9D9D9"/>
            </w:tcBorders>
          </w:tcPr>
          <w:p>
            <w:pPr>
              <w:spacing w:after="80" w:before="80" w:line="264" w:lineRule="auto"/>
            </w:pPr>
            <w:r>
              <w:rPr>
                <w:b w:val="0"/>
                <w:sz w:val="18"/>
              </w:rPr>
              <w:t>直接评价 vs 固定清单</w:t>
            </w:r>
          </w:p>
        </w:tc>
        <w:tc>
          <w:tcPr>
            <w:tcW w:type="dxa" w:w="5102"/>
            <w:tcBorders>
              <w:top w:val="single" w:sz="4" w:color="D9D9D9"/>
              <w:left w:val="single" w:sz="4" w:color="D9D9D9"/>
              <w:bottom w:val="single" w:sz="4" w:color="D9D9D9"/>
              <w:right w:val="single" w:sz="4" w:color="D9D9D9"/>
            </w:tcBorders>
          </w:tcPr>
          <w:p>
            <w:pPr>
              <w:spacing w:after="80" w:before="80" w:line="264" w:lineRule="auto"/>
            </w:pPr>
            <w:r>
              <w:rPr>
                <w:b w:val="0"/>
                <w:sz w:val="18"/>
              </w:rPr>
              <w:t>流程与额外观察本身有多少收益</w:t>
            </w:r>
          </w:p>
        </w:tc>
      </w:tr>
      <w:tr>
        <w:trPr/>
        <w:tc>
          <w:tcPr>
            <w:tcW w:type="dxa" w:w="3969"/>
            <w:tcBorders>
              <w:top w:val="single" w:sz="4" w:color="D9D9D9"/>
              <w:left w:val="single" w:sz="4" w:color="D9D9D9"/>
              <w:bottom w:val="single" w:sz="4" w:color="D9D9D9"/>
              <w:right w:val="single" w:sz="4" w:color="D9D9D9"/>
            </w:tcBorders>
          </w:tcPr>
          <w:p>
            <w:pPr>
              <w:spacing w:after="80" w:before="80" w:line="264" w:lineRule="auto"/>
            </w:pPr>
            <w:r>
              <w:rPr>
                <w:b w:val="0"/>
                <w:sz w:val="18"/>
              </w:rPr>
              <w:t>普通监督 vs 对照监督</w:t>
            </w:r>
          </w:p>
        </w:tc>
        <w:tc>
          <w:tcPr>
            <w:tcW w:type="dxa" w:w="5102"/>
            <w:tcBorders>
              <w:top w:val="single" w:sz="4" w:color="D9D9D9"/>
              <w:left w:val="single" w:sz="4" w:color="D9D9D9"/>
              <w:bottom w:val="single" w:sz="4" w:color="D9D9D9"/>
              <w:right w:val="single" w:sz="4" w:color="D9D9D9"/>
            </w:tcBorders>
          </w:tcPr>
          <w:p>
            <w:pPr>
              <w:spacing w:after="80" w:before="80" w:line="264" w:lineRule="auto"/>
            </w:pPr>
            <w:r>
              <w:rPr>
                <w:b w:val="0"/>
                <w:sz w:val="18"/>
              </w:rPr>
              <w:t>可检验诊断学习是否有效</w:t>
            </w:r>
          </w:p>
        </w:tc>
      </w:tr>
      <w:tr>
        <w:trPr/>
        <w:tc>
          <w:tcPr>
            <w:tcW w:type="dxa" w:w="3969"/>
            <w:tcBorders>
              <w:top w:val="single" w:sz="4" w:color="D9D9D9"/>
              <w:left w:val="single" w:sz="4" w:color="D9D9D9"/>
              <w:bottom w:val="single" w:sz="4" w:color="D9D9D9"/>
              <w:right w:val="single" w:sz="4" w:color="D9D9D9"/>
            </w:tcBorders>
          </w:tcPr>
          <w:p>
            <w:pPr>
              <w:spacing w:after="80" w:before="80" w:line="264" w:lineRule="auto"/>
            </w:pPr>
            <w:r>
              <w:rPr>
                <w:b w:val="0"/>
                <w:sz w:val="18"/>
              </w:rPr>
              <w:t>固定/随机/基础模型路由 vs 学习选择</w:t>
            </w:r>
          </w:p>
        </w:tc>
        <w:tc>
          <w:tcPr>
            <w:tcW w:type="dxa" w:w="5102"/>
            <w:tcBorders>
              <w:top w:val="single" w:sz="4" w:color="D9D9D9"/>
              <w:left w:val="single" w:sz="4" w:color="D9D9D9"/>
              <w:bottom w:val="single" w:sz="4" w:color="D9D9D9"/>
              <w:right w:val="single" w:sz="4" w:color="D9D9D9"/>
            </w:tcBorders>
          </w:tcPr>
          <w:p>
            <w:pPr>
              <w:spacing w:after="80" w:before="80" w:line="264" w:lineRule="auto"/>
            </w:pPr>
            <w:r>
              <w:rPr>
                <w:b w:val="0"/>
                <w:sz w:val="18"/>
              </w:rPr>
              <w:t>是否学会了有价值的下一步检查</w:t>
            </w:r>
          </w:p>
        </w:tc>
      </w:tr>
      <w:tr>
        <w:trPr/>
        <w:tc>
          <w:tcPr>
            <w:tcW w:type="dxa" w:w="3969"/>
            <w:tcBorders>
              <w:top w:val="single" w:sz="4" w:color="D9D9D9"/>
              <w:left w:val="single" w:sz="4" w:color="D9D9D9"/>
              <w:bottom w:val="single" w:sz="4" w:color="D9D9D9"/>
              <w:right w:val="single" w:sz="4" w:color="D9D9D9"/>
            </w:tcBorders>
          </w:tcPr>
          <w:p>
            <w:pPr>
              <w:spacing w:after="80" w:before="80" w:line="264" w:lineRule="auto"/>
            </w:pPr>
            <w:r>
              <w:rPr>
                <w:b w:val="0"/>
                <w:sz w:val="18"/>
              </w:rPr>
              <w:t>全量检查 vs 主动检查</w:t>
            </w:r>
          </w:p>
        </w:tc>
        <w:tc>
          <w:tcPr>
            <w:tcW w:type="dxa" w:w="5102"/>
            <w:tcBorders>
              <w:top w:val="single" w:sz="4" w:color="D9D9D9"/>
              <w:left w:val="single" w:sz="4" w:color="D9D9D9"/>
              <w:bottom w:val="single" w:sz="4" w:color="D9D9D9"/>
              <w:right w:val="single" w:sz="4" w:color="D9D9D9"/>
            </w:tcBorders>
          </w:tcPr>
          <w:p>
            <w:pPr>
              <w:spacing w:after="80" w:before="80" w:line="264" w:lineRule="auto"/>
            </w:pPr>
            <w:r>
              <w:rPr>
                <w:b w:val="0"/>
                <w:sz w:val="18"/>
              </w:rPr>
              <w:t>成本优势及性能上限</w:t>
            </w:r>
          </w:p>
        </w:tc>
      </w:tr>
      <w:tr>
        <w:trPr/>
        <w:tc>
          <w:tcPr>
            <w:tcW w:type="dxa" w:w="3969"/>
            <w:tcBorders>
              <w:top w:val="single" w:sz="4" w:color="D9D9D9"/>
              <w:left w:val="single" w:sz="4" w:color="D9D9D9"/>
              <w:bottom w:val="single" w:sz="4" w:color="D9D9D9"/>
              <w:right w:val="single" w:sz="4" w:color="D9D9D9"/>
            </w:tcBorders>
          </w:tcPr>
          <w:p>
            <w:pPr>
              <w:spacing w:after="80" w:before="80" w:line="264" w:lineRule="auto"/>
            </w:pPr>
            <w:r>
              <w:rPr>
                <w:b w:val="0"/>
                <w:sz w:val="18"/>
              </w:rPr>
              <w:t>真实与合成分报 留出编辑器</w:t>
            </w:r>
          </w:p>
        </w:tc>
        <w:tc>
          <w:tcPr>
            <w:tcW w:type="dxa" w:w="5102"/>
            <w:tcBorders>
              <w:top w:val="single" w:sz="4" w:color="D9D9D9"/>
              <w:left w:val="single" w:sz="4" w:color="D9D9D9"/>
              <w:bottom w:val="single" w:sz="4" w:color="D9D9D9"/>
              <w:right w:val="single" w:sz="4" w:color="D9D9D9"/>
            </w:tcBorders>
          </w:tcPr>
          <w:p>
            <w:pPr>
              <w:spacing w:after="80" w:before="80" w:line="264" w:lineRule="auto"/>
            </w:pPr>
            <w:r>
              <w:rPr>
                <w:b w:val="0"/>
                <w:sz w:val="18"/>
              </w:rPr>
              <w:t>是否仅识别合成痕迹或编辑器风格</w:t>
            </w:r>
          </w:p>
        </w:tc>
      </w:tr>
    </w:tbl>
    <w:p/>
    <w:p>
      <w:r>
        <w:t>报告误报漏报、修正撤销率、无关变化错误翻转、新损伤检出、合理变化误罚、风险覆盖曲线及准确性成本曲线。所有策略使用相同工具与信息权限。按原图分组估计置信区间，不把4个变体当4张独立原图。最终真值不能只来自自己的评价器。</w:t>
      </w:r>
    </w:p>
    <w:p>
      <w:pPr>
        <w:pStyle w:val="Heading2"/>
      </w:pPr>
      <w:r>
        <w:t>标注预算</w:t>
      </w:r>
    </w:p>
    <w:p>
      <w:r>
        <w:t>本人标注、规则修订与仲裁预计40–60小时，包含在个人数据阶段工时内，不另加一次。助手预计10–20小时另列。粗算：200组主标每组4–8分钟约13–27小时；25%复核约3–7小时；100组双评约13–27合计人时，再加规范与仲裁。两者是不同口径，应据试标统一更新。复杂核验轨迹可能提高时间。</w:t>
      </w:r>
    </w:p>
    <w:p>
      <w:r>
        <w:t>一个人工作一小时为一人时。组外双评是团队最终结论要求；个人方法开发者可以参与个人测试标注，但需如实披露并由独立复核者核对，不能称双人组外盲评。若要求该标准，必须再落实第二位组外人员。</w:t>
      </w:r>
    </w:p>
    <w:p>
      <w:r>
        <w:br w:type="page"/>
      </w:r>
    </w:p>
    <w:p>
      <w:pPr>
        <w:pStyle w:val="Heading1"/>
      </w:pPr>
      <w:r>
        <w:t>工作量与推进时间线</w:t>
      </w:r>
    </w:p>
    <w:tbl>
      <w:tblPr>
        <w:tblW w:type="auto" w:w="0"/>
        <w:tblLayout w:type="fixed"/>
        <w:tblLook w:firstColumn="1" w:firstRow="1" w:lastColumn="0" w:lastRow="0" w:noHBand="0" w:noVBand="1" w:val="04A0"/>
      </w:tblPr>
      <w:tblGrid>
        <w:gridCol w:w="1860"/>
        <w:gridCol w:w="1860"/>
        <w:gridCol w:w="1860"/>
        <w:gridCol w:w="1860"/>
        <w:gridCol w:w="1860"/>
      </w:tblGrid>
      <w:tr>
        <w:trPr>
          <w:tblHeader/>
        </w:trPr>
        <w:tc>
          <w:tcPr>
            <w:tcW w:type="dxa" w:w="1701"/>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阶段</w:t>
            </w:r>
          </w:p>
        </w:tc>
        <w:tc>
          <w:tcPr>
            <w:tcW w:type="dxa" w:w="1020"/>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周次</w:t>
            </w:r>
          </w:p>
        </w:tc>
        <w:tc>
          <w:tcPr>
            <w:tcW w:type="dxa" w:w="1134"/>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个人小时</w:t>
            </w:r>
          </w:p>
        </w:tc>
        <w:tc>
          <w:tcPr>
            <w:tcW w:type="dxa" w:w="1134"/>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团队小时</w:t>
            </w:r>
          </w:p>
        </w:tc>
        <w:tc>
          <w:tcPr>
            <w:tcW w:type="dxa" w:w="4082"/>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交付与判据</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定题与试跑</w:t>
            </w:r>
          </w:p>
        </w:tc>
        <w:tc>
          <w:tcPr>
            <w:tcW w:type="dxa" w:w="1020"/>
            <w:tcBorders>
              <w:top w:val="single" w:sz="4" w:color="D9D9D9"/>
              <w:left w:val="single" w:sz="4" w:color="D9D9D9"/>
              <w:bottom w:val="single" w:sz="4" w:color="D9D9D9"/>
              <w:right w:val="single" w:sz="4" w:color="D9D9D9"/>
            </w:tcBorders>
          </w:tcPr>
          <w:p>
            <w:pPr>
              <w:spacing w:after="80" w:before="80" w:line="264" w:lineRule="auto"/>
            </w:pPr>
            <w:r>
              <w:rPr>
                <w:b w:val="0"/>
                <w:sz w:val="18"/>
              </w:rPr>
              <w:t>1–4</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40</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8</w:t>
            </w:r>
          </w:p>
        </w:tc>
        <w:tc>
          <w:tcPr>
            <w:tcW w:type="dxa" w:w="4082"/>
            <w:tcBorders>
              <w:top w:val="single" w:sz="4" w:color="D9D9D9"/>
              <w:left w:val="single" w:sz="4" w:color="D9D9D9"/>
              <w:bottom w:val="single" w:sz="4" w:color="D9D9D9"/>
              <w:right w:val="single" w:sz="4" w:color="D9D9D9"/>
            </w:tcBorders>
          </w:tcPr>
          <w:p>
            <w:pPr>
              <w:spacing w:after="80" w:before="80" w:line="264" w:lineRule="auto"/>
            </w:pPr>
            <w:r>
              <w:rPr>
                <w:b w:val="0"/>
                <w:sz w:val="18"/>
              </w:rPr>
              <w:t>20组试标 资源清单 强基线失败案例</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数据与基础实现</w:t>
            </w:r>
          </w:p>
        </w:tc>
        <w:tc>
          <w:tcPr>
            <w:tcW w:type="dxa" w:w="1020"/>
            <w:tcBorders>
              <w:top w:val="single" w:sz="4" w:color="D9D9D9"/>
              <w:left w:val="single" w:sz="4" w:color="D9D9D9"/>
              <w:bottom w:val="single" w:sz="4" w:color="D9D9D9"/>
              <w:right w:val="single" w:sz="4" w:color="D9D9D9"/>
            </w:tcBorders>
          </w:tcPr>
          <w:p>
            <w:pPr>
              <w:spacing w:after="80" w:before="80" w:line="264" w:lineRule="auto"/>
            </w:pPr>
            <w:r>
              <w:rPr>
                <w:b w:val="0"/>
                <w:sz w:val="18"/>
              </w:rPr>
              <w:t>5–9</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50</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10</w:t>
            </w:r>
          </w:p>
        </w:tc>
        <w:tc>
          <w:tcPr>
            <w:tcW w:type="dxa" w:w="4082"/>
            <w:tcBorders>
              <w:top w:val="single" w:sz="4" w:color="D9D9D9"/>
              <w:left w:val="single" w:sz="4" w:color="D9D9D9"/>
              <w:bottom w:val="single" w:sz="4" w:color="D9D9D9"/>
              <w:right w:val="single" w:sz="4" w:color="D9D9D9"/>
            </w:tcBorders>
          </w:tcPr>
          <w:p>
            <w:pPr>
              <w:spacing w:after="80" w:before="80" w:line="264" w:lineRule="auto"/>
            </w:pPr>
            <w:r>
              <w:rPr>
                <w:b w:val="0"/>
                <w:sz w:val="18"/>
              </w:rPr>
              <w:t>拆分冻结 工具缓存 标注协议</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诊断学习</w:t>
            </w:r>
          </w:p>
        </w:tc>
        <w:tc>
          <w:tcPr>
            <w:tcW w:type="dxa" w:w="1020"/>
            <w:tcBorders>
              <w:top w:val="single" w:sz="4" w:color="D9D9D9"/>
              <w:left w:val="single" w:sz="4" w:color="D9D9D9"/>
              <w:bottom w:val="single" w:sz="4" w:color="D9D9D9"/>
              <w:right w:val="single" w:sz="4" w:color="D9D9D9"/>
            </w:tcBorders>
          </w:tcPr>
          <w:p>
            <w:pPr>
              <w:spacing w:after="80" w:before="80" w:line="264" w:lineRule="auto"/>
            </w:pPr>
            <w:r>
              <w:rPr>
                <w:b w:val="0"/>
                <w:sz w:val="18"/>
              </w:rPr>
              <w:t>10–15</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60</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12</w:t>
            </w:r>
          </w:p>
        </w:tc>
        <w:tc>
          <w:tcPr>
            <w:tcW w:type="dxa" w:w="4082"/>
            <w:tcBorders>
              <w:top w:val="single" w:sz="4" w:color="D9D9D9"/>
              <w:left w:val="single" w:sz="4" w:color="D9D9D9"/>
              <w:bottom w:val="single" w:sz="4" w:color="D9D9D9"/>
              <w:right w:val="single" w:sz="4" w:color="D9D9D9"/>
            </w:tcBorders>
          </w:tcPr>
          <w:p>
            <w:pPr>
              <w:spacing w:after="80" w:before="80" w:line="264" w:lineRule="auto"/>
            </w:pPr>
            <w:r>
              <w:rPr>
                <w:b w:val="0"/>
                <w:sz w:val="18"/>
              </w:rPr>
              <w:t>训练模型 真实开发集响应实验</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主动核验</w:t>
            </w:r>
          </w:p>
        </w:tc>
        <w:tc>
          <w:tcPr>
            <w:tcW w:type="dxa" w:w="1020"/>
            <w:tcBorders>
              <w:top w:val="single" w:sz="4" w:color="D9D9D9"/>
              <w:left w:val="single" w:sz="4" w:color="D9D9D9"/>
              <w:bottom w:val="single" w:sz="4" w:color="D9D9D9"/>
              <w:right w:val="single" w:sz="4" w:color="D9D9D9"/>
            </w:tcBorders>
          </w:tcPr>
          <w:p>
            <w:pPr>
              <w:spacing w:after="80" w:before="80" w:line="264" w:lineRule="auto"/>
            </w:pPr>
            <w:r>
              <w:rPr>
                <w:b w:val="0"/>
                <w:sz w:val="18"/>
              </w:rPr>
              <w:t>16–21</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60</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12</w:t>
            </w:r>
          </w:p>
        </w:tc>
        <w:tc>
          <w:tcPr>
            <w:tcW w:type="dxa" w:w="4082"/>
            <w:tcBorders>
              <w:top w:val="single" w:sz="4" w:color="D9D9D9"/>
              <w:left w:val="single" w:sz="4" w:color="D9D9D9"/>
              <w:bottom w:val="single" w:sz="4" w:color="D9D9D9"/>
              <w:right w:val="single" w:sz="4" w:color="D9D9D9"/>
            </w:tcBorders>
          </w:tcPr>
          <w:p>
            <w:pPr>
              <w:spacing w:after="80" w:before="80" w:line="264" w:lineRule="auto"/>
            </w:pPr>
            <w:r>
              <w:rPr>
                <w:b w:val="0"/>
                <w:sz w:val="18"/>
              </w:rPr>
              <w:t>区域与检查选择 等预算消融</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独立验证</w:t>
            </w:r>
          </w:p>
        </w:tc>
        <w:tc>
          <w:tcPr>
            <w:tcW w:type="dxa" w:w="1020"/>
            <w:tcBorders>
              <w:top w:val="single" w:sz="4" w:color="D9D9D9"/>
              <w:left w:val="single" w:sz="4" w:color="D9D9D9"/>
              <w:bottom w:val="single" w:sz="4" w:color="D9D9D9"/>
              <w:right w:val="single" w:sz="4" w:color="D9D9D9"/>
            </w:tcBorders>
          </w:tcPr>
          <w:p>
            <w:pPr>
              <w:spacing w:after="80" w:before="80" w:line="264" w:lineRule="auto"/>
            </w:pPr>
            <w:r>
              <w:rPr>
                <w:b w:val="0"/>
                <w:sz w:val="18"/>
              </w:rPr>
              <w:t>22–26</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50</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10</w:t>
            </w:r>
          </w:p>
        </w:tc>
        <w:tc>
          <w:tcPr>
            <w:tcW w:type="dxa" w:w="4082"/>
            <w:tcBorders>
              <w:top w:val="single" w:sz="4" w:color="D9D9D9"/>
              <w:left w:val="single" w:sz="4" w:color="D9D9D9"/>
              <w:bottom w:val="single" w:sz="4" w:color="D9D9D9"/>
              <w:right w:val="single" w:sz="4" w:color="D9D9D9"/>
            </w:tcBorders>
          </w:tcPr>
          <w:p>
            <w:pPr>
              <w:spacing w:after="80" w:before="80" w:line="264" w:lineRule="auto"/>
            </w:pPr>
            <w:r>
              <w:rPr>
                <w:b w:val="0"/>
                <w:sz w:val="18"/>
              </w:rPr>
              <w:t>泛化 故障 成本及封存准备</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总结与对接</w:t>
            </w:r>
          </w:p>
        </w:tc>
        <w:tc>
          <w:tcPr>
            <w:tcW w:type="dxa" w:w="1020"/>
            <w:tcBorders>
              <w:top w:val="single" w:sz="4" w:color="D9D9D9"/>
              <w:left w:val="single" w:sz="4" w:color="D9D9D9"/>
              <w:bottom w:val="single" w:sz="4" w:color="D9D9D9"/>
              <w:right w:val="single" w:sz="4" w:color="D9D9D9"/>
            </w:tcBorders>
          </w:tcPr>
          <w:p>
            <w:pPr>
              <w:spacing w:after="80" w:before="80" w:line="264" w:lineRule="auto"/>
            </w:pPr>
            <w:r>
              <w:rPr>
                <w:b w:val="0"/>
                <w:sz w:val="18"/>
              </w:rPr>
              <w:t>27–30</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40</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8</w:t>
            </w:r>
          </w:p>
        </w:tc>
        <w:tc>
          <w:tcPr>
            <w:tcW w:type="dxa" w:w="4082"/>
            <w:tcBorders>
              <w:top w:val="single" w:sz="4" w:color="D9D9D9"/>
              <w:left w:val="single" w:sz="4" w:color="D9D9D9"/>
              <w:bottom w:val="single" w:sz="4" w:color="D9D9D9"/>
              <w:right w:val="single" w:sz="4" w:color="D9D9D9"/>
            </w:tcBorders>
          </w:tcPr>
          <w:p>
            <w:pPr>
              <w:spacing w:after="80" w:before="80" w:line="264" w:lineRule="auto"/>
            </w:pPr>
            <w:r>
              <w:rPr>
                <w:b w:val="0"/>
                <w:sz w:val="18"/>
              </w:rPr>
              <w:t>个人报告 接口复现 联合实验或待接入包</w:t>
            </w:r>
          </w:p>
        </w:tc>
      </w:tr>
      <w:tr>
        <w:trPr/>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合计</w:t>
            </w:r>
          </w:p>
        </w:tc>
        <w:tc>
          <w:tcPr>
            <w:tcW w:type="dxa" w:w="1020"/>
            <w:tcBorders>
              <w:top w:val="single" w:sz="4" w:color="D9D9D9"/>
              <w:left w:val="single" w:sz="4" w:color="D9D9D9"/>
              <w:bottom w:val="single" w:sz="4" w:color="D9D9D9"/>
              <w:right w:val="single" w:sz="4" w:color="D9D9D9"/>
            </w:tcBorders>
          </w:tcPr>
          <w:p>
            <w:pPr>
              <w:spacing w:after="80" w:before="80" w:line="264" w:lineRule="auto"/>
            </w:pPr>
            <w:r>
              <w:rPr>
                <w:b w:val="0"/>
                <w:sz w:val="18"/>
              </w:rPr>
              <w:t>30周</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300</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60</w:t>
            </w:r>
          </w:p>
        </w:tc>
        <w:tc>
          <w:tcPr>
            <w:tcW w:type="dxa" w:w="4082"/>
            <w:tcBorders>
              <w:top w:val="single" w:sz="4" w:color="D9D9D9"/>
              <w:left w:val="single" w:sz="4" w:color="D9D9D9"/>
              <w:bottom w:val="single" w:sz="4" w:color="D9D9D9"/>
              <w:right w:val="single" w:sz="4" w:color="D9D9D9"/>
            </w:tcBorders>
          </w:tcPr>
          <w:p>
            <w:pPr>
              <w:spacing w:after="80" w:before="80" w:line="264" w:lineRule="auto"/>
            </w:pPr>
            <w:r>
              <w:rPr>
                <w:b w:val="0"/>
                <w:sz w:val="18"/>
              </w:rPr>
              <w:t>360小时 每周平均12小时</w:t>
            </w:r>
          </w:p>
        </w:tc>
      </w:tr>
    </w:tbl>
    <w:p/>
    <w:p>
      <w:r>
        <w:t>总量估算：个人260–340小时、团队额外40–60小时，合计300–400小时。前表为360小时基准，不是对每个阶段的精确预测。标注包含于个人工作，不重复累计；助手和其他组外评分者工时不算你的个人小时。GPU等待不按持续人工工作计时。</w:t>
      </w:r>
    </w:p>
    <w:tbl>
      <w:tblPr>
        <w:tblW w:type="auto" w:w="0"/>
        <w:tblLayout w:type="fixed"/>
        <w:tblLook w:firstColumn="1" w:firstRow="1" w:lastColumn="0" w:lastRow="0" w:noHBand="0" w:noVBand="1" w:val="04A0"/>
      </w:tblPr>
      <w:tblGrid>
        <w:gridCol w:w="4649"/>
        <w:gridCol w:w="4649"/>
      </w:tblGrid>
      <w:tr>
        <w:trPr>
          <w:tblHeader/>
        </w:trPr>
        <w:tc>
          <w:tcPr>
            <w:tcW w:type="dxa" w:w="3402"/>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每周总投入</w:t>
            </w:r>
          </w:p>
        </w:tc>
        <w:tc>
          <w:tcPr>
            <w:tcW w:type="dxa" w:w="5669"/>
            <w:tcBorders>
              <w:top w:val="single" w:sz="4" w:color="D9D9D9"/>
              <w:left w:val="single" w:sz="4" w:color="D9D9D9"/>
              <w:bottom w:val="single" w:sz="4" w:color="D9D9D9"/>
              <w:right w:val="single" w:sz="4" w:color="D9D9D9"/>
            </w:tcBorders>
            <w:shd w:fill="E7EEF4"/>
          </w:tcPr>
          <w:p>
            <w:pPr>
              <w:spacing w:after="80" w:before="80" w:line="264" w:lineRule="auto"/>
            </w:pPr>
            <w:r>
              <w:rPr>
                <w:b/>
                <w:sz w:val="18"/>
              </w:rPr>
              <w:t>300–400小时所需有效周数</w:t>
            </w:r>
          </w:p>
        </w:tc>
      </w:tr>
      <w:tr>
        <w:trPr/>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8小时</w:t>
            </w:r>
          </w:p>
        </w:tc>
        <w:tc>
          <w:tcPr>
            <w:tcW w:type="dxa" w:w="5669"/>
            <w:tcBorders>
              <w:top w:val="single" w:sz="4" w:color="D9D9D9"/>
              <w:left w:val="single" w:sz="4" w:color="D9D9D9"/>
              <w:bottom w:val="single" w:sz="4" w:color="D9D9D9"/>
              <w:right w:val="single" w:sz="4" w:color="D9D9D9"/>
            </w:tcBorders>
          </w:tcPr>
          <w:p>
            <w:pPr>
              <w:spacing w:after="80" w:before="80" w:line="264" w:lineRule="auto"/>
            </w:pPr>
            <w:r>
              <w:rPr>
                <w:b w:val="0"/>
                <w:sz w:val="18"/>
              </w:rPr>
              <w:t>约38–50周</w:t>
            </w:r>
          </w:p>
        </w:tc>
      </w:tr>
      <w:tr>
        <w:trPr/>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12小时</w:t>
            </w:r>
          </w:p>
        </w:tc>
        <w:tc>
          <w:tcPr>
            <w:tcW w:type="dxa" w:w="5669"/>
            <w:tcBorders>
              <w:top w:val="single" w:sz="4" w:color="D9D9D9"/>
              <w:left w:val="single" w:sz="4" w:color="D9D9D9"/>
              <w:bottom w:val="single" w:sz="4" w:color="D9D9D9"/>
              <w:right w:val="single" w:sz="4" w:color="D9D9D9"/>
            </w:tcBorders>
          </w:tcPr>
          <w:p>
            <w:pPr>
              <w:spacing w:after="80" w:before="80" w:line="264" w:lineRule="auto"/>
            </w:pPr>
            <w:r>
              <w:rPr>
                <w:b w:val="0"/>
                <w:sz w:val="18"/>
              </w:rPr>
              <w:t>约25–34周</w:t>
            </w:r>
          </w:p>
        </w:tc>
      </w:tr>
      <w:tr>
        <w:trPr/>
        <w:tc>
          <w:tcPr>
            <w:tcW w:type="dxa" w:w="3402"/>
            <w:tcBorders>
              <w:top w:val="single" w:sz="4" w:color="D9D9D9"/>
              <w:left w:val="single" w:sz="4" w:color="D9D9D9"/>
              <w:bottom w:val="single" w:sz="4" w:color="D9D9D9"/>
              <w:right w:val="single" w:sz="4" w:color="D9D9D9"/>
            </w:tcBorders>
          </w:tcPr>
          <w:p>
            <w:pPr>
              <w:spacing w:after="80" w:before="80" w:line="264" w:lineRule="auto"/>
            </w:pPr>
            <w:r>
              <w:rPr>
                <w:b w:val="0"/>
                <w:sz w:val="18"/>
              </w:rPr>
              <w:t>15小时</w:t>
            </w:r>
          </w:p>
        </w:tc>
        <w:tc>
          <w:tcPr>
            <w:tcW w:type="dxa" w:w="5669"/>
            <w:tcBorders>
              <w:top w:val="single" w:sz="4" w:color="D9D9D9"/>
              <w:left w:val="single" w:sz="4" w:color="D9D9D9"/>
              <w:bottom w:val="single" w:sz="4" w:color="D9D9D9"/>
              <w:right w:val="single" w:sz="4" w:color="D9D9D9"/>
            </w:tcBorders>
          </w:tcPr>
          <w:p>
            <w:pPr>
              <w:spacing w:after="80" w:before="80" w:line="264" w:lineRule="auto"/>
            </w:pPr>
            <w:r>
              <w:rPr>
                <w:b w:val="0"/>
                <w:sz w:val="18"/>
              </w:rPr>
              <w:t>约20–27周</w:t>
            </w:r>
          </w:p>
        </w:tc>
      </w:tr>
    </w:tbl>
    <w:p/>
    <w:p>
      <w:r>
        <w:t>若2026年11月2日启动，30个连续有效周到2027年5月30日；另留约4个日历周处理考试、节假日或GPU排队，目标可放至6月下旬。仅为排期示例，不代表学校开题或结题期限。若只能每周8小时，应延长周期或取消扩展，不能按12小时计划硬赶。</w:t>
      </w:r>
    </w:p>
    <w:p>
      <w:r>
        <w:t>每周基准：5小时实现与训练、3小时数据或实验、2小时阅读与记录、2小时团队任务。阶段不同可调整。每两周提交一个可复现结果给导师；每四周重新估算剩余工作。团队动作表延迟时，继续个人数据和诊断实验，不空等。</w:t>
      </w:r>
    </w:p>
    <w:p>
      <w:r>
        <w:br w:type="page"/>
      </w:r>
    </w:p>
    <w:p>
      <w:pPr>
        <w:pStyle w:val="Heading1"/>
      </w:pPr>
      <w:r>
        <w:t>资源 里程碑与导师讨论</w:t>
      </w:r>
    </w:p>
    <w:p>
      <w:pPr>
        <w:pStyle w:val="Heading2"/>
      </w:pPr>
      <w:r>
        <w:t>需要尽早确认的资源</w:t>
      </w:r>
    </w:p>
    <w:p>
      <w:r>
        <w:t>确认可用GPU显存、预约时段与能否长期缓存；API是否有经费；数据及模型许可；标注助手可投入时数；导师沟通频率。先测20组的耗时、失败率和显存，再选骨干与训练方式。没有GPU时可先做公开结果和离线特征实验，但不能隐瞒特征获取成本。</w:t>
      </w:r>
    </w:p>
    <w:p>
      <w:r>
        <w:t>经费暂按1400–3000元为个人预算占位：算力/API 800–1800、复核400–800、存储重跑200–400。不是报价，也不表示学校会批准。按试跑换算机时与调用费用；团队4.3万次级生成与最终盲评另列，不能塞进这份个人预算。</w:t>
      </w:r>
    </w:p>
    <w:p>
      <w:pPr>
        <w:pStyle w:val="Heading2"/>
      </w:pPr>
      <w:r>
        <w:t>继续或调整的判据</w:t>
      </w:r>
    </w:p>
    <w:p>
      <w:r>
        <w:t>W4：若人工共识不足，先修定义；若强基线已足够好，重新定位真难例。W15：若合成收益不迁移，调整数据和表示，不盲目补标。W21：若主动策略不胜固定清单，如实保留诊断学习贡献并分析成本边界。封存前冻结配置；若工具质量制约方法，人工可靠证据仅作上限诊断，不能作为部署成绩。</w:t>
      </w:r>
    </w:p>
    <w:p>
      <w:pPr>
        <w:pStyle w:val="Heading2"/>
      </w:pPr>
      <w:r>
        <w:t>需要导师判断的三件事</w:t>
      </w:r>
    </w:p>
    <w:p>
      <w:r>
        <w:t>一是可检验诊断与证据选择的具体监督是否具有实质差异；二是两类最值得研究且可获得人工共识的失败场景；三是资源是否支持一学期以上的个人训练与验证。独立课题不承诺全部想法同时落地，核心成果应有代码、数据依据和可信实验。</w:t>
      </w:r>
    </w:p>
    <w:p>
      <w:pPr>
        <w:pStyle w:val="Heading2"/>
      </w:pPr>
      <w:r>
        <w:t>主要近邻与差异假设</w:t>
      </w:r>
    </w:p>
    <w:p>
      <w:r>
        <w:t>EditProbe已有中间层评分适配，SpatialReward已有区域核验，RewardHarness已有工具技能选择，ReasonEdit已有解释质量学习，R³-Refiner已有反馈修复。拟新增的是诊断在受控变化下的响应监督，以及由这些条件驱动的证据价值学习。差异需同工具、同预算实验确立，不能以改名或接入开源替代。</w:t>
      </w:r>
    </w:p>
    <w:p>
      <w:pPr>
        <w:spacing w:after="40"/>
      </w:pPr>
      <w:r>
        <w:rPr>
          <w:sz w:val="16"/>
        </w:rPr>
        <w:t>EditProbe https://arxiv.org/abs/2603.19775</w:t>
      </w:r>
    </w:p>
    <w:p>
      <w:pPr>
        <w:spacing w:after="40"/>
      </w:pPr>
      <w:r>
        <w:rPr>
          <w:sz w:val="16"/>
        </w:rPr>
        <w:t>SpatialReward https://arxiv.org/abs/2602.07458</w:t>
      </w:r>
    </w:p>
    <w:p>
      <w:pPr>
        <w:spacing w:after="40"/>
      </w:pPr>
      <w:r>
        <w:rPr>
          <w:sz w:val="16"/>
        </w:rPr>
        <w:t>RewardHarness https://arxiv.org/abs/2605.08703</w:t>
      </w:r>
    </w:p>
    <w:p>
      <w:pPr>
        <w:spacing w:after="40"/>
      </w:pPr>
      <w:r>
        <w:rPr>
          <w:sz w:val="16"/>
        </w:rPr>
        <w:t>ReasonEdit https://arxiv.org/abs/2605.07477</w:t>
      </w:r>
    </w:p>
    <w:p>
      <w:pPr>
        <w:spacing w:after="40"/>
      </w:pPr>
      <w:r>
        <w:rPr>
          <w:sz w:val="16"/>
        </w:rPr>
        <w:t>R³-Refiner https://arxiv.org/abs/2605.19639</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导师讨论稿  ·  2026年10月28日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Microsoft YaHei" w:hAnsi="Microsoft YaHei" w:eastAsia="微软雅黑"/>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微软雅黑"/>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