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Assurance</w:t>
      </w:r>
      <w:r>
        <w:t xml:space="preserve"> </w:t>
      </w:r>
      <w:r>
        <w:t xml:space="preserve">Using</w:t>
      </w:r>
      <w:r>
        <w:t xml:space="preserve"> </w:t>
      </w:r>
      <w:r>
        <w:t xml:space="preserve">East-R</w:t>
      </w:r>
    </w:p>
    <w:p>
      <w:pPr>
        <w:pStyle w:val="Author"/>
      </w:pPr>
      <w:r>
        <w:t xml:space="preserve">J.</w:t>
      </w:r>
      <w:r>
        <w:t xml:space="preserve"> </w:t>
      </w:r>
      <w:r>
        <w:t xml:space="preserve">Kyle</w:t>
      </w:r>
      <w:r>
        <w:t xml:space="preserve"> </w:t>
      </w:r>
      <w:r>
        <w:t xml:space="preserve">Wathen</w:t>
      </w:r>
      <w:r>
        <w:t xml:space="preserve"> </w:t>
      </w:r>
      <w:r>
        <w:t xml:space="preserve">and</w:t>
      </w:r>
      <w:r>
        <w:t xml:space="preserve"> </w:t>
      </w:r>
      <w:r>
        <w:t xml:space="preserve">Laurent</w:t>
      </w:r>
      <w:r>
        <w:t xml:space="preserve"> </w:t>
      </w:r>
      <w:r>
        <w:t xml:space="preserve">Spiess</w:t>
      </w:r>
    </w:p>
    <w:p>
      <w:pPr>
        <w:pStyle w:val="Date"/>
      </w:pPr>
      <w:r>
        <w:t xml:space="preserve">February</w:t>
      </w:r>
      <w:r>
        <w:t xml:space="preserve"> </w:t>
      </w:r>
      <w:r>
        <w:t xml:space="preserve">01,</w:t>
      </w:r>
      <w:r>
        <w:t xml:space="preserve"> </w:t>
      </w:r>
      <w:r>
        <w:t xml:space="preserve">2024</w:t>
      </w:r>
    </w:p>
    <w:bookmarkStart w:id="20" w:name="introduction"/>
    <w:p>
      <w:pPr>
        <w:pStyle w:val="Heading1"/>
      </w:pPr>
      <w:r>
        <w:t xml:space="preserve">Introduction</w:t>
      </w:r>
    </w:p>
    <w:p>
      <w:pPr>
        <w:pStyle w:val="FirstParagraph"/>
      </w:pPr>
      <w:r>
        <w:t xml:space="preserve">The intent of this example is to demonstrate the computation of Bayesian assurance, or probability of success, through the integration of East and R using a series of example. These examples begin with a 2-arm, normal outcome, fixed sample trial assuming a non-standard prior for computation of assurance. The examples progress to a more complex setting of computing assurance for a sequence of a phase 2 trial with normal outcomes followed by a phase 3 trial where the outcome is time-to-event.</w:t>
      </w:r>
    </w:p>
    <w:p>
      <w:pPr>
        <w:pStyle w:val="BodyText"/>
      </w:pPr>
      <w:r>
        <w:t xml:space="preserve">The examples will all contain two treatments, Standard of Care (S) and Experimental (E) and are follows:</w:t>
      </w:r>
    </w:p>
    <w:p>
      <w:pPr>
        <w:numPr>
          <w:ilvl w:val="0"/>
          <w:numId w:val="1001"/>
        </w:numPr>
        <w:pStyle w:val="Compact"/>
      </w:pPr>
      <w:r>
        <w:t xml:space="preserve">Fixed sample design using a mixture of normal distributions for computation of assurance</w:t>
      </w:r>
    </w:p>
    <w:p>
      <w:pPr>
        <w:numPr>
          <w:ilvl w:val="0"/>
          <w:numId w:val="1001"/>
        </w:numPr>
        <w:pStyle w:val="Compact"/>
      </w:pPr>
      <w:r>
        <w:t xml:space="preserve">Expand example 1 to a group sequential design with an interim for futility based on a Bayesian predictive probability</w:t>
      </w:r>
    </w:p>
    <w:p>
      <w:pPr>
        <w:numPr>
          <w:ilvl w:val="0"/>
          <w:numId w:val="1001"/>
        </w:numPr>
        <w:pStyle w:val="Compact"/>
      </w:pPr>
      <w:r>
        <w:t xml:space="preserve">Fixed design with a time-event-event outcome, this example provides the basis and a comparison for the phase 2 followed by a phase 3 example considered last</w:t>
      </w:r>
    </w:p>
    <w:p>
      <w:pPr>
        <w:numPr>
          <w:ilvl w:val="0"/>
          <w:numId w:val="1001"/>
        </w:numPr>
        <w:pStyle w:val="Compact"/>
      </w:pPr>
      <w:r>
        <w:t xml:space="preserve">Two consecutive studies, phase 2 with a normal endpoint followed by a phase 3 with a normal endpoint</w:t>
      </w:r>
    </w:p>
    <w:p>
      <w:pPr>
        <w:numPr>
          <w:ilvl w:val="0"/>
          <w:numId w:val="1001"/>
        </w:numPr>
        <w:pStyle w:val="Compact"/>
      </w:pPr>
      <w:r>
        <w:t xml:space="preserve">Two consecutive studies, phase 2 with a normal endpoint followed by a phase 3 with a time-to-event outcome</w:t>
      </w:r>
    </w:p>
    <w:bookmarkEnd w:id="20"/>
    <w:bookmarkStart w:id="31" w:name="example-1"/>
    <w:p>
      <w:pPr>
        <w:pStyle w:val="Heading1"/>
      </w:pPr>
      <w:r>
        <w:t xml:space="preserve">Example 1</w:t>
      </w:r>
    </w:p>
    <w:bookmarkStart w:id="24" w:name="study-design"/>
    <w:p>
      <w:pPr>
        <w:pStyle w:val="Heading2"/>
      </w:pPr>
      <w:r>
        <w:t xml:space="preserve">Study Design</w:t>
      </w:r>
    </w:p>
    <w:p>
      <w:pPr>
        <w:pStyle w:val="FirstParagraph"/>
      </w:pPr>
      <w:r>
        <w:t xml:space="preserve">Fixed sample, with normally distributed outcomes Y.</w:t>
      </w:r>
    </w:p>
    <w:p>
      <w:pPr>
        <w:numPr>
          <w:ilvl w:val="0"/>
          <w:numId w:val="1002"/>
        </w:numPr>
        <w:pStyle w:val="Compact"/>
      </w:pPr>
      <w:r>
        <w:t xml:space="preserve">Sample size: 80 patients per arm</w:t>
      </w:r>
    </w:p>
    <w:p>
      <w:pPr>
        <w:numPr>
          <w:ilvl w:val="0"/>
          <w:numId w:val="1002"/>
        </w:numPr>
        <w:pStyle w:val="Compact"/>
      </w:pPr>
      <w:r>
        <w:t xml:space="preserve">Assume standard deviation is known:</w:t>
      </w:r>
      <w:r>
        <w:t xml:space="preserve"> </w:t>
      </w:r>
      <m:oMath>
        <m:r>
          <m:t>σ</m:t>
        </m:r>
        <m:r>
          <m:rPr>
            <m:sty m:val="p"/>
          </m:rPr>
          <m:t>=</m:t>
        </m:r>
        <m:r>
          <m:t>1.9</m:t>
        </m:r>
      </m:oMath>
    </w:p>
    <w:p>
      <w:pPr>
        <w:pStyle w:val="FirstParagraph"/>
      </w:pPr>
      <w:r>
        <w:t xml:space="preserve">Denote the minimum acceptable value by MAV. For patients receiving treatment</w:t>
      </w:r>
      <w:r>
        <w:t xml:space="preserve"> </w:t>
      </w:r>
      <m:oMath>
        <m:r>
          <m:t>j</m:t>
        </m:r>
      </m:oMath>
      <w:r>
        <w:t xml:space="preserve"> </w:t>
      </w:r>
      <w:r>
        <w:t xml:space="preserve">= S or E, we assume the outcomes Y</w:t>
      </w:r>
      <w:r>
        <w:t xml:space="preserve"> </w:t>
      </w:r>
      <m:oMath>
        <m:r>
          <m:rPr>
            <m:sty m:val="p"/>
          </m:rPr>
          <m:t>∼</m:t>
        </m:r>
        <m:r>
          <m:t>N</m:t>
        </m:r>
        <m:d>
          <m:dPr>
            <m:begChr m:val="("/>
            <m:endChr m:val=")"/>
            <m:sepChr m:val=""/>
            <m:grow/>
          </m:dPr>
          <m:e>
            <m:sSub>
              <m:e>
                <m:r>
                  <m:t>μ</m:t>
                </m:r>
              </m:e>
              <m:sub>
                <m:r>
                  <m:t>j</m:t>
                </m:r>
              </m:sub>
            </m:sSub>
            <m:r>
              <m:rPr>
                <m:sty m:val="p"/>
              </m:rPr>
              <m:t>,</m:t>
            </m:r>
            <m:sSup>
              <m:e>
                <m:r>
                  <m:t>σ</m:t>
                </m:r>
              </m:e>
              <m:sup>
                <m:r>
                  <m:t>2</m:t>
                </m:r>
              </m:sup>
            </m:sSup>
          </m:e>
        </m:d>
      </m:oMath>
      <w:r>
        <w:t xml:space="preserve"> </w:t>
      </w:r>
      <w:r>
        <w:t xml:space="preserve">where, for simplicity,</w:t>
      </w:r>
      <w:r>
        <w:t xml:space="preserve"> </w:t>
      </w:r>
      <m:oMath>
        <m:sSub>
          <m:e>
            <m:r>
              <m:t>μ</m:t>
            </m:r>
          </m:e>
          <m:sub>
            <m:r>
              <m:t>j</m:t>
            </m:r>
          </m:sub>
        </m:sSub>
      </m:oMath>
      <w:r>
        <w:t xml:space="preserve"> </w:t>
      </w:r>
      <w:r>
        <w:t xml:space="preserve">is unknown and</w:t>
      </w:r>
      <w:r>
        <w:t xml:space="preserve"> </w:t>
      </w:r>
      <m:oMath>
        <m:r>
          <m:t>σ</m:t>
        </m:r>
      </m:oMath>
      <w:r>
        <w:t xml:space="preserve"> </w:t>
      </w:r>
      <w:r>
        <w:t xml:space="preserve">is the known, fixed quantity. We assume</w:t>
      </w:r>
      <w:r>
        <w:t xml:space="preserve"> </w:t>
      </w:r>
      <w:r>
        <w:rPr>
          <w:iCs/>
          <w:i/>
        </w:rPr>
        <w:t xml:space="preserve">a priori</w:t>
      </w:r>
      <w:r>
        <w:t xml:space="preserve"> </w:t>
      </w:r>
      <m:oMath>
        <m:sSub>
          <m:e>
            <m:r>
              <m:t>μ</m:t>
            </m:r>
          </m:e>
          <m:sub>
            <m:r>
              <m:t>j</m:t>
            </m:r>
          </m:sub>
        </m:sSub>
        <m:r>
          <m:rPr>
            <m:sty m:val="p"/>
          </m:rPr>
          <m:t>∼</m:t>
        </m:r>
      </m:oMath>
      <w:r>
        <w:t xml:space="preserve"> </w:t>
      </w:r>
      <w:r>
        <w:t xml:space="preserve">Normal(</w:t>
      </w:r>
      <w:r>
        <w:t xml:space="preserve"> </w:t>
      </w:r>
      <m:oMath>
        <m:sSub>
          <m:e>
            <m:r>
              <m:t>θ</m:t>
            </m:r>
          </m:e>
          <m:sub>
            <m:r>
              <m:t>j</m:t>
            </m:r>
          </m:sub>
        </m:sSub>
        <m:r>
          <m:rPr>
            <m:sty m:val="p"/>
          </m:rPr>
          <m:t>,</m:t>
        </m:r>
        <m:sSubSup>
          <m:e>
            <m:r>
              <m:t>τ</m:t>
            </m:r>
          </m:e>
          <m:sub>
            <m:r>
              <m:t>j</m:t>
            </m:r>
          </m:sub>
          <m:sup>
            <m:r>
              <m:t>2</m:t>
            </m:r>
          </m:sup>
        </m:sSubSup>
        <m:r>
          <m:rPr>
            <m:sty m:val="p"/>
          </m:rPr>
          <m:t>=</m:t>
        </m:r>
        <m:sSup>
          <m:e>
            <m:r>
              <m:t>100</m:t>
            </m:r>
          </m:e>
          <m:sup>
            <m:r>
              <m:t>2</m:t>
            </m:r>
          </m:sup>
        </m:sSup>
      </m:oMath>
      <w:r>
        <w:t xml:space="preserve">), for</w:t>
      </w:r>
      <w:r>
        <w:t xml:space="preserve"> </w:t>
      </w:r>
      <m:oMath>
        <m:r>
          <m:t>j</m:t>
        </m:r>
        <m:r>
          <m:rPr>
            <m:sty m:val="p"/>
          </m:rPr>
          <m:t>=</m:t>
        </m:r>
      </m:oMath>
      <w:r>
        <w:t xml:space="preserve"> </w:t>
      </w:r>
      <w:r>
        <w:t xml:space="preserve">S or E. At the end of the study the following is computed:</w:t>
      </w:r>
    </w:p>
    <w:p>
      <w:pPr>
        <w:pStyle w:val="BodyText"/>
      </w:pPr>
      <m:oMathPara>
        <m:oMathParaPr>
          <m:jc m:val="center"/>
        </m:oMathParaPr>
        <m:oMath>
          <m:r>
            <m:t>ρ</m:t>
          </m:r>
          <m:r>
            <m:rPr>
              <m:sty m:val="p"/>
            </m:rPr>
            <m:t>=</m:t>
          </m:r>
          <m:r>
            <m:t>P</m:t>
          </m:r>
          <m:r>
            <m:t>r</m:t>
          </m:r>
          <m:d>
            <m:dPr>
              <m:begChr m:val="("/>
              <m:endChr m:val=")"/>
              <m:sepChr m:val=""/>
              <m:grow/>
            </m:dPr>
            <m:e>
              <m:sSub>
                <m:e>
                  <m:r>
                    <m:t>μ</m:t>
                  </m:r>
                </m:e>
                <m:sub>
                  <m:r>
                    <m:t>E</m:t>
                  </m:r>
                </m:sub>
              </m:sSub>
              <m:r>
                <m:rPr>
                  <m:sty m:val="p"/>
                </m:rPr>
                <m:t>&gt;</m:t>
              </m:r>
              <m:sSub>
                <m:e>
                  <m:r>
                    <m:t>μ</m:t>
                  </m:r>
                </m:e>
                <m:sub>
                  <m:r>
                    <m:t>S</m:t>
                  </m:r>
                </m:sub>
              </m:sSub>
              <m:r>
                <m:rPr>
                  <m:sty m:val="p"/>
                </m:rPr>
                <m:t>+</m:t>
              </m:r>
              <m:r>
                <m:t>M</m:t>
              </m:r>
              <m:r>
                <m:t>A</m:t>
              </m:r>
              <m:r>
                <m:t>V</m:t>
              </m:r>
              <m:r>
                <m:rPr>
                  <m:sty m:val="p"/>
                </m:rPr>
                <m:t>|</m:t>
              </m:r>
              <m:r>
                <m:t>d</m:t>
              </m:r>
              <m:r>
                <m:t>a</m:t>
              </m:r>
              <m:r>
                <m:t>t</m:t>
              </m:r>
              <m:r>
                <m:t>a</m:t>
              </m:r>
            </m:e>
          </m:d>
          <m:r>
            <m:rPr>
              <m:nor/>
              <m:sty m:val="p"/>
            </m:rPr>
            <m:t> and</m:t>
          </m:r>
        </m:oMath>
      </m:oMathPara>
    </w:p>
    <w:p>
      <w:pPr>
        <w:pStyle w:val="FirstParagraph"/>
      </w:pPr>
      <w:r>
        <w:t xml:space="preserve">$$  
    \text{If } \rho &gt; P_U \implies \text{ Go }\\
    \text{ If } \rho \leq P_U \implies \text{ No Go }
$$</w:t>
      </w:r>
    </w:p>
    <w:p>
      <w:pPr>
        <w:pStyle w:val="FirstParagraph"/>
      </w:pPr>
      <w:r>
        <w:t xml:space="preserve">For assurance, a mixture of normal distributions is assumed. The assurance prior is specified in terms of the prior weight, mean, and variance for each component of the mixture. For simplicity, we assume mixture of two normal distributions as follows:</w:t>
      </w:r>
    </w:p>
    <w:p>
      <w:pPr>
        <w:numPr>
          <w:ilvl w:val="0"/>
          <w:numId w:val="1003"/>
        </w:numPr>
        <w:pStyle w:val="Compact"/>
      </w:pPr>
      <w:r>
        <w:t xml:space="preserve">Weight: 25% on</w:t>
      </w:r>
      <w:r>
        <w:t xml:space="preserve"> </w:t>
      </w:r>
      <m:oMath>
        <m:r>
          <m:t>N</m:t>
        </m:r>
        <m:d>
          <m:dPr>
            <m:begChr m:val="("/>
            <m:endChr m:val=")"/>
            <m:sepChr m:val=""/>
            <m:grow/>
          </m:dPr>
          <m:e>
            <m:r>
              <m:t>0</m:t>
            </m:r>
            <m:r>
              <m:rPr>
                <m:sty m:val="p"/>
              </m:rPr>
              <m:t>,</m:t>
            </m:r>
            <m:r>
              <m:t>0.05</m:t>
            </m:r>
          </m:e>
        </m:d>
      </m:oMath>
    </w:p>
    <w:p>
      <w:pPr>
        <w:numPr>
          <w:ilvl w:val="0"/>
          <w:numId w:val="1003"/>
        </w:numPr>
        <w:pStyle w:val="Compact"/>
      </w:pPr>
      <w:r>
        <w:t xml:space="preserve">Weight: 75% on</w:t>
      </w:r>
      <w:r>
        <w:t xml:space="preserve"> </w:t>
      </w:r>
      <m:oMath>
        <m:r>
          <m:t>N</m:t>
        </m:r>
        <m:d>
          <m:dPr>
            <m:begChr m:val="("/>
            <m:endChr m:val=")"/>
            <m:sepChr m:val=""/>
            <m:grow/>
          </m:dPr>
          <m:e>
            <m:r>
              <m:t>0.7</m:t>
            </m:r>
            <m:r>
              <m:rPr>
                <m:sty m:val="p"/>
              </m:rPr>
              <m:t>,</m:t>
            </m:r>
            <m:sSup>
              <m:e>
                <m:r>
                  <m:t>0.3</m:t>
                </m:r>
              </m:e>
              <m:sup>
                <m:r>
                  <m:t>2</m:t>
                </m:r>
              </m:sup>
            </m:sSup>
          </m:e>
        </m:d>
      </m:oMath>
    </w:p>
    <w:p>
      <w:pPr>
        <w:pStyle w:val="FirstParagraph"/>
      </w:pPr>
      <w:r>
        <w:drawing>
          <wp:inline>
            <wp:extent cx="4620126" cy="3696101"/>
            <wp:effectExtent b="0" l="0" r="0" t="0"/>
            <wp:docPr descr="" title="" id="22" name="Picture"/>
            <a:graphic>
              <a:graphicData uri="http://schemas.openxmlformats.org/drawingml/2006/picture">
                <pic:pic>
                  <pic:nvPicPr>
                    <pic:cNvPr descr="BayesianAssuranceUsingEastR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6" w:name="east-r-integration"/>
    <w:p>
      <w:pPr>
        <w:pStyle w:val="Heading2"/>
      </w:pPr>
      <w:r>
        <w:t xml:space="preserve">East-R Integration</w:t>
      </w:r>
    </w:p>
    <w:p>
      <w:pPr>
        <w:pStyle w:val="FirstParagraph"/>
      </w:pPr>
      <w:r>
        <w:t xml:space="preserve">In order to evaluate the design above, one can develop an R function for analysis that can be called from East during simulation. By replacing only the analysis function with an R function, one can obtain the frequentist operating characteristics of the Bayesian design using East. In addition, by replacing how the patient data is simulated one can obtain the Bayesian assurance. Specifically, in the simulation when the patient data is simulated an R function will first sample the assurance prior then sample the patient data. The resulting power of this simulation will be the Bayesian assurance assuming the 2 component prior given above.</w:t>
      </w:r>
    </w:p>
    <w:p>
      <w:pPr>
        <w:pStyle w:val="BodyText"/>
      </w:pPr>
      <w:r>
        <w:t xml:space="preserve">There is often a need for examination of posterior distribution of both observed and true treatment differences given a Go decision. These posterior distributions can be useful for planning the next phase of study and understanding potential risks. Obtaining the posterior distributions is described in the next section and they are applied to the phase 2 followed by phase 3 in later sections.</w:t>
      </w:r>
    </w:p>
    <w:bookmarkStart w:id="25" w:name="required-r-functions"/>
    <w:p>
      <w:pPr>
        <w:pStyle w:val="Heading3"/>
      </w:pPr>
      <w:r>
        <w:t xml:space="preserve">Required R Functions</w:t>
      </w:r>
    </w:p>
    <w:p>
      <w:pPr>
        <w:pStyle w:val="FirstParagraph"/>
      </w:pPr>
      <w:r>
        <w:t xml:space="preserve">The two functions that are needed to evaluate this design and obtain the Bayesian assurance are the analysis function, AnayzeUsingBayesianNormals, and patient simulation function, SimulatePatientOutcomeNormalAssurance.</w:t>
      </w:r>
    </w:p>
    <w:p>
      <w:pPr>
        <w:pStyle w:val="BodyText"/>
      </w:pPr>
      <w:r>
        <w:t xml:space="preserve">To help understand the AnayzeUsingBayesianNormals one must first derive the posterior distributions.</w:t>
      </w:r>
    </w:p>
    <w:p>
      <w:pPr>
        <w:pStyle w:val="BodyText"/>
      </w:pPr>
      <w:r>
        <w:t xml:space="preserve">After observing</w:t>
      </w:r>
      <w:r>
        <w:t xml:space="preserve"> </w:t>
      </w:r>
      <m:oMath>
        <m:r>
          <m:t>n</m:t>
        </m:r>
      </m:oMath>
      <w:r>
        <w:t xml:space="preserve"> </w:t>
      </w:r>
      <w:r>
        <w:t xml:space="preserve">patients on treatment</w:t>
      </w:r>
      <w:r>
        <w:t xml:space="preserve"> </w:t>
      </w:r>
      <m:oMath>
        <m:r>
          <m:t>j</m:t>
        </m:r>
        <m:r>
          <m:rPr>
            <m:sty m:val="p"/>
          </m:rPr>
          <m:t>=</m:t>
        </m:r>
      </m:oMath>
      <w:r>
        <w:t xml:space="preserve"> </w:t>
      </w:r>
      <w:r>
        <w:t xml:space="preserve">S or E, the posterior distribution of</w:t>
      </w:r>
      <w:r>
        <w:t xml:space="preserve"> </w:t>
      </w:r>
      <m:oMath>
        <m:sSub>
          <m:e>
            <m:r>
              <m:t>μ</m:t>
            </m:r>
          </m:e>
          <m:sub>
            <m:r>
              <m:t>j</m:t>
            </m:r>
          </m:sub>
        </m:sSub>
      </m:oMath>
      <w:r>
        <w:t xml:space="preserve"> </w:t>
      </w:r>
      <w:r>
        <w:t xml:space="preserve">is:</w:t>
      </w:r>
    </w:p>
    <w:p>
      <w:pPr>
        <w:pStyle w:val="BodyText"/>
      </w:pPr>
      <m:oMathPara>
        <m:oMathParaPr>
          <m:jc m:val="center"/>
        </m:oMathParaPr>
        <m:oMath>
          <m:sSub>
            <m:e>
              <m:r>
                <m:t>μ</m:t>
              </m:r>
            </m:e>
            <m:sub>
              <m:r>
                <m:t>j</m:t>
              </m:r>
            </m:sub>
          </m:sSub>
          <m:r>
            <m:rPr>
              <m:sty m:val="p"/>
            </m:rPr>
            <m:t>|</m:t>
          </m:r>
          <m:acc>
            <m:accPr>
              <m:chr m:val="‾"/>
            </m:accPr>
            <m:e>
              <m:r>
                <m:t>y</m:t>
              </m:r>
            </m:e>
          </m:acc>
          <m:r>
            <m:rPr>
              <m:sty m:val="p"/>
            </m:rPr>
            <m:t>∼</m:t>
          </m:r>
          <m:r>
            <m:t>N</m:t>
          </m:r>
          <m:d>
            <m:dPr>
              <m:begChr m:val="("/>
              <m:endChr m:val=")"/>
              <m:sepChr m:val=""/>
              <m:grow/>
            </m:dPr>
            <m:e>
              <m:sSubSup>
                <m:e>
                  <m:r>
                    <m:t>θ</m:t>
                  </m:r>
                </m:e>
                <m:sub>
                  <m:r>
                    <m:t>j</m:t>
                  </m:r>
                </m:sub>
                <m:sup>
                  <m:r>
                    <m:rPr>
                      <m:sty m:val="p"/>
                    </m:rPr>
                    <m:t>*</m:t>
                  </m:r>
                </m:sup>
              </m:sSubSup>
              <m:r>
                <m:rPr>
                  <m:sty m:val="p"/>
                </m:rPr>
                <m:t>,</m:t>
              </m:r>
              <m:sSubSup>
                <m:e>
                  <m:r>
                    <m:t>τ</m:t>
                  </m:r>
                </m:e>
                <m:sub>
                  <m:r>
                    <m:t>j</m:t>
                  </m:r>
                </m:sub>
                <m:sup>
                  <m:r>
                    <m:t>2</m:t>
                  </m:r>
                  <m:r>
                    <m:rPr>
                      <m:sty m:val="p"/>
                    </m:rPr>
                    <m:t>*</m:t>
                  </m:r>
                </m:sup>
              </m:sSubSup>
            </m:e>
          </m:d>
        </m:oMath>
      </m:oMathPara>
    </w:p>
    <w:p>
      <w:pPr>
        <w:pStyle w:val="FirstParagraph"/>
      </w:pPr>
      <w:r>
        <w:t xml:space="preserve">where</w:t>
      </w:r>
    </w:p>
    <w:p>
      <w:pPr>
        <w:pStyle w:val="BodyText"/>
      </w:pPr>
      <m:oMathPara>
        <m:oMathParaPr>
          <m:jc m:val="center"/>
        </m:oMathParaPr>
        <m:oMath>
          <m:sSubSup>
            <m:e>
              <m:r>
                <m:t>θ</m:t>
              </m:r>
            </m:e>
            <m:sub>
              <m:r>
                <m:t>j</m:t>
              </m:r>
            </m:sub>
            <m:sup>
              <m:r>
                <m:rPr>
                  <m:sty m:val="p"/>
                </m:rPr>
                <m:t>*</m:t>
              </m:r>
            </m:sup>
          </m:sSubSup>
          <m:r>
            <m:rPr>
              <m:sty m:val="p"/>
            </m:rPr>
            <m:t>=</m:t>
          </m:r>
          <m:f>
            <m:fPr>
              <m:type m:val="bar"/>
            </m:fPr>
            <m:num>
              <m:f>
                <m:fPr>
                  <m:type m:val="bar"/>
                </m:fPr>
                <m:num>
                  <m:sSub>
                    <m:e>
                      <m:r>
                        <m:t>θ</m:t>
                      </m:r>
                    </m:e>
                    <m:sub>
                      <m:r>
                        <m:t>j</m:t>
                      </m:r>
                    </m:sub>
                  </m:sSub>
                </m:num>
                <m:den>
                  <m:sSubSup>
                    <m:e>
                      <m:r>
                        <m:t>τ</m:t>
                      </m:r>
                    </m:e>
                    <m:sub>
                      <m:r>
                        <m:t>j</m:t>
                      </m:r>
                    </m:sub>
                    <m:sup>
                      <m:r>
                        <m:t>2</m:t>
                      </m:r>
                    </m:sup>
                  </m:sSubSup>
                </m:den>
              </m:f>
              <m:r>
                <m:rPr>
                  <m:sty m:val="p"/>
                </m:rPr>
                <m:t>+</m:t>
              </m:r>
              <m:f>
                <m:fPr>
                  <m:type m:val="bar"/>
                </m:fPr>
                <m:num>
                  <m:r>
                    <m:t>n</m:t>
                  </m:r>
                </m:num>
                <m:den>
                  <m:sSup>
                    <m:e>
                      <m:r>
                        <m:t>σ</m:t>
                      </m:r>
                    </m:e>
                    <m:sup>
                      <m:r>
                        <m:t>2</m:t>
                      </m:r>
                    </m:sup>
                  </m:sSup>
                </m:den>
              </m:f>
              <m:acc>
                <m:accPr>
                  <m:chr m:val="‾"/>
                </m:accPr>
                <m:e>
                  <m:r>
                    <m:t>y</m:t>
                  </m:r>
                </m:e>
              </m:acc>
            </m:num>
            <m:den>
              <m:f>
                <m:fPr>
                  <m:type m:val="bar"/>
                </m:fPr>
                <m:num>
                  <m:r>
                    <m:t>1</m:t>
                  </m:r>
                </m:num>
                <m:den>
                  <m:sSubSup>
                    <m:e>
                      <m:r>
                        <m:t>τ</m:t>
                      </m:r>
                    </m:e>
                    <m:sub>
                      <m:r>
                        <m:t>j</m:t>
                      </m:r>
                    </m:sub>
                    <m:sup>
                      <m:r>
                        <m:t>2</m:t>
                      </m:r>
                    </m:sup>
                  </m:sSubSup>
                </m:den>
              </m:f>
              <m:r>
                <m:rPr>
                  <m:sty m:val="p"/>
                </m:rPr>
                <m:t>+</m:t>
              </m:r>
              <m:f>
                <m:fPr>
                  <m:type m:val="bar"/>
                </m:fPr>
                <m:num>
                  <m:r>
                    <m:t>1</m:t>
                  </m:r>
                </m:num>
                <m:den>
                  <m:sSup>
                    <m:e>
                      <m:r>
                        <m:t>σ</m:t>
                      </m:r>
                    </m:e>
                    <m:sup>
                      <m:r>
                        <m:t>2</m:t>
                      </m:r>
                    </m:sup>
                  </m:sSup>
                </m:den>
              </m:f>
            </m:den>
          </m:f>
          <m:r>
            <m:rPr>
              <m:nor/>
              <m:sty m:val="p"/>
            </m:rPr>
            <m:t> and </m:t>
          </m:r>
          <m:f>
            <m:fPr>
              <m:type m:val="bar"/>
            </m:fPr>
            <m:num>
              <m:r>
                <m:t>1</m:t>
              </m:r>
            </m:num>
            <m:den>
              <m:sSubSup>
                <m:e>
                  <m:r>
                    <m:t>τ</m:t>
                  </m:r>
                </m:e>
                <m:sub>
                  <m:r>
                    <m:t>j</m:t>
                  </m:r>
                </m:sub>
                <m:sup>
                  <m:r>
                    <m:t>2</m:t>
                  </m:r>
                  <m:r>
                    <m:rPr>
                      <m:sty m:val="p"/>
                    </m:rPr>
                    <m:t>*</m:t>
                  </m:r>
                </m:sup>
              </m:sSubSup>
            </m:den>
          </m:f>
          <m:r>
            <m:rPr>
              <m:sty m:val="p"/>
            </m:rPr>
            <m:t>=</m:t>
          </m:r>
          <m:f>
            <m:fPr>
              <m:type m:val="bar"/>
            </m:fPr>
            <m:num>
              <m:r>
                <m:t>1</m:t>
              </m:r>
            </m:num>
            <m:den>
              <m:sSubSup>
                <m:e>
                  <m:r>
                    <m:t>τ</m:t>
                  </m:r>
                </m:e>
                <m:sub>
                  <m:r>
                    <m:t>j</m:t>
                  </m:r>
                </m:sub>
                <m:sup>
                  <m:r>
                    <m:t>2</m:t>
                  </m:r>
                </m:sup>
              </m:sSubSup>
            </m:den>
          </m:f>
          <m:r>
            <m:rPr>
              <m:sty m:val="p"/>
            </m:rPr>
            <m:t>+</m:t>
          </m:r>
          <m:f>
            <m:fPr>
              <m:type m:val="bar"/>
            </m:fPr>
            <m:num>
              <m:r>
                <m:t>n</m:t>
              </m:r>
            </m:num>
            <m:den>
              <m:sSup>
                <m:e>
                  <m:r>
                    <m:t>σ</m:t>
                  </m:r>
                </m:e>
                <m:sup>
                  <m:r>
                    <m:t>2</m:t>
                  </m:r>
                </m:sup>
              </m:sSup>
            </m:den>
          </m:f>
        </m:oMath>
      </m:oMathPara>
    </w:p>
    <w:bookmarkEnd w:id="25"/>
    <w:bookmarkEnd w:id="26"/>
    <w:bookmarkStart w:id="30" w:name="results"/>
    <w:p>
      <w:pPr>
        <w:pStyle w:val="Heading2"/>
      </w:pPr>
      <w:r>
        <w:t xml:space="preserve">Results</w:t>
      </w:r>
    </w:p>
    <w:p>
      <w:pPr>
        <w:pStyle w:val="FirstParagraph"/>
      </w:pPr>
      <w:r>
        <w:t xml:space="preserve">The probability of a Go is 14.3% and the probability of a No Go is 85.7%.</w:t>
      </w:r>
    </w:p>
    <w:p>
      <w:pPr>
        <w:pStyle w:val="BodyText"/>
      </w:pPr>
      <w:r>
        <w:drawing>
          <wp:inline>
            <wp:extent cx="4620126" cy="3696101"/>
            <wp:effectExtent b="0" l="0" r="0" t="0"/>
            <wp:docPr descr="" title="" id="28" name="Picture"/>
            <a:graphic>
              <a:graphicData uri="http://schemas.openxmlformats.org/drawingml/2006/picture">
                <pic:pic>
                  <pic:nvPicPr>
                    <pic:cNvPr descr="BayesianAssuranceUsingEastR_files/figure-docx/unnamed-chunk-3-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End w:id="31"/>
    <w:bookmarkStart w:id="38" w:name="example-2"/>
    <w:p>
      <w:pPr>
        <w:pStyle w:val="Heading1"/>
      </w:pPr>
      <w:r>
        <w:t xml:space="preserve">Example 2</w:t>
      </w:r>
    </w:p>
    <w:bookmarkStart w:id="33" w:name="study-design-1"/>
    <w:p>
      <w:pPr>
        <w:pStyle w:val="Heading2"/>
      </w:pPr>
      <w:r>
        <w:t xml:space="preserve">Study Design</w:t>
      </w:r>
    </w:p>
    <w:p>
      <w:pPr>
        <w:pStyle w:val="FirstParagraph"/>
      </w:pPr>
      <w:r>
        <w:t xml:space="preserve">Same study design as previous example, however, this design includes an interim analysis to check for futility when 50% of the patients have their outcome observed. The futility rule is based on a Bayesian predictive probability of a No Go at the end of the study. That is, at the interim analysis if it is likely that the study will make a No Go decision at the final analysis, then the study is stopped early for futility.</w:t>
      </w:r>
    </w:p>
    <w:p>
      <w:pPr>
        <w:pStyle w:val="BodyText"/>
      </w:pPr>
      <w:r>
        <w:t xml:space="preserve">Denote the data at the interim analysis by</w:t>
      </w:r>
      <w:r>
        <w:t xml:space="preserve"> </w:t>
      </w:r>
      <m:oMath>
        <m:sSub>
          <m:e>
            <m:r>
              <m:t>X</m:t>
            </m:r>
          </m:e>
          <m:sub>
            <m:r>
              <m:t>1</m:t>
            </m:r>
          </m:sub>
        </m:sSub>
      </m:oMath>
      <w:r>
        <w:t xml:space="preserve"> </w:t>
      </w:r>
      <w:r>
        <w:t xml:space="preserve">and data for patients enrolled after the IA by</w:t>
      </w:r>
      <w:r>
        <w:t xml:space="preserve"> </w:t>
      </w:r>
      <m:oMath>
        <m:sSub>
          <m:e>
            <m:r>
              <m:t>X</m:t>
            </m:r>
          </m:e>
          <m:sub>
            <m:r>
              <m:t>2</m:t>
            </m:r>
          </m:sub>
        </m:sSub>
      </m:oMath>
      <w:r>
        <w:t xml:space="preserve"> </w:t>
      </w:r>
      <w:r>
        <w:t xml:space="preserve">if the predictive probability of a No Go at the final analysis is greater than</w:t>
      </w:r>
      <w:r>
        <w:t xml:space="preserve"> </w:t>
      </w:r>
      <m:oMath>
        <m:r>
          <m:t>P</m:t>
        </m:r>
        <m:sSub>
          <m:e>
            <m:r>
              <m:t>U</m:t>
            </m:r>
          </m:e>
          <m:sub>
            <m:r>
              <m:t>F</m:t>
            </m:r>
            <m:r>
              <m:t>u</m:t>
            </m:r>
            <m:r>
              <m:t>t</m:t>
            </m:r>
            <m:r>
              <m:t>i</m:t>
            </m:r>
            <m:r>
              <m:t>l</m:t>
            </m:r>
            <m:r>
              <m:t>i</m:t>
            </m:r>
            <m:r>
              <m:t>t</m:t>
            </m:r>
            <m:r>
              <m:t>y</m:t>
            </m:r>
          </m:sub>
        </m:sSub>
        <m:r>
          <m:rPr>
            <m:sty m:val="p"/>
          </m:rPr>
          <m:t>=</m:t>
        </m:r>
        <m:r>
          <m:t>90</m:t>
        </m:r>
      </m:oMath>
      <w:r>
        <w:t xml:space="preserve"> </w:t>
      </w:r>
      <w:r>
        <w:t xml:space="preserve">then the trial is stopped for futility. Specifically, if</w:t>
      </w:r>
    </w:p>
    <w:p>
      <w:pPr>
        <w:pStyle w:val="BodyText"/>
      </w:pPr>
      <m:oMathPara>
        <m:oMathParaPr>
          <m:jc m:val="center"/>
        </m:oMathParaPr>
        <m:oMath>
          <m:r>
            <m:t>P</m:t>
          </m:r>
          <m:r>
            <m:t>r</m:t>
          </m:r>
          <m:d>
            <m:dPr>
              <m:begChr m:val="("/>
              <m:endChr m:val=")"/>
              <m:sepChr m:val=""/>
              <m:grow/>
            </m:dPr>
            <m:e>
              <m:r>
                <m:rPr>
                  <m:nor/>
                  <m:sty m:val="p"/>
                </m:rPr>
                <m:t>End of Study No Go</m:t>
              </m:r>
              <m:r>
                <m:rPr>
                  <m:sty m:val="p"/>
                </m:rPr>
                <m:t>|</m:t>
              </m:r>
              <m:r>
                <m:t>X</m:t>
              </m:r>
            </m:e>
          </m:d>
          <m:r>
            <m:rPr>
              <m:sty m:val="p"/>
            </m:rPr>
            <m:t>&gt;</m:t>
          </m:r>
          <m:r>
            <m:t>P</m:t>
          </m:r>
          <m:sSub>
            <m:e>
              <m:r>
                <m:t>U</m:t>
              </m:r>
            </m:e>
            <m:sub>
              <m:r>
                <m:t>F</m:t>
              </m:r>
              <m:r>
                <m:t>u</m:t>
              </m:r>
              <m:r>
                <m:t>t</m:t>
              </m:r>
              <m:r>
                <m:t>i</m:t>
              </m:r>
              <m:r>
                <m:t>l</m:t>
              </m:r>
              <m:r>
                <m:t>i</m:t>
              </m:r>
              <m:r>
                <m:t>t</m:t>
              </m:r>
              <m:r>
                <m:t>y</m:t>
              </m:r>
            </m:sub>
          </m:sSub>
          <m:r>
            <m:rPr>
              <m:sty m:val="p"/>
            </m:rPr>
            <m:t>=</m:t>
          </m:r>
          <m:r>
            <m:t>90</m:t>
          </m:r>
          <m:r>
            <m:rPr>
              <m:sty m:val="p"/>
            </m:rPr>
            <m:t>%</m:t>
          </m:r>
        </m:oMath>
      </m:oMathPara>
    </w:p>
    <w:p>
      <w:pPr>
        <w:pStyle w:val="FirstParagraph"/>
      </w:pPr>
      <w:r>
        <w:t xml:space="preserve">then the trial is stopped for futility. The prediction formula becomes</w:t>
      </w:r>
    </w:p>
    <w:p>
      <w:pPr>
        <w:pStyle w:val="BodyText"/>
      </w:pPr>
      <m:oMathPara>
        <m:oMathParaPr>
          <m:jc m:val="center"/>
        </m:oMathParaPr>
        <m:oMath>
          <m:r>
            <m:t>P</m:t>
          </m:r>
          <m:r>
            <m:t>r</m:t>
          </m:r>
          <m:d>
            <m:dPr>
              <m:begChr m:val="("/>
              <m:endChr m:val=")"/>
              <m:sepChr m:val=""/>
              <m:grow/>
            </m:dPr>
            <m:e>
              <m:r>
                <m:rPr>
                  <m:nor/>
                  <m:sty m:val="p"/>
                </m:rPr>
                <m:t>End of Study No Go</m:t>
              </m:r>
              <m:r>
                <m:rPr>
                  <m:sty m:val="p"/>
                </m:rPr>
                <m:t>|</m:t>
              </m:r>
              <m:r>
                <m:t>X</m:t>
              </m:r>
            </m:e>
          </m:d>
          <m:r>
            <m:rPr>
              <m:sty m:val="p"/>
            </m:rPr>
            <m:t>=</m:t>
          </m:r>
          <m:r>
            <m:t>P</m:t>
          </m:r>
          <m:r>
            <m:t>r</m:t>
          </m:r>
          <m:d>
            <m:dPr>
              <m:begChr m:val="["/>
              <m:endChr m:val="]"/>
              <m:sepChr m:val=""/>
              <m:grow/>
            </m:dPr>
            <m:e>
              <m:r>
                <m:rPr>
                  <m:sty m:val="p"/>
                </m:rPr>
                <m:t>{</m:t>
              </m:r>
              <m:r>
                <m:t>P</m:t>
              </m:r>
              <m:r>
                <m:t>r</m:t>
              </m:r>
              <m:r>
                <m:rPr>
                  <m:sty m:val="p"/>
                </m:rPr>
                <m:t>(</m:t>
              </m:r>
              <m:sSub>
                <m:e>
                  <m:r>
                    <m:t>μ</m:t>
                  </m:r>
                </m:e>
                <m:sub>
                  <m:r>
                    <m:t>E</m:t>
                  </m:r>
                </m:sub>
              </m:sSub>
              <m:r>
                <m:rPr>
                  <m:sty m:val="p"/>
                </m:rPr>
                <m:t>&gt;</m:t>
              </m:r>
              <m:sSub>
                <m:e>
                  <m:r>
                    <m:t>μ</m:t>
                  </m:r>
                </m:e>
                <m:sub>
                  <m:r>
                    <m:t>S</m:t>
                  </m:r>
                </m:sub>
              </m:sSub>
              <m:r>
                <m:rPr>
                  <m:sty m:val="p"/>
                </m:rPr>
                <m:t>+</m:t>
              </m:r>
              <m:r>
                <m:t>M</m:t>
              </m:r>
              <m:r>
                <m:t>A</m:t>
              </m:r>
              <m:r>
                <m:t>V</m:t>
              </m:r>
              <m:d>
                <m:dPr>
                  <m:begChr m:val="|"/>
                  <m:endChr m:val="|"/>
                  <m:sepChr m:val=""/>
                  <m:grow/>
                </m:dPr>
                <m:e>
                  <m:sSub>
                    <m:e>
                      <m:r>
                        <m:t>X</m:t>
                      </m:r>
                    </m:e>
                    <m:sub>
                      <m:r>
                        <m:t>1</m:t>
                      </m:r>
                    </m:sub>
                  </m:sSub>
                  <m:r>
                    <m:rPr>
                      <m:sty m:val="p"/>
                    </m:rPr>
                    <m:t>,</m:t>
                  </m:r>
                  <m:sSub>
                    <m:e>
                      <m:r>
                        <m:t>X</m:t>
                      </m:r>
                    </m:e>
                    <m:sub>
                      <m:r>
                        <m:t>2</m:t>
                      </m:r>
                    </m:sub>
                  </m:sSub>
                  <m:r>
                    <m:rPr>
                      <m:sty m:val="p"/>
                    </m:rPr>
                    <m:t>)</m:t>
                  </m:r>
                  <m:r>
                    <m:rPr>
                      <m:sty m:val="p"/>
                    </m:rPr>
                    <m:t>&gt;</m:t>
                  </m:r>
                  <m:r>
                    <m:t>P</m:t>
                  </m:r>
                  <m:r>
                    <m:t>U</m:t>
                  </m:r>
                  <m:r>
                    <m:rPr>
                      <m:sty m:val="p"/>
                    </m:rPr>
                    <m:t>}</m:t>
                  </m:r>
                </m:e>
              </m:d>
              <m:r>
                <m:t>X</m:t>
              </m:r>
              <m:r>
                <m:t>2</m:t>
              </m:r>
            </m:e>
          </m:d>
          <m:r>
            <m:rPr>
              <m:sty m:val="p"/>
            </m:rPr>
            <m:t>&gt;</m:t>
          </m:r>
          <m:r>
            <m:t>P</m:t>
          </m:r>
          <m:sSub>
            <m:e>
              <m:r>
                <m:t>U</m:t>
              </m:r>
            </m:e>
            <m:sub>
              <m:r>
                <m:t>F</m:t>
              </m:r>
              <m:r>
                <m:t>u</m:t>
              </m:r>
              <m:r>
                <m:t>t</m:t>
              </m:r>
              <m:r>
                <m:t>i</m:t>
              </m:r>
              <m:r>
                <m:t>l</m:t>
              </m:r>
              <m:r>
                <m:t>i</m:t>
              </m:r>
              <m:r>
                <m:t>t</m:t>
              </m:r>
              <m:r>
                <m:t>y</m:t>
              </m:r>
            </m:sub>
          </m:sSub>
        </m:oMath>
      </m:oMathPara>
    </w:p>
    <w:p>
      <w:pPr>
        <w:pStyle w:val="FirstParagraph"/>
      </w:pPr>
      <w:r>
        <w:t xml:space="preserve">## East-R Integration</w:t>
      </w:r>
    </w:p>
    <w:bookmarkStart w:id="32" w:name="required-r-functions-1"/>
    <w:p>
      <w:pPr>
        <w:pStyle w:val="Heading3"/>
      </w:pPr>
      <w:r>
        <w:t xml:space="preserve">Required R Functions</w:t>
      </w:r>
    </w:p>
    <w:p>
      <w:pPr>
        <w:pStyle w:val="FirstParagraph"/>
      </w:pPr>
      <w:r>
        <w:t xml:space="preserve">Same as example 1, just need to provide the</w:t>
      </w:r>
      <w:r>
        <w:t xml:space="preserve"> </w:t>
      </w:r>
      <m:oMath>
        <m:r>
          <m:t>P</m:t>
        </m:r>
        <m:sSub>
          <m:e>
            <m:r>
              <m:t>U</m:t>
            </m:r>
          </m:e>
          <m:sub>
            <m:r>
              <m:t>F</m:t>
            </m:r>
            <m:r>
              <m:t>u</m:t>
            </m:r>
            <m:r>
              <m:t>t</m:t>
            </m:r>
            <m:r>
              <m:t>i</m:t>
            </m:r>
            <m:r>
              <m:t>l</m:t>
            </m:r>
            <m:r>
              <m:t>i</m:t>
            </m:r>
            <m:r>
              <m:t>t</m:t>
            </m:r>
            <m:r>
              <m:t>y</m:t>
            </m:r>
          </m:sub>
        </m:sSub>
      </m:oMath>
      <w:r>
        <w:t xml:space="preserve"> </w:t>
      </w:r>
      <w:r>
        <w:t xml:space="preserve">parameter</w:t>
      </w:r>
    </w:p>
    <w:p>
      <w:pPr>
        <w:pStyle w:val="BodyText"/>
      </w:pPr>
      <w:r>
        <w:t xml:space="preserve">Add detail here</w:t>
      </w:r>
    </w:p>
    <w:bookmarkEnd w:id="32"/>
    <w:bookmarkEnd w:id="33"/>
    <w:bookmarkStart w:id="37" w:name="results-1"/>
    <w:p>
      <w:pPr>
        <w:pStyle w:val="Heading2"/>
      </w:pPr>
      <w:r>
        <w:t xml:space="preserve">Results</w:t>
      </w:r>
    </w:p>
    <w:p>
      <w:pPr>
        <w:pStyle w:val="FirstParagraph"/>
      </w:pPr>
      <w:r>
        <w:t xml:space="preserve">The results of the design are as follows:</w:t>
      </w:r>
    </w:p>
    <w:p>
      <w:pPr>
        <w:numPr>
          <w:ilvl w:val="0"/>
          <w:numId w:val="1004"/>
        </w:numPr>
        <w:pStyle w:val="Compact"/>
      </w:pPr>
      <w:r>
        <w:t xml:space="preserve">The probability of an end of study Go is: 0.143</w:t>
      </w:r>
    </w:p>
    <w:p>
      <w:pPr>
        <w:numPr>
          <w:ilvl w:val="0"/>
          <w:numId w:val="1004"/>
        </w:numPr>
        <w:pStyle w:val="Compact"/>
      </w:pPr>
      <w:r>
        <w:t xml:space="preserve">The probability of an end of study No Go (Stop) is: 0.2712</w:t>
      </w:r>
    </w:p>
    <w:p>
      <w:pPr>
        <w:numPr>
          <w:ilvl w:val="0"/>
          <w:numId w:val="1004"/>
        </w:numPr>
        <w:pStyle w:val="Compact"/>
      </w:pPr>
      <w:r>
        <w:t xml:space="preserve">The probability of futility at the interim: 0.5858</w:t>
      </w:r>
    </w:p>
    <w:p>
      <w:pPr>
        <w:numPr>
          <w:ilvl w:val="0"/>
          <w:numId w:val="1004"/>
        </w:numPr>
        <w:pStyle w:val="Compact"/>
      </w:pPr>
      <w:r>
        <w:t xml:space="preserve">The probability of a Go conditional on not stopping at the interim: 0.3452438</w:t>
      </w:r>
    </w:p>
    <w:p>
      <w:pPr>
        <w:numPr>
          <w:ilvl w:val="0"/>
          <w:numId w:val="1004"/>
        </w:numPr>
        <w:pStyle w:val="Compact"/>
      </w:pPr>
      <w:r>
        <w:t xml:space="preserve">The probability of a No Go conditional on not stopping at the interim: 0.6547562</w:t>
      </w:r>
    </w:p>
    <w:p>
      <w:pPr>
        <w:pStyle w:val="FirstParagraph"/>
      </w:pPr>
      <w:r>
        <w:t xml:space="preserve">The posterior mean of the true delta,</w:t>
      </w:r>
      <w:r>
        <w:t xml:space="preserve"> </w:t>
      </w:r>
      <m:oMath>
        <m:sSub>
          <m:e>
            <m:r>
              <m:t>μ</m:t>
            </m:r>
          </m:e>
          <m:sub>
            <m:r>
              <m:t>E</m:t>
            </m:r>
          </m:sub>
        </m:sSub>
        <m:r>
          <m:rPr>
            <m:sty m:val="p"/>
          </m:rPr>
          <m:t>−</m:t>
        </m:r>
        <m:sSub>
          <m:e>
            <m:r>
              <m:t>μ</m:t>
            </m:r>
          </m:e>
          <m:sub>
            <m:r>
              <m:t>S</m:t>
            </m:r>
          </m:sub>
        </m:sSub>
      </m:oMath>
      <w:r>
        <w:t xml:space="preserve">, given a Go decision is: 1</w:t>
      </w:r>
    </w:p>
    <w:p>
      <w:pPr>
        <w:pStyle w:val="BodyText"/>
      </w:pPr>
      <w:r>
        <w:t xml:space="preserve">The summary of the true delta given a Go decision is:</w:t>
      </w:r>
    </w:p>
    <w:p>
      <w:pPr>
        <w:pStyle w:val="SourceCode"/>
      </w:pPr>
      <w:r>
        <w:rPr>
          <w:rStyle w:val="VerbatimChar"/>
        </w:rPr>
        <w:t xml:space="preserve">##    Min. 1st Qu.  Median    Mean 3rd Qu.    Max. </w:t>
      </w:r>
      <w:r>
        <w:br/>
      </w:r>
      <w:r>
        <w:rPr>
          <w:rStyle w:val="VerbatimChar"/>
        </w:rPr>
        <w:t xml:space="preserve">##   0.262   0.831   0.986   1.000   1.151   1.881</w:t>
      </w:r>
    </w:p>
    <w:p>
      <w:pPr>
        <w:pStyle w:val="FirstParagraph"/>
      </w:pPr>
      <w:r>
        <w:t xml:space="preserve">The scaled posterior distribution of the true delta given a Go decision is:</w:t>
      </w:r>
    </w:p>
    <w:p>
      <w:pPr>
        <w:pStyle w:val="BodyText"/>
      </w:pPr>
      <w:r>
        <w:drawing>
          <wp:inline>
            <wp:extent cx="4620126" cy="3696101"/>
            <wp:effectExtent b="0" l="0" r="0" t="0"/>
            <wp:docPr descr="" title="" id="35" name="Picture"/>
            <a:graphic>
              <a:graphicData uri="http://schemas.openxmlformats.org/drawingml/2006/picture">
                <pic:pic>
                  <pic:nvPicPr>
                    <pic:cNvPr descr="BayesianAssuranceUsingEastR_files/figure-docx/unnamed-chunk-7-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Assurance Using East-R</dc:title>
  <dc:creator>J. Kyle Wathen and Laurent Spiess</dc:creator>
  <cp:keywords/>
  <dcterms:created xsi:type="dcterms:W3CDTF">2024-02-01T18:39:01Z</dcterms:created>
  <dcterms:modified xsi:type="dcterms:W3CDTF">2024-02-01T18:39:01Z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01, 2024</vt:lpwstr>
  </property>
  <property fmtid="{D5CDD505-2E9C-101B-9397-08002B2CF9AE}" pid="3" name="output">
    <vt:lpwstr/>
  </property>
</Properties>
</file>