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Challenges</w:t>
      </w:r>
      <w:r>
        <w:t xml:space="preserve"> </w:t>
      </w:r>
      <w:r>
        <w:t xml:space="preserve">for</w:t>
      </w:r>
      <w:r>
        <w:t xml:space="preserve"> </w:t>
      </w:r>
      <w:r>
        <w:t xml:space="preserve">secondary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existing</w:t>
      </w:r>
      <w:r>
        <w:t xml:space="preserve"> </w:t>
      </w:r>
      <w:r>
        <w:t xml:space="preserve">large</w:t>
      </w:r>
      <w:r>
        <w:t xml:space="preserve"> </w:t>
      </w:r>
      <w:r>
        <w:t xml:space="preserve">scale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datasets</w:t>
      </w:r>
      <w:r>
        <w:t xml:space="preserve"> </w:t>
      </w:r>
      <w:r>
        <w:t xml:space="preserve">for</w:t>
      </w:r>
      <w:r>
        <w:t xml:space="preserve"> </w:t>
      </w:r>
      <w:r>
        <w:t xml:space="preserve">researching</w:t>
      </w:r>
      <w:r>
        <w:t xml:space="preserve"> </w:t>
      </w:r>
      <w:r>
        <w:t xml:space="preserve">older</w:t>
      </w:r>
      <w:r>
        <w:t xml:space="preserve"> </w:t>
      </w:r>
      <w:r>
        <w:t xml:space="preserve">migrants</w:t>
      </w:r>
    </w:p>
    <w:p>
      <w:pPr>
        <w:pStyle w:val="Subtitle"/>
      </w:pPr>
      <w:r>
        <w:t xml:space="preserve">https://cyuhat.github.io/presentation_valencia/#/title-slide</w:t>
      </w:r>
    </w:p>
    <w:bookmarkStart w:id="20" w:name="analysis-of-3-secondary-datasets"/>
    <w:p>
      <w:pPr>
        <w:pStyle w:val="Heading1"/>
      </w:pPr>
      <w:r>
        <w:t xml:space="preserve">Analysis of 3 secondary datasets</w:t>
      </w:r>
    </w:p>
    <w:bookmarkEnd w:id="20"/>
    <w:bookmarkStart w:id="32" w:name="why-older-migrants"/>
    <w:p>
      <w:pPr>
        <w:pStyle w:val="Heading1"/>
      </w:pPr>
      <w:r>
        <w:t xml:space="preserve">Why older migrants?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b/>
          <w:bCs/>
        </w:rPr>
        <w:t xml:space="preserve">Migration Studies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Field continuously expanding</w:t>
      </w:r>
      <w:r>
        <w:t xml:space="preserve"> </w:t>
      </w:r>
      <w:r>
        <w:t xml:space="preserve">with extensive data and advanced analytical methods.</w:t>
      </w:r>
    </w:p>
    <w:p>
      <w:pPr>
        <w:pStyle w:val="Compact"/>
        <w:numPr>
          <w:ilvl w:val="0"/>
          <w:numId w:val="1001"/>
        </w:numPr>
      </w:pPr>
      <w:r>
        <w:t xml:space="preserve">Focus predominantly on</w:t>
      </w:r>
      <w:r>
        <w:t xml:space="preserve"> </w:t>
      </w:r>
      <w:r>
        <w:rPr>
          <w:b/>
          <w:bCs/>
        </w:rPr>
        <w:t xml:space="preserve">working-age migrants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Gap in Research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Elderly migrants</w:t>
      </w:r>
      <w:r>
        <w:t xml:space="preserve"> </w:t>
      </w:r>
      <w:r>
        <w:t xml:space="preserve">are an</w:t>
      </w:r>
      <w:r>
        <w:t xml:space="preserve"> </w:t>
      </w:r>
      <w:r>
        <w:rPr>
          <w:b/>
          <w:bCs/>
        </w:rPr>
        <w:t xml:space="preserve">underrepresented group</w:t>
      </w:r>
      <w:r>
        <w:t xml:space="preserve"> </w:t>
      </w:r>
      <w:r>
        <w:t xml:space="preserve">in migration studies.</w:t>
      </w:r>
    </w:p>
    <w:p>
      <w:pPr>
        <w:pStyle w:val="Compact"/>
        <w:numPr>
          <w:ilvl w:val="0"/>
          <w:numId w:val="1002"/>
        </w:numPr>
      </w:pPr>
      <w:r>
        <w:t xml:space="preserve">Current research</w:t>
      </w:r>
      <w:r>
        <w:t xml:space="preserve"> </w:t>
      </w:r>
      <w:r>
        <w:rPr>
          <w:b/>
          <w:bCs/>
        </w:rPr>
        <w:t xml:space="preserve">overlooks</w:t>
      </w:r>
      <w:r>
        <w:t xml:space="preserve"> </w:t>
      </w:r>
      <w:r>
        <w:t xml:space="preserve">important</w:t>
      </w:r>
      <w:r>
        <w:t xml:space="preserve"> </w:t>
      </w:r>
      <w:r>
        <w:rPr>
          <w:b/>
          <w:bCs/>
        </w:rPr>
        <w:t xml:space="preserve">dynamics specific to older</w:t>
      </w:r>
      <w:r>
        <w:t xml:space="preserve"> </w:t>
      </w:r>
      <w:r>
        <w:t xml:space="preserve">age migration.</w:t>
      </w:r>
    </w:p>
    <w:bookmarkEnd w:id="21"/>
    <w:bookmarkStart w:id="22" w:name="why-eldery-migrants"/>
    <w:p>
      <w:pPr>
        <w:pStyle w:val="Heading2"/>
      </w:pPr>
      <w:r>
        <w:t xml:space="preserve">Why eldery migrants?</w:t>
      </w:r>
    </w:p>
    <w:p>
      <w:pPr>
        <w:pStyle w:val="FirstParagraph"/>
      </w:pPr>
      <w:r>
        <w:rPr>
          <w:b/>
          <w:bCs/>
        </w:rPr>
        <w:t xml:space="preserve">Changing Dynamics in Retirement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Increased life expectancies</w:t>
      </w:r>
      <w:r>
        <w:t xml:space="preserve"> </w:t>
      </w:r>
      <w:r>
        <w:t xml:space="preserve">and advancements in technology and</w:t>
      </w:r>
      <w:r>
        <w:t xml:space="preserve"> </w:t>
      </w:r>
      <w:r>
        <w:rPr>
          <w:b/>
          <w:bCs/>
        </w:rPr>
        <w:t xml:space="preserve">transportation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Greater opportunities for international mobility among retirees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Implications of Mobility in Older Age</w:t>
      </w:r>
    </w:p>
    <w:p>
      <w:pPr>
        <w:pStyle w:val="Compact"/>
        <w:numPr>
          <w:ilvl w:val="0"/>
          <w:numId w:val="1005"/>
        </w:numPr>
      </w:pPr>
      <w:r>
        <w:t xml:space="preserve">Potential for more</w:t>
      </w:r>
      <w:r>
        <w:t xml:space="preserve"> </w:t>
      </w:r>
      <w:r>
        <w:rPr>
          <w:b/>
          <w:bCs/>
        </w:rPr>
        <w:t xml:space="preserve">geographically dispersed</w:t>
      </w:r>
      <w:r>
        <w:t xml:space="preserve"> </w:t>
      </w:r>
      <w:r>
        <w:t xml:space="preserve">family units.</w:t>
      </w:r>
    </w:p>
    <w:p>
      <w:pPr>
        <w:pStyle w:val="Compact"/>
        <w:numPr>
          <w:ilvl w:val="0"/>
          <w:numId w:val="1005"/>
        </w:numPr>
      </w:pPr>
      <w:r>
        <w:t xml:space="preserve">Enhanced global</w:t>
      </w:r>
      <w:r>
        <w:t xml:space="preserve"> </w:t>
      </w:r>
      <w:r>
        <w:rPr>
          <w:b/>
          <w:bCs/>
        </w:rPr>
        <w:t xml:space="preserve">connectivity</w:t>
      </w:r>
      <w:r>
        <w:t xml:space="preserve"> </w:t>
      </w:r>
      <w:r>
        <w:t xml:space="preserve">and extensive travel opportunities.</w:t>
      </w:r>
    </w:p>
    <w:bookmarkEnd w:id="22"/>
    <w:bookmarkStart w:id="25" w:name="goal"/>
    <w:p>
      <w:pPr>
        <w:pStyle w:val="Heading2"/>
      </w:pPr>
      <w:r>
        <w:t xml:space="preserve">Goal</w:t>
      </w:r>
    </w:p>
    <w:bookmarkStart w:id="23" w:name="compare-three-datasets-from-switzerland"/>
    <w:p>
      <w:pPr>
        <w:pStyle w:val="Heading3"/>
      </w:pPr>
      <w:r>
        <w:t xml:space="preserve">Compare three datasets from Switzerland:</w:t>
      </w:r>
    </w:p>
    <w:p>
      <w:pPr>
        <w:pStyle w:val="Compact"/>
        <w:numPr>
          <w:ilvl w:val="0"/>
          <w:numId w:val="1006"/>
        </w:numPr>
      </w:pPr>
      <w:r>
        <w:t xml:space="preserve">Migration Mobility Survey (MMS)</w:t>
      </w:r>
    </w:p>
    <w:p>
      <w:pPr>
        <w:pStyle w:val="Compact"/>
        <w:numPr>
          <w:ilvl w:val="0"/>
          <w:numId w:val="1006"/>
        </w:numPr>
      </w:pPr>
      <w:r>
        <w:t xml:space="preserve">Transnational Ageing Survey (TAS)</w:t>
      </w:r>
    </w:p>
    <w:p>
      <w:pPr>
        <w:pStyle w:val="Compact"/>
        <w:numPr>
          <w:ilvl w:val="0"/>
          <w:numId w:val="1006"/>
        </w:numPr>
      </w:pPr>
      <w:r>
        <w:t xml:space="preserve">TransAge</w:t>
      </w:r>
    </w:p>
    <w:bookmarkEnd w:id="23"/>
    <w:bookmarkStart w:id="24" w:name="seven-topics"/>
    <w:p>
      <w:pPr>
        <w:pStyle w:val="Heading3"/>
      </w:pPr>
      <w:r>
        <w:t xml:space="preserve">Seven topics:</w:t>
      </w:r>
    </w:p>
    <w:p>
      <w:pPr>
        <w:pStyle w:val="Compact"/>
        <w:numPr>
          <w:ilvl w:val="0"/>
          <w:numId w:val="1007"/>
        </w:numPr>
      </w:pPr>
      <w:r>
        <w:t xml:space="preserve">Life course</w:t>
      </w:r>
    </w:p>
    <w:p>
      <w:pPr>
        <w:pStyle w:val="Compact"/>
        <w:numPr>
          <w:ilvl w:val="0"/>
          <w:numId w:val="1007"/>
        </w:numPr>
      </w:pPr>
      <w:r>
        <w:t xml:space="preserve">Vulnerability</w:t>
      </w:r>
    </w:p>
    <w:p>
      <w:pPr>
        <w:pStyle w:val="Compact"/>
        <w:numPr>
          <w:ilvl w:val="0"/>
          <w:numId w:val="1007"/>
        </w:numPr>
      </w:pPr>
      <w:r>
        <w:t xml:space="preserve">Integration</w:t>
      </w:r>
    </w:p>
    <w:p>
      <w:pPr>
        <w:pStyle w:val="Compact"/>
        <w:numPr>
          <w:ilvl w:val="0"/>
          <w:numId w:val="1007"/>
        </w:numPr>
      </w:pPr>
      <w:r>
        <w:t xml:space="preserve">Mobility</w:t>
      </w:r>
    </w:p>
    <w:p>
      <w:pPr>
        <w:pStyle w:val="Compact"/>
        <w:numPr>
          <w:ilvl w:val="0"/>
          <w:numId w:val="1007"/>
        </w:numPr>
      </w:pPr>
      <w:r>
        <w:t xml:space="preserve">Family</w:t>
      </w:r>
    </w:p>
    <w:p>
      <w:pPr>
        <w:pStyle w:val="Compact"/>
        <w:numPr>
          <w:ilvl w:val="0"/>
          <w:numId w:val="1007"/>
        </w:numPr>
      </w:pPr>
      <w:r>
        <w:t xml:space="preserve">Transnationalism</w:t>
      </w:r>
    </w:p>
    <w:p>
      <w:pPr>
        <w:pStyle w:val="Compact"/>
        <w:numPr>
          <w:ilvl w:val="0"/>
          <w:numId w:val="1007"/>
        </w:numPr>
      </w:pPr>
      <w:r>
        <w:t xml:space="preserve">Health</w:t>
      </w:r>
    </w:p>
    <w:p>
      <w:pPr>
        <w:pStyle w:val="Compact"/>
        <w:numPr>
          <w:ilvl w:val="0"/>
          <w:numId w:val="1007"/>
        </w:numPr>
      </w:pPr>
      <w:r>
        <w:t xml:space="preserve">COVID-19</w:t>
      </w:r>
    </w:p>
    <w:bookmarkEnd w:id="24"/>
    <w:bookmarkEnd w:id="25"/>
    <w:bookmarkStart w:id="27" w:name="why-switzerland"/>
    <w:p>
      <w:pPr>
        <w:pStyle w:val="Heading2"/>
      </w:pPr>
      <w:r>
        <w:t xml:space="preserve">Why Switzerland?</w:t>
      </w:r>
    </w:p>
    <w:bookmarkStart w:id="26" w:name="X18601571c8f1096ffa719a336f841e8d775a637"/>
    <w:p>
      <w:pPr>
        <w:pStyle w:val="Heading4"/>
      </w:pPr>
      <w:r>
        <w:t xml:space="preserve">Switzerland offers an interesting context: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High proportion of the migrant population</w:t>
      </w:r>
    </w:p>
    <w:p>
      <w:pPr>
        <w:pStyle w:val="Compact"/>
        <w:numPr>
          <w:ilvl w:val="1"/>
          <w:numId w:val="1009"/>
        </w:numPr>
      </w:pPr>
      <w:r>
        <w:t xml:space="preserve">31% in 2022 (OFS, 2023)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High proportion of older individual among migrants</w:t>
      </w:r>
    </w:p>
    <w:p>
      <w:pPr>
        <w:pStyle w:val="Compact"/>
        <w:numPr>
          <w:ilvl w:val="1"/>
          <w:numId w:val="1010"/>
        </w:numPr>
      </w:pPr>
      <w:r>
        <w:t xml:space="preserve">28.7% aged 55 y/o and over in 2021 (OFS, 2022)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High proportion of older Swiss living abroad</w:t>
      </w:r>
    </w:p>
    <w:p>
      <w:pPr>
        <w:pStyle w:val="Compact"/>
        <w:numPr>
          <w:ilvl w:val="1"/>
          <w:numId w:val="1011"/>
        </w:numPr>
      </w:pPr>
      <w:r>
        <w:t xml:space="preserve">22.5% aged 65 y/o and over in 2020 (OFS, 2023)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Availability of rich datasets</w:t>
      </w:r>
    </w:p>
    <w:p>
      <w:pPr>
        <w:pStyle w:val="Compact"/>
        <w:numPr>
          <w:ilvl w:val="1"/>
          <w:numId w:val="1012"/>
        </w:numPr>
      </w:pPr>
      <w:r>
        <w:t xml:space="preserve">MMS / TAS / TransAge</w:t>
      </w:r>
    </w:p>
    <w:p>
      <w:pPr>
        <w:pStyle w:val="Compact"/>
        <w:numPr>
          <w:ilvl w:val="1"/>
          <w:numId w:val="1012"/>
        </w:numPr>
      </w:pPr>
      <w:r>
        <w:t xml:space="preserve">Other longitudinal studies / Register</w:t>
      </w:r>
    </w:p>
    <w:bookmarkEnd w:id="26"/>
    <w:bookmarkEnd w:id="27"/>
    <w:bookmarkStart w:id="28" w:name="migration-mobility-survey-mms"/>
    <w:p>
      <w:pPr>
        <w:pStyle w:val="Heading2"/>
      </w:pPr>
      <w:r>
        <w:t xml:space="preserve">Migration Mobility Survey (MMS)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Dataset Overview:</w:t>
      </w:r>
      <w:r>
        <w:t xml:space="preserve"> </w:t>
      </w:r>
      <w:r>
        <w:t xml:space="preserve">National Center of Competence in Research (NCCR) conducts the Migration and Mobility Survey (MMS) biennially to study migration flows and conditions of foreign residents in Switzerland.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Size:</w:t>
      </w:r>
      <w:r>
        <w:t xml:space="preserve"> </w:t>
      </w:r>
      <w:r>
        <w:t xml:space="preserve">~7,000/wave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Survey Details:</w:t>
      </w:r>
    </w:p>
    <w:p>
      <w:pPr>
        <w:pStyle w:val="Compact"/>
        <w:numPr>
          <w:ilvl w:val="1"/>
          <w:numId w:val="1015"/>
        </w:numPr>
      </w:pPr>
      <w:r>
        <w:t xml:space="preserve">Currently in its fourth wave.</w:t>
      </w:r>
    </w:p>
    <w:p>
      <w:pPr>
        <w:pStyle w:val="Compact"/>
        <w:numPr>
          <w:ilvl w:val="1"/>
          <w:numId w:val="1015"/>
        </w:numPr>
      </w:pPr>
      <w:r>
        <w:t xml:space="preserve">Targets immigrants aged 18+ at immigration and 24 to 64 at survey time.</w:t>
      </w:r>
    </w:p>
    <w:p>
      <w:pPr>
        <w:pStyle w:val="Compact"/>
        <w:numPr>
          <w:ilvl w:val="1"/>
          <w:numId w:val="1015"/>
        </w:numPr>
      </w:pPr>
      <w:r>
        <w:t xml:space="preserve">Excludes under 18s and holders of N (asylum) or F (temporary) permits.</w:t>
      </w:r>
    </w:p>
    <w:p>
      <w:pPr>
        <w:pStyle w:val="Compact"/>
        <w:numPr>
          <w:ilvl w:val="1"/>
          <w:numId w:val="1015"/>
        </w:numPr>
      </w:pPr>
      <w:r>
        <w:t xml:space="preserve">Second wave included ages 26 to 70.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Sampling Technique:</w:t>
      </w:r>
    </w:p>
    <w:p>
      <w:pPr>
        <w:pStyle w:val="Compact"/>
        <w:numPr>
          <w:ilvl w:val="1"/>
          <w:numId w:val="1016"/>
        </w:numPr>
      </w:pPr>
      <w:r>
        <w:t xml:space="preserve">Stratified sampling by gender and geopolitical criteria.</w:t>
      </w:r>
    </w:p>
    <w:p>
      <w:pPr>
        <w:pStyle w:val="Compact"/>
        <w:numPr>
          <w:ilvl w:val="1"/>
          <w:numId w:val="1016"/>
        </w:numPr>
      </w:pPr>
      <w:r>
        <w:t xml:space="preserve">36 groups created, with ~190 interviews per stratum.</w:t>
      </w:r>
    </w:p>
    <w:p>
      <w:pPr>
        <w:pStyle w:val="Compact"/>
        <w:numPr>
          <w:ilvl w:val="1"/>
          <w:numId w:val="1016"/>
        </w:numPr>
      </w:pPr>
      <w:r>
        <w:t xml:space="preserve">Total target of 6,800 participants from an initial sample of 11,053 (33% participation anticipated).</w:t>
      </w:r>
    </w:p>
    <w:p>
      <w:pPr>
        <w:pStyle w:val="Compact"/>
        <w:numPr>
          <w:ilvl w:val="1"/>
          <w:numId w:val="1016"/>
        </w:numPr>
      </w:pPr>
      <w:r>
        <w:t xml:space="preserve">Refresh sample targets underrepresented nationalities, with 67% response rate and 20% reserve sample for sufficiency.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Collection:</w:t>
      </w:r>
    </w:p>
    <w:p>
      <w:pPr>
        <w:pStyle w:val="Compact"/>
        <w:numPr>
          <w:ilvl w:val="1"/>
          <w:numId w:val="1017"/>
        </w:numPr>
      </w:pPr>
      <w:r>
        <w:t xml:space="preserve">Mixed modes: 1% via Computer Assisted Telephone Interviews (CATI) and 99% through Online Web Interviews (CAWI).</w:t>
      </w:r>
    </w:p>
    <w:p>
      <w:pPr>
        <w:pStyle w:val="Compact"/>
        <w:numPr>
          <w:ilvl w:val="1"/>
          <w:numId w:val="1017"/>
        </w:numPr>
      </w:pPr>
      <w:r>
        <w:t xml:space="preserve">Questionnaires standardized, with minimal changes from 2020 to 2022.</w:t>
      </w:r>
    </w:p>
    <w:p>
      <w:pPr>
        <w:pStyle w:val="Compact"/>
        <w:numPr>
          <w:ilvl w:val="1"/>
          <w:numId w:val="1017"/>
        </w:numPr>
      </w:pPr>
      <w:r>
        <w:t xml:space="preserve">Feedback from internal workshops and tests with Master’s students to ensure question clarity and neutrality.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Improve reception and integration of immigrants, contributing to societal and economic development in Switzerland.</w:t>
      </w:r>
    </w:p>
    <w:bookmarkEnd w:id="28"/>
    <w:bookmarkStart w:id="29" w:name="transnational-ageing-survey-tas"/>
    <w:p>
      <w:pPr>
        <w:pStyle w:val="Heading2"/>
      </w:pPr>
      <w:r>
        <w:t xml:space="preserve">Transnational Ageing Survey (TAS)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Transnational-Ageing Surveys by NCCR – on the move: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To gather data to improve the quality of life for retirees, particularly those spending part of their year in Switzerland.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Participants:</w:t>
      </w:r>
      <w:r>
        <w:t xml:space="preserve"> </w:t>
      </w:r>
      <w:r>
        <w:t xml:space="preserve">Swiss and foreign nationals aged 55 and older.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Size:</w:t>
      </w:r>
      <w:r>
        <w:t xml:space="preserve"> </w:t>
      </w:r>
      <w:r>
        <w:t xml:space="preserve">~5,000/wave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Focus Areas:</w:t>
      </w:r>
    </w:p>
    <w:p>
      <w:pPr>
        <w:pStyle w:val="Compact"/>
        <w:numPr>
          <w:ilvl w:val="2"/>
          <w:numId w:val="1020"/>
        </w:numPr>
      </w:pPr>
      <w:r>
        <w:t xml:space="preserve">Life in Switzerland.</w:t>
      </w:r>
    </w:p>
    <w:p>
      <w:pPr>
        <w:pStyle w:val="Compact"/>
        <w:numPr>
          <w:ilvl w:val="2"/>
          <w:numId w:val="1020"/>
        </w:numPr>
      </w:pPr>
      <w:r>
        <w:t xml:space="preserve">Past and current international movements.</w:t>
      </w:r>
    </w:p>
    <w:p>
      <w:pPr>
        <w:pStyle w:val="Compact"/>
        <w:numPr>
          <w:ilvl w:val="2"/>
          <w:numId w:val="1020"/>
        </w:numPr>
      </w:pPr>
      <w:r>
        <w:t xml:space="preserve">Retirement plans (current or future).</w:t>
      </w:r>
    </w:p>
    <w:p>
      <w:pPr>
        <w:pStyle w:val="Compact"/>
        <w:numPr>
          <w:ilvl w:val="2"/>
          <w:numId w:val="1020"/>
        </w:numPr>
      </w:pPr>
      <w:r>
        <w:t xml:space="preserve">Family setups in Switzerland and overseas.</w:t>
      </w:r>
    </w:p>
    <w:p>
      <w:pPr>
        <w:pStyle w:val="Compact"/>
        <w:numPr>
          <w:ilvl w:val="2"/>
          <w:numId w:val="1020"/>
        </w:numPr>
      </w:pPr>
      <w:r>
        <w:t xml:space="preserve">Health, well-being, and overall living conditions.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Survey Execution and Details: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Initial Survey (2020):</w:t>
      </w:r>
    </w:p>
    <w:p>
      <w:pPr>
        <w:pStyle w:val="Compact"/>
        <w:numPr>
          <w:ilvl w:val="2"/>
          <w:numId w:val="1022"/>
        </w:numPr>
      </w:pPr>
      <w:r>
        <w:t xml:space="preserve">Conducted in the first half of 2020.</w:t>
      </w:r>
    </w:p>
    <w:p>
      <w:pPr>
        <w:pStyle w:val="Compact"/>
        <w:numPr>
          <w:ilvl w:val="2"/>
          <w:numId w:val="1022"/>
        </w:numPr>
      </w:pPr>
      <w:r>
        <w:t xml:space="preserve">Covered national residents of Switzerland, all nationalities, aged 55+.</w:t>
      </w:r>
    </w:p>
    <w:p>
      <w:pPr>
        <w:pStyle w:val="Compact"/>
        <w:numPr>
          <w:ilvl w:val="2"/>
          <w:numId w:val="1022"/>
        </w:numPr>
      </w:pPr>
      <w:r>
        <w:t xml:space="preserve">Received responses from 3,772 participants.</w:t>
      </w:r>
    </w:p>
    <w:p>
      <w:pPr>
        <w:pStyle w:val="Compact"/>
        <w:numPr>
          <w:ilvl w:val="2"/>
          <w:numId w:val="1022"/>
        </w:numPr>
      </w:pPr>
      <w:r>
        <w:t xml:space="preserve">Managed by M.I.S Trend survey institute.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Subsequent Global Survey (2020):</w:t>
      </w:r>
    </w:p>
    <w:p>
      <w:pPr>
        <w:pStyle w:val="Compact"/>
        <w:numPr>
          <w:ilvl w:val="2"/>
          <w:numId w:val="1023"/>
        </w:numPr>
      </w:pPr>
      <w:r>
        <w:t xml:space="preserve">Started in November 2020.</w:t>
      </w:r>
    </w:p>
    <w:p>
      <w:pPr>
        <w:pStyle w:val="Compact"/>
        <w:numPr>
          <w:ilvl w:val="2"/>
          <w:numId w:val="1023"/>
        </w:numPr>
      </w:pPr>
      <w:r>
        <w:t xml:space="preserve">Focused on Swiss nationals aged 55+ residing overseas.</w:t>
      </w:r>
    </w:p>
    <w:p>
      <w:pPr>
        <w:pStyle w:val="Compact"/>
        <w:numPr>
          <w:ilvl w:val="2"/>
          <w:numId w:val="1023"/>
        </w:numPr>
      </w:pPr>
      <w:r>
        <w:t xml:space="preserve">Aimed to explore living conditions abroad.</w:t>
      </w:r>
    </w:p>
    <w:p>
      <w:pPr>
        <w:pStyle w:val="Compact"/>
        <w:numPr>
          <w:ilvl w:val="2"/>
          <w:numId w:val="1023"/>
        </w:numPr>
      </w:pPr>
      <w:r>
        <w:t xml:space="preserve">Collaborated with the Federal Department of Foreign Affairs and the Federal Office of Constructions and Logistics.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Research Goals:</w:t>
      </w:r>
    </w:p>
    <w:p>
      <w:pPr>
        <w:pStyle w:val="Compact"/>
        <w:numPr>
          <w:ilvl w:val="1"/>
          <w:numId w:val="1024"/>
        </w:numPr>
      </w:pPr>
      <w:r>
        <w:t xml:space="preserve">Enhance insights into new international mobility trends among retirees.</w:t>
      </w:r>
    </w:p>
    <w:p>
      <w:pPr>
        <w:pStyle w:val="Compact"/>
        <w:numPr>
          <w:ilvl w:val="1"/>
          <w:numId w:val="1024"/>
        </w:numPr>
      </w:pPr>
      <w:r>
        <w:t xml:space="preserve">Inform policies and services to support retirees in both domestic and international contexts.</w:t>
      </w:r>
    </w:p>
    <w:bookmarkEnd w:id="29"/>
    <w:bookmarkStart w:id="30" w:name="transage"/>
    <w:p>
      <w:pPr>
        <w:pStyle w:val="Heading2"/>
      </w:pPr>
      <w:r>
        <w:t xml:space="preserve">TransAge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Dataset Overview: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Transnational Ageing Project: Post-Retirement Mobilities, Transnational Lifestyles and Care Configurations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Focus:</w:t>
      </w:r>
      <w:r>
        <w:t xml:space="preserve"> </w:t>
      </w:r>
      <w:r>
        <w:t xml:space="preserve">Older adults (aged 65 and above) from four groups: Swiss natives, Italian international migrants in Switzerland, Italian stayers in Italy, and internally mobile Italians.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Size:</w:t>
      </w:r>
      <w:r>
        <w:t xml:space="preserve"> </w:t>
      </w:r>
      <w:r>
        <w:t xml:space="preserve">~3,000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Data Collection and Study Design: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Research Institutes:</w:t>
      </w:r>
      <w:r>
        <w:t xml:space="preserve"> </w:t>
      </w:r>
      <w:r>
        <w:t xml:space="preserve">MIS Trend (Switzerland) and Demetra Opinioni (Italy).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Collection Methods:</w:t>
      </w:r>
      <w:r>
        <w:t xml:space="preserve"> </w:t>
      </w:r>
      <w:r>
        <w:t xml:space="preserve">Online questionnaires, paper questionnaires, telephone interviews, and face-to-face interactions.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Period:</w:t>
      </w:r>
      <w:r>
        <w:t xml:space="preserve"> </w:t>
      </w:r>
      <w:r>
        <w:t xml:space="preserve">June to November 2020, during the first and second COVID-19 waves.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Participants:</w:t>
      </w:r>
      <w:r>
        <w:t xml:space="preserve"> </w:t>
      </w:r>
      <w:r>
        <w:t xml:space="preserve">Total of 2,354 older adults.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Sampling Strategy:</w:t>
      </w:r>
    </w:p>
    <w:p>
      <w:pPr>
        <w:pStyle w:val="Compact"/>
        <w:numPr>
          <w:ilvl w:val="2"/>
          <w:numId w:val="1028"/>
        </w:numPr>
      </w:pPr>
      <w:r>
        <w:t xml:space="preserve">Swiss sample stratified by age and gender.</w:t>
      </w:r>
    </w:p>
    <w:p>
      <w:pPr>
        <w:pStyle w:val="Compact"/>
        <w:numPr>
          <w:ilvl w:val="2"/>
          <w:numId w:val="1028"/>
        </w:numPr>
      </w:pPr>
      <w:r>
        <w:t xml:space="preserve">Focused on six cantons (Zurich, Bern, Aargau, Vaud, Geneva, Ticino) hosting 70% of the Italian resident population in Switzerland.</w:t>
      </w:r>
    </w:p>
    <w:p>
      <w:pPr>
        <w:pStyle w:val="Compact"/>
        <w:numPr>
          <w:ilvl w:val="2"/>
          <w:numId w:val="1028"/>
        </w:numPr>
      </w:pPr>
      <w:r>
        <w:t xml:space="preserve">Respondents offered a choice between online and paper questionnaires in German, Italian, and French.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Study Objectives and Context: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Aim:</w:t>
      </w:r>
      <w:r>
        <w:t xml:space="preserve"> </w:t>
      </w:r>
      <w:r>
        <w:t xml:space="preserve">Compare groups to understand dynamics due to significant older Italian population in Switzerland, many of whom migrated from Southern Italy between the 1950s and 1970s.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Social Desirability Bias Test:</w:t>
      </w:r>
      <w:r>
        <w:t xml:space="preserve"> </w:t>
      </w:r>
      <w:r>
        <w:t xml:space="preserve">Compared Swiss Household Panel data (conducted by telephone) with data from paper/web methods for the Swiss sample. Found no evidence of bias in subjective well-being indicators.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Significance:</w:t>
      </w:r>
    </w:p>
    <w:p>
      <w:pPr>
        <w:pStyle w:val="Compact"/>
        <w:numPr>
          <w:ilvl w:val="1"/>
          <w:numId w:val="1030"/>
        </w:numPr>
      </w:pPr>
      <w:r>
        <w:t xml:space="preserve">Provides insights into post-retirement mobilities, transnational lifestyles, and care configurations among older adults in transnational settings.</w:t>
      </w:r>
    </w:p>
    <w:bookmarkEnd w:id="30"/>
    <w:bookmarkStart w:id="31" w:name="X67681f0b3da31ddab6eb5bb7a2a19c3f955f04e"/>
    <w:p>
      <w:pPr>
        <w:pStyle w:val="Heading2"/>
      </w:pPr>
      <w:r>
        <w:t xml:space="preserve">Limitation of using secondary datasets for studying older migrant population</w:t>
      </w:r>
    </w:p>
    <w:p>
      <w:pPr>
        <w:pStyle w:val="FirstParagraph"/>
      </w:pPr>
      <w:r>
        <w:t xml:space="preserve">When studying older migrant populations using secondary data, there are several key limitations to be aware of. To address these limitations, researchers often need to complement secondary data analysis with</w:t>
      </w:r>
      <w:r>
        <w:t xml:space="preserve"> </w:t>
      </w:r>
      <w:r>
        <w:rPr>
          <w:b/>
          <w:bCs/>
        </w:rPr>
        <w:t xml:space="preserve">primary data collection, including qualitative studies</w:t>
      </w:r>
      <w:r>
        <w:t xml:space="preserve">, to gain a more comprehensive understanding of older migrant populations.</w:t>
      </w:r>
    </w:p>
    <w:p>
      <w:pPr>
        <w:pStyle w:val="BodyText"/>
      </w:pPr>
      <w:r>
        <w:rPr>
          <w:b/>
          <w:bCs/>
        </w:rPr>
        <w:t xml:space="preserve">Main challenges:</w:t>
      </w:r>
    </w:p>
    <w:p>
      <w:pPr>
        <w:pStyle w:val="Compact"/>
        <w:numPr>
          <w:ilvl w:val="0"/>
          <w:numId w:val="1031"/>
        </w:numPr>
      </w:pPr>
      <w:r>
        <w:t xml:space="preserve">Methodological</w:t>
      </w:r>
    </w:p>
    <w:p>
      <w:pPr>
        <w:pStyle w:val="Compact"/>
        <w:numPr>
          <w:ilvl w:val="0"/>
          <w:numId w:val="1031"/>
        </w:numPr>
      </w:pPr>
      <w:r>
        <w:t xml:space="preserve">Ethical</w:t>
      </w:r>
    </w:p>
    <w:p>
      <w:pPr>
        <w:pStyle w:val="Compact"/>
        <w:numPr>
          <w:ilvl w:val="0"/>
          <w:numId w:val="1031"/>
        </w:numPr>
      </w:pPr>
      <w:r>
        <w:t xml:space="preserve">Data</w:t>
      </w:r>
    </w:p>
    <w:bookmarkEnd w:id="31"/>
    <w:bookmarkEnd w:id="32"/>
    <w:bookmarkStart w:id="52" w:name="literature"/>
    <w:p>
      <w:pPr>
        <w:pStyle w:val="Heading1"/>
      </w:pPr>
      <w:r>
        <w:t xml:space="preserve">Literature</w:t>
      </w:r>
    </w:p>
    <w:bookmarkStart w:id="34" w:name="methodological-challenges"/>
    <w:p>
      <w:pPr>
        <w:pStyle w:val="Heading2"/>
      </w:pPr>
      <w:r>
        <w:t xml:space="preserve">Methodological Challenges</w:t>
      </w:r>
    </w:p>
    <w:bookmarkStart w:id="33" w:name="defining-the-population-of-interest"/>
    <w:p>
      <w:pPr>
        <w:pStyle w:val="Heading4"/>
      </w:pPr>
      <w:r>
        <w:t xml:space="preserve">1. Defining the Population of Interest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Complexity:</w:t>
      </w:r>
      <w:r>
        <w:t xml:space="preserve"> </w:t>
      </w:r>
      <w:r>
        <w:t xml:space="preserve">Older migrants are a heterogeneous group, varying in age, origin, migration history, and legal status.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Migration Status:</w:t>
      </w:r>
      <w:r>
        <w:t xml:space="preserve"> </w:t>
      </w:r>
      <w:r>
        <w:t xml:space="preserve">Deciding whether to include second-generation immigrants, return migrants, or those with dual citizenship.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Cultural Considerations:</w:t>
      </w:r>
      <w:r>
        <w:t xml:space="preserve"> </w:t>
      </w:r>
      <w:r>
        <w:t xml:space="preserve">Definitions of</w:t>
      </w:r>
      <w:r>
        <w:t xml:space="preserve"> </w:t>
      </w:r>
      <w:r>
        <w:t xml:space="preserve">“</w:t>
      </w:r>
      <w:r>
        <w:t xml:space="preserve">older</w:t>
      </w:r>
      <w:r>
        <w:t xml:space="preserve">”</w:t>
      </w:r>
      <w:r>
        <w:t xml:space="preserve"> </w:t>
      </w:r>
      <w:r>
        <w:t xml:space="preserve">may differ across cultures and affect self-identification.</w:t>
      </w:r>
    </w:p>
    <w:bookmarkEnd w:id="33"/>
    <w:bookmarkEnd w:id="34"/>
    <w:bookmarkStart w:id="36" w:name="methodological-challenges-1"/>
    <w:p>
      <w:pPr>
        <w:pStyle w:val="Heading2"/>
      </w:pPr>
      <w:r>
        <w:t xml:space="preserve">Methodological Challenges</w:t>
      </w:r>
    </w:p>
    <w:bookmarkStart w:id="35" w:name="sampling-difficulties"/>
    <w:p>
      <w:pPr>
        <w:pStyle w:val="Heading4"/>
      </w:pPr>
      <w:r>
        <w:t xml:space="preserve">2. Sampling Difficulties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Hard-to-Reach Populations:</w:t>
      </w:r>
      <w:r>
        <w:t xml:space="preserve"> </w:t>
      </w:r>
      <w:r>
        <w:t xml:space="preserve">Older migrants may be socially isolated or live in areas not easily accessible to researchers.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Language Barriers:</w:t>
      </w:r>
      <w:r>
        <w:t xml:space="preserve"> </w:t>
      </w:r>
      <w:r>
        <w:t xml:space="preserve">May limit participation in surveys or interviews.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Trust Issues:</w:t>
      </w:r>
      <w:r>
        <w:t xml:space="preserve"> </w:t>
      </w:r>
      <w:r>
        <w:t xml:space="preserve">Some migrants may be hesitant to participate due to fears related to their legal status or past experiences.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Representativeness:</w:t>
      </w:r>
      <w:r>
        <w:t xml:space="preserve"> </w:t>
      </w:r>
      <w:r>
        <w:t xml:space="preserve">Ensuring the sample accurately reflects the diversity within the older migrant population.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Sample Size:</w:t>
      </w:r>
      <w:r>
        <w:t xml:space="preserve"> </w:t>
      </w:r>
      <w:r>
        <w:t xml:space="preserve">Obtaining a large enough sample for statistical significance, especially for subgroups.</w:t>
      </w:r>
    </w:p>
    <w:bookmarkEnd w:id="35"/>
    <w:bookmarkEnd w:id="36"/>
    <w:bookmarkStart w:id="38" w:name="methodological-challenges-2"/>
    <w:p>
      <w:pPr>
        <w:pStyle w:val="Heading2"/>
      </w:pPr>
      <w:r>
        <w:t xml:space="preserve">Methodological Challenges</w:t>
      </w:r>
    </w:p>
    <w:bookmarkStart w:id="37" w:name="selection-of-appropriate-questions"/>
    <w:p>
      <w:pPr>
        <w:pStyle w:val="Heading4"/>
      </w:pPr>
      <w:r>
        <w:t xml:space="preserve">3. Selection of Appropriate Questions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Cultural Sensitivity:</w:t>
      </w:r>
      <w:r>
        <w:t xml:space="preserve"> </w:t>
      </w:r>
      <w:r>
        <w:t xml:space="preserve">Ensuring questions are culturally appropriate and not offensive.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Relevance:</w:t>
      </w:r>
      <w:r>
        <w:t xml:space="preserve"> </w:t>
      </w:r>
      <w:r>
        <w:t xml:space="preserve">Developing questions that capture the unique experiences of older migrants.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Comparability:</w:t>
      </w:r>
      <w:r>
        <w:t xml:space="preserve"> </w:t>
      </w:r>
      <w:r>
        <w:t xml:space="preserve">Balancing the need for context-specific questions with the ability to compare across different migrant groups or with non-migrant populations.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Comprehension:</w:t>
      </w:r>
      <w:r>
        <w:t xml:space="preserve"> </w:t>
      </w:r>
      <w:r>
        <w:t xml:space="preserve">Ensuring questions are understood similarly across different linguistic and cultural groups.</w:t>
      </w:r>
    </w:p>
    <w:bookmarkEnd w:id="37"/>
    <w:bookmarkEnd w:id="38"/>
    <w:bookmarkStart w:id="40" w:name="methodological-challenges-3"/>
    <w:p>
      <w:pPr>
        <w:pStyle w:val="Heading2"/>
      </w:pPr>
      <w:r>
        <w:t xml:space="preserve">Methodological Challenges</w:t>
      </w:r>
    </w:p>
    <w:bookmarkStart w:id="39" w:name="ensuring-validity-of-answers"/>
    <w:p>
      <w:pPr>
        <w:pStyle w:val="Heading4"/>
      </w:pPr>
      <w:r>
        <w:t xml:space="preserve">4. Ensuring Validity of Answers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Translation Issues:</w:t>
      </w:r>
      <w:r>
        <w:t xml:space="preserve"> </w:t>
      </w:r>
      <w:r>
        <w:t xml:space="preserve">Ensuring accurate translation of questions and responses across multiple languages.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Social Desirability Bias:</w:t>
      </w:r>
      <w:r>
        <w:t xml:space="preserve"> </w:t>
      </w:r>
      <w:r>
        <w:t xml:space="preserve">Respondents may answer in ways they think are socially acceptable rather than truthfully.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Recall Bias:</w:t>
      </w:r>
      <w:r>
        <w:t xml:space="preserve"> </w:t>
      </w:r>
      <w:r>
        <w:t xml:space="preserve">Older participants may have difficulty accurately remembering past events or experiences.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Proxy Responses:</w:t>
      </w:r>
      <w:r>
        <w:t xml:space="preserve"> </w:t>
      </w:r>
      <w:r>
        <w:t xml:space="preserve">When family members answer on behalf of older migrants, potentially introducing bias.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Cultural Interpretation:</w:t>
      </w:r>
      <w:r>
        <w:t xml:space="preserve"> </w:t>
      </w:r>
      <w:r>
        <w:t xml:space="preserve">Different cultures may interpret questions or concepts differently.</w:t>
      </w:r>
    </w:p>
    <w:bookmarkEnd w:id="39"/>
    <w:bookmarkEnd w:id="40"/>
    <w:bookmarkStart w:id="42" w:name="methodological-challenges-4"/>
    <w:p>
      <w:pPr>
        <w:pStyle w:val="Heading2"/>
      </w:pPr>
      <w:r>
        <w:t xml:space="preserve">Methodological Challenges</w:t>
      </w:r>
    </w:p>
    <w:bookmarkStart w:id="41" w:name="composition-of-the-research-team"/>
    <w:p>
      <w:pPr>
        <w:pStyle w:val="Heading4"/>
      </w:pPr>
      <w:r>
        <w:t xml:space="preserve">5. Composition of the Research Team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Cultural Competence:</w:t>
      </w:r>
      <w:r>
        <w:t xml:space="preserve"> </w:t>
      </w:r>
      <w:r>
        <w:t xml:space="preserve">Ensuring researchers understand the cultural contexts of the populations they’re studying.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Language Skills:</w:t>
      </w:r>
      <w:r>
        <w:t xml:space="preserve"> </w:t>
      </w:r>
      <w:r>
        <w:t xml:space="preserve">Having team members who speak the languages of the migrant groups being studied.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Interdisciplinary Approach:</w:t>
      </w:r>
      <w:r>
        <w:t xml:space="preserve"> </w:t>
      </w:r>
      <w:r>
        <w:t xml:space="preserve">Incorporating experts from various fields (e.g., gerontology, migration studies, public health) for a comprehensive perspective.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Diversity:</w:t>
      </w:r>
      <w:r>
        <w:t xml:space="preserve"> </w:t>
      </w:r>
      <w:r>
        <w:t xml:space="preserve">Including researchers from migrant backgrounds to bring insider perspectives and enhance trust with participants.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Training:</w:t>
      </w:r>
      <w:r>
        <w:t xml:space="preserve"> </w:t>
      </w:r>
      <w:r>
        <w:t xml:space="preserve">Providing specialized training for researchers on working with older migrant populations.</w:t>
      </w:r>
    </w:p>
    <w:bookmarkEnd w:id="41"/>
    <w:bookmarkEnd w:id="42"/>
    <w:bookmarkStart w:id="44" w:name="ethical-challenges"/>
    <w:p>
      <w:pPr>
        <w:pStyle w:val="Heading2"/>
      </w:pPr>
      <w:r>
        <w:t xml:space="preserve">Ethical challenges</w:t>
      </w:r>
    </w:p>
    <w:bookmarkStart w:id="43" w:name="obtaining-informed-consent"/>
    <w:p>
      <w:pPr>
        <w:pStyle w:val="Heading4"/>
      </w:pPr>
      <w:r>
        <w:t xml:space="preserve">1. Obtaining informed consent: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Language barriers</w:t>
      </w:r>
      <w:r>
        <w:t xml:space="preserve"> </w:t>
      </w:r>
      <w:r>
        <w:t xml:space="preserve">may make it difficult to fully explain the research and obtain truly informed consent.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Cultural differences</w:t>
      </w:r>
      <w:r>
        <w:t xml:space="preserve"> </w:t>
      </w:r>
      <w:r>
        <w:t xml:space="preserve">in understanding concepts like research participation and consent.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Cognitive impairments</w:t>
      </w:r>
      <w:r>
        <w:t xml:space="preserve"> </w:t>
      </w:r>
      <w:r>
        <w:t xml:space="preserve">in some older participants may impact their ability to provide informed consent.</w:t>
      </w:r>
    </w:p>
    <w:bookmarkEnd w:id="43"/>
    <w:bookmarkEnd w:id="44"/>
    <w:bookmarkStart w:id="46" w:name="ethical-challenges-1"/>
    <w:p>
      <w:pPr>
        <w:pStyle w:val="Heading2"/>
      </w:pPr>
      <w:r>
        <w:t xml:space="preserve">Ethical challenges</w:t>
      </w:r>
    </w:p>
    <w:bookmarkStart w:id="45" w:name="discussing-sensitive-topics"/>
    <w:p>
      <w:pPr>
        <w:pStyle w:val="Heading4"/>
      </w:pPr>
      <w:r>
        <w:t xml:space="preserve">2. Discussing sensitive topics: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Migration experiences</w:t>
      </w:r>
      <w:r>
        <w:t xml:space="preserve">, especially for refugees, may involve</w:t>
      </w:r>
      <w:r>
        <w:t xml:space="preserve"> </w:t>
      </w:r>
      <w:r>
        <w:rPr>
          <w:b/>
          <w:bCs/>
        </w:rPr>
        <w:t xml:space="preserve">trauma</w:t>
      </w:r>
      <w:r>
        <w:t xml:space="preserve"> </w:t>
      </w:r>
      <w:r>
        <w:t xml:space="preserve">that is difficult to discuss.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Cultural taboos</w:t>
      </w:r>
      <w:r>
        <w:t xml:space="preserve"> </w:t>
      </w:r>
      <w:r>
        <w:t xml:space="preserve">around certain topics (e.g. mental health, family relationships) may make participants</w:t>
      </w:r>
      <w:r>
        <w:t xml:space="preserve"> </w:t>
      </w:r>
      <w:r>
        <w:rPr>
          <w:b/>
          <w:bCs/>
        </w:rPr>
        <w:t xml:space="preserve">uncomfortable</w:t>
      </w:r>
      <w:r>
        <w:t xml:space="preserve">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Researchers need to balance gathering important data with respecting participants’ boundaries</w:t>
      </w:r>
      <w:r>
        <w:t xml:space="preserve">.</w:t>
      </w:r>
    </w:p>
    <w:bookmarkEnd w:id="45"/>
    <w:bookmarkEnd w:id="46"/>
    <w:bookmarkStart w:id="48" w:name="ethical-challenges-2"/>
    <w:p>
      <w:pPr>
        <w:pStyle w:val="Heading2"/>
      </w:pPr>
      <w:r>
        <w:t xml:space="preserve">Ethical challenges</w:t>
      </w:r>
    </w:p>
    <w:bookmarkStart w:id="47" w:name="addressing-the-impact-of-covid-19"/>
    <w:p>
      <w:pPr>
        <w:pStyle w:val="Heading4"/>
      </w:pPr>
      <w:r>
        <w:t xml:space="preserve">3. Addressing the impact of COVID-19:</w:t>
      </w:r>
    </w:p>
    <w:p>
      <w:pPr>
        <w:pStyle w:val="Compact"/>
        <w:numPr>
          <w:ilvl w:val="0"/>
          <w:numId w:val="1039"/>
        </w:numPr>
      </w:pPr>
      <w:r>
        <w:t xml:space="preserve">Older migrants are a</w:t>
      </w:r>
      <w:r>
        <w:t xml:space="preserve"> </w:t>
      </w:r>
      <w:r>
        <w:rPr>
          <w:b/>
          <w:bCs/>
        </w:rPr>
        <w:t xml:space="preserve">high-risk group</w:t>
      </w:r>
      <w:r>
        <w:t xml:space="preserve">, requiring extra precautions for in-person research.</w:t>
      </w:r>
    </w:p>
    <w:p>
      <w:pPr>
        <w:pStyle w:val="Compact"/>
        <w:numPr>
          <w:ilvl w:val="0"/>
          <w:numId w:val="1039"/>
        </w:numPr>
      </w:pPr>
      <w:r>
        <w:t xml:space="preserve">Shift to</w:t>
      </w:r>
      <w:r>
        <w:t xml:space="preserve"> </w:t>
      </w:r>
      <w:r>
        <w:rPr>
          <w:b/>
          <w:bCs/>
        </w:rPr>
        <w:t xml:space="preserve">remote/online methods</w:t>
      </w:r>
      <w:r>
        <w:t xml:space="preserve"> </w:t>
      </w:r>
      <w:r>
        <w:t xml:space="preserve">may</w:t>
      </w:r>
      <w:r>
        <w:t xml:space="preserve"> </w:t>
      </w:r>
      <w:r>
        <w:rPr>
          <w:b/>
          <w:bCs/>
        </w:rPr>
        <w:t xml:space="preserve">exclude participants</w:t>
      </w:r>
      <w:r>
        <w:t xml:space="preserve"> </w:t>
      </w:r>
      <w:r>
        <w:t xml:space="preserve">without technology access/litteracy.</w:t>
      </w:r>
    </w:p>
    <w:p>
      <w:pPr>
        <w:pStyle w:val="Compact"/>
        <w:numPr>
          <w:ilvl w:val="0"/>
          <w:numId w:val="1039"/>
        </w:numPr>
      </w:pPr>
      <w:r>
        <w:t xml:space="preserve">Pandemic-related stressors may impact participants’ wellbeing and</w:t>
      </w:r>
      <w:r>
        <w:t xml:space="preserve"> </w:t>
      </w:r>
      <w:r>
        <w:rPr>
          <w:b/>
          <w:bCs/>
        </w:rPr>
        <w:t xml:space="preserve">willingness to engage in research.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Need to consider how the pandemic context affects research questions and data interpretation.</w:t>
      </w:r>
    </w:p>
    <w:bookmarkEnd w:id="47"/>
    <w:bookmarkEnd w:id="48"/>
    <w:bookmarkStart w:id="50" w:name="ethical-challenges-3"/>
    <w:p>
      <w:pPr>
        <w:pStyle w:val="Heading2"/>
      </w:pPr>
      <w:r>
        <w:t xml:space="preserve">Ethical challenges</w:t>
      </w:r>
    </w:p>
    <w:bookmarkStart w:id="49" w:name="additional-ethical-considerations"/>
    <w:p>
      <w:pPr>
        <w:pStyle w:val="Heading4"/>
      </w:pPr>
      <w:r>
        <w:t xml:space="preserve">Additional ethical considerations:</w:t>
      </w:r>
    </w:p>
    <w:p>
      <w:pPr>
        <w:pStyle w:val="Compact"/>
        <w:numPr>
          <w:ilvl w:val="0"/>
          <w:numId w:val="1040"/>
        </w:numPr>
      </w:pPr>
      <w:r>
        <w:t xml:space="preserve">Ensuring</w:t>
      </w:r>
      <w:r>
        <w:t xml:space="preserve"> </w:t>
      </w:r>
      <w:r>
        <w:rPr>
          <w:b/>
          <w:bCs/>
        </w:rPr>
        <w:t xml:space="preserve">privacy and confidentiality</w:t>
      </w:r>
      <w:r>
        <w:t xml:space="preserve">, especially for undocumented migrants.</w:t>
      </w:r>
    </w:p>
    <w:p>
      <w:pPr>
        <w:pStyle w:val="Compact"/>
        <w:numPr>
          <w:ilvl w:val="0"/>
          <w:numId w:val="1040"/>
        </w:numPr>
      </w:pPr>
      <w:r>
        <w:t xml:space="preserve">Providing appropriate</w:t>
      </w:r>
      <w:r>
        <w:t xml:space="preserve"> </w:t>
      </w:r>
      <w:r>
        <w:rPr>
          <w:b/>
          <w:bCs/>
        </w:rPr>
        <w:t xml:space="preserve">compensation</w:t>
      </w:r>
      <w:r>
        <w:t xml:space="preserve"> </w:t>
      </w:r>
      <w:r>
        <w:t xml:space="preserve">without being coercive.</w:t>
      </w:r>
    </w:p>
    <w:p>
      <w:pPr>
        <w:pStyle w:val="Compact"/>
        <w:numPr>
          <w:ilvl w:val="0"/>
          <w:numId w:val="1040"/>
        </w:numPr>
      </w:pPr>
      <w:r>
        <w:t xml:space="preserve">Addressing</w:t>
      </w:r>
      <w:r>
        <w:t xml:space="preserve"> </w:t>
      </w:r>
      <w:r>
        <w:rPr>
          <w:b/>
          <w:bCs/>
        </w:rPr>
        <w:t xml:space="preserve">power imbalances</w:t>
      </w:r>
      <w:r>
        <w:t xml:space="preserve"> </w:t>
      </w:r>
      <w:r>
        <w:t xml:space="preserve">between researchers and participants.</w:t>
      </w:r>
    </w:p>
    <w:p>
      <w:pPr>
        <w:pStyle w:val="Compact"/>
        <w:numPr>
          <w:ilvl w:val="0"/>
          <w:numId w:val="1040"/>
        </w:numPr>
      </w:pPr>
      <w:r>
        <w:t xml:space="preserve">Considering the</w:t>
      </w:r>
      <w:r>
        <w:t xml:space="preserve"> </w:t>
      </w:r>
      <w:r>
        <w:rPr>
          <w:b/>
          <w:bCs/>
        </w:rPr>
        <w:t xml:space="preserve">impact of the research</w:t>
      </w:r>
      <w:r>
        <w:t xml:space="preserve"> </w:t>
      </w:r>
      <w:r>
        <w:t xml:space="preserve">on the broader migrant community.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Ethical data sharing</w:t>
      </w:r>
      <w:r>
        <w:t xml:space="preserve"> </w:t>
      </w:r>
      <w:r>
        <w:t xml:space="preserve">practices, given the sensitive nature of the information.</w:t>
      </w:r>
    </w:p>
    <w:bookmarkEnd w:id="49"/>
    <w:bookmarkEnd w:id="50"/>
    <w:bookmarkStart w:id="51" w:name="X52b4175691f5df2bd913737615e9b34bf3285ef"/>
    <w:p>
      <w:pPr>
        <w:pStyle w:val="Heading2"/>
      </w:pPr>
      <w:r>
        <w:t xml:space="preserve">Data Limitations in Older Migrant Research</w:t>
      </w:r>
    </w:p>
    <w:p>
      <w:pPr>
        <w:pStyle w:val="Compact"/>
        <w:numPr>
          <w:ilvl w:val="0"/>
          <w:numId w:val="1041"/>
        </w:numPr>
      </w:pPr>
      <w:r>
        <w:t xml:space="preserve">Lack of comprehensive</w:t>
      </w:r>
      <w:r>
        <w:t xml:space="preserve"> </w:t>
      </w:r>
      <w:r>
        <w:rPr>
          <w:b/>
          <w:bCs/>
        </w:rPr>
        <w:t xml:space="preserve">age-disaggregated data</w:t>
      </w:r>
    </w:p>
    <w:p>
      <w:pPr>
        <w:pStyle w:val="Compact"/>
        <w:numPr>
          <w:ilvl w:val="0"/>
          <w:numId w:val="1041"/>
        </w:numPr>
      </w:pPr>
      <w:r>
        <w:t xml:space="preserve">Question adapted to the elderly population</w:t>
      </w:r>
    </w:p>
    <w:p>
      <w:pPr>
        <w:pStyle w:val="Compact"/>
        <w:numPr>
          <w:ilvl w:val="1"/>
          <w:numId w:val="1042"/>
        </w:numPr>
      </w:pPr>
      <w:r>
        <w:t xml:space="preserve">Life course</w:t>
      </w:r>
    </w:p>
    <w:p>
      <w:pPr>
        <w:pStyle w:val="Compact"/>
        <w:numPr>
          <w:ilvl w:val="1"/>
          <w:numId w:val="1042"/>
        </w:numPr>
      </w:pPr>
      <w:r>
        <w:t xml:space="preserve">Vulnerability</w:t>
      </w:r>
    </w:p>
    <w:p>
      <w:pPr>
        <w:pStyle w:val="Compact"/>
        <w:numPr>
          <w:ilvl w:val="1"/>
          <w:numId w:val="1042"/>
        </w:numPr>
      </w:pPr>
      <w:r>
        <w:t xml:space="preserve">Integration</w:t>
      </w:r>
    </w:p>
    <w:p>
      <w:pPr>
        <w:pStyle w:val="Compact"/>
        <w:numPr>
          <w:ilvl w:val="1"/>
          <w:numId w:val="1042"/>
        </w:numPr>
      </w:pPr>
      <w:r>
        <w:t xml:space="preserve">Mobility</w:t>
      </w:r>
    </w:p>
    <w:p>
      <w:pPr>
        <w:pStyle w:val="Compact"/>
        <w:numPr>
          <w:ilvl w:val="1"/>
          <w:numId w:val="1042"/>
        </w:numPr>
      </w:pPr>
      <w:r>
        <w:t xml:space="preserve">Family</w:t>
      </w:r>
    </w:p>
    <w:p>
      <w:pPr>
        <w:pStyle w:val="Compact"/>
        <w:numPr>
          <w:ilvl w:val="1"/>
          <w:numId w:val="1042"/>
        </w:numPr>
      </w:pPr>
      <w:r>
        <w:t xml:space="preserve">Transnationalism</w:t>
      </w:r>
    </w:p>
    <w:p>
      <w:pPr>
        <w:pStyle w:val="Compact"/>
        <w:numPr>
          <w:ilvl w:val="1"/>
          <w:numId w:val="1042"/>
        </w:numPr>
      </w:pPr>
      <w:r>
        <w:t xml:space="preserve">Health</w:t>
      </w:r>
    </w:p>
    <w:p>
      <w:pPr>
        <w:pStyle w:val="Compact"/>
        <w:numPr>
          <w:ilvl w:val="1"/>
          <w:numId w:val="1042"/>
        </w:numPr>
      </w:pPr>
      <w:r>
        <w:t xml:space="preserve">COVID-19</w:t>
      </w:r>
    </w:p>
    <w:bookmarkEnd w:id="51"/>
    <w:bookmarkEnd w:id="52"/>
    <w:bookmarkStart w:id="60" w:name="selected-criterias"/>
    <w:p>
      <w:pPr>
        <w:pStyle w:val="Heading1"/>
      </w:pPr>
      <w:r>
        <w:t xml:space="preserve">Selected criterias</w:t>
      </w:r>
    </w:p>
    <w:bookmarkStart w:id="53" w:name="criterias-for-datasets-1"/>
    <w:p>
      <w:pPr>
        <w:pStyle w:val="Heading2"/>
      </w:pPr>
      <w:r>
        <w:t xml:space="preserve">Criterias for Datasets (1)</w:t>
      </w:r>
    </w:p>
    <w:p>
      <w:pPr>
        <w:pStyle w:val="FirstParagraph"/>
      </w:pPr>
      <w:r>
        <w:rPr>
          <w:b/>
          <w:bCs/>
        </w:rPr>
        <w:t xml:space="preserve">Categories: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Where in the process?</w:t>
      </w:r>
    </w:p>
    <w:p>
      <w:pPr>
        <w:pStyle w:val="Compact"/>
        <w:numPr>
          <w:ilvl w:val="1"/>
          <w:numId w:val="1044"/>
        </w:numPr>
      </w:pPr>
      <w:r>
        <w:t xml:space="preserve">Data planification</w:t>
      </w:r>
    </w:p>
    <w:p>
      <w:pPr>
        <w:pStyle w:val="Compact"/>
        <w:numPr>
          <w:ilvl w:val="1"/>
          <w:numId w:val="1044"/>
        </w:numPr>
      </w:pPr>
      <w:r>
        <w:t xml:space="preserve">Data collection</w:t>
      </w:r>
    </w:p>
    <w:p>
      <w:pPr>
        <w:pStyle w:val="Compact"/>
        <w:numPr>
          <w:ilvl w:val="1"/>
          <w:numId w:val="1044"/>
        </w:numPr>
      </w:pPr>
      <w:r>
        <w:t xml:space="preserve">Final datasets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Type of challenge?</w:t>
      </w:r>
    </w:p>
    <w:p>
      <w:pPr>
        <w:pStyle w:val="Compact"/>
        <w:numPr>
          <w:ilvl w:val="1"/>
          <w:numId w:val="1045"/>
        </w:numPr>
      </w:pPr>
      <w:r>
        <w:t xml:space="preserve">Methodological</w:t>
      </w:r>
    </w:p>
    <w:p>
      <w:pPr>
        <w:pStyle w:val="Compact"/>
        <w:numPr>
          <w:ilvl w:val="1"/>
          <w:numId w:val="1045"/>
        </w:numPr>
      </w:pPr>
      <w:r>
        <w:t xml:space="preserve">Ethical</w:t>
      </w:r>
    </w:p>
    <w:p>
      <w:pPr>
        <w:pStyle w:val="Compact"/>
        <w:numPr>
          <w:ilvl w:val="1"/>
          <w:numId w:val="1045"/>
        </w:numPr>
      </w:pPr>
      <w:r>
        <w:t xml:space="preserve">Data</w:t>
      </w:r>
    </w:p>
    <w:bookmarkEnd w:id="53"/>
    <w:bookmarkStart w:id="54" w:name="criteria-for-datasets-2"/>
    <w:p>
      <w:pPr>
        <w:pStyle w:val="Heading2"/>
      </w:pPr>
      <w:r>
        <w:t xml:space="preserve">Criteria for Datasets (2)</w:t>
      </w:r>
    </w:p>
    <w:p>
      <w:pPr>
        <w:pStyle w:val="FirstParagraph"/>
      </w:pPr>
      <w:r>
        <w:rPr>
          <w:b/>
          <w:bCs/>
        </w:rPr>
        <w:t xml:space="preserve">Data planification / Methodological challenges: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Wide geographic coverage:</w:t>
      </w:r>
      <w:r>
        <w:t xml:space="preserve"> </w:t>
      </w:r>
      <w:r>
        <w:t xml:space="preserve">Many nationality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Diverse migrant categories:</w:t>
      </w:r>
      <w:r>
        <w:t xml:space="preserve"> </w:t>
      </w:r>
      <w:r>
        <w:t xml:space="preserve">Cover different types of migration (e.g., labor migration, family reunification, refugee/asylum)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Longitudinal data:</w:t>
      </w:r>
      <w:r>
        <w:t xml:space="preserve"> </w:t>
      </w:r>
      <w:r>
        <w:t xml:space="preserve">Track changes over time to understand integration processes and long-term outcomes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Migration history:</w:t>
      </w:r>
      <w:r>
        <w:t xml:space="preserve"> </w:t>
      </w:r>
      <w:r>
        <w:t xml:space="preserve">Capture information on circular and return migration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Qualitative data integration:</w:t>
      </w:r>
      <w:r>
        <w:t xml:space="preserve"> </w:t>
      </w:r>
      <w:r>
        <w:t xml:space="preserve">Include or link to qualitative data to provide context and deeper insights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Standardized definitions and measures:</w:t>
      </w:r>
      <w:r>
        <w:t xml:space="preserve"> </w:t>
      </w:r>
      <w:r>
        <w:t xml:space="preserve">Employ standardized measures of key variables to allow for comparisons</w:t>
      </w:r>
    </w:p>
    <w:bookmarkEnd w:id="54"/>
    <w:bookmarkStart w:id="55" w:name="criteria-for-datasets-3"/>
    <w:p>
      <w:pPr>
        <w:pStyle w:val="Heading2"/>
      </w:pPr>
      <w:r>
        <w:t xml:space="preserve">Criteria for Datasets (3)</w:t>
      </w:r>
    </w:p>
    <w:p>
      <w:pPr>
        <w:pStyle w:val="FirstParagraph"/>
      </w:pPr>
      <w:r>
        <w:rPr>
          <w:b/>
          <w:bCs/>
        </w:rPr>
        <w:t xml:space="preserve">Data collection / Ethical challenges: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Privacy and confidentiality:</w:t>
      </w:r>
      <w:r>
        <w:t xml:space="preserve"> </w:t>
      </w:r>
      <w:r>
        <w:t xml:space="preserve">Protect personnal data and include information on informed consent procedures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Methodological transparency:</w:t>
      </w:r>
      <w:r>
        <w:t xml:space="preserve"> </w:t>
      </w:r>
      <w:r>
        <w:t xml:space="preserve">Provide clear documentation of data collection methods, sampling strategies, and limitations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Accessibility:</w:t>
      </w:r>
      <w:r>
        <w:t xml:space="preserve"> </w:t>
      </w:r>
      <w:r>
        <w:t xml:space="preserve">Make data accessible to researchers while protecting privacy</w:t>
      </w:r>
    </w:p>
    <w:bookmarkEnd w:id="55"/>
    <w:bookmarkStart w:id="56" w:name="criteria-for-datasets-4"/>
    <w:p>
      <w:pPr>
        <w:pStyle w:val="Heading2"/>
      </w:pPr>
      <w:r>
        <w:t xml:space="preserve">Criteria for Datasets (4)</w:t>
      </w:r>
    </w:p>
    <w:p>
      <w:pPr>
        <w:pStyle w:val="FirstParagraph"/>
      </w:pPr>
      <w:r>
        <w:rPr>
          <w:b/>
          <w:bCs/>
        </w:rPr>
        <w:t xml:space="preserve">Dataset: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Age disaggregation:</w:t>
      </w:r>
      <w:r>
        <w:t xml:space="preserve"> </w:t>
      </w:r>
      <w:r>
        <w:t xml:space="preserve">Detailed age categories, especially for those 65 and older (e.g., 65-69, 70-74, 75+)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Demographic information:</w:t>
      </w:r>
      <w:r>
        <w:t xml:space="preserve"> </w:t>
      </w:r>
      <w:r>
        <w:t xml:space="preserve">Sex, country of origin, duration of stay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Socioeconomic factors:</w:t>
      </w:r>
      <w:r>
        <w:t xml:space="preserve"> </w:t>
      </w:r>
      <w:r>
        <w:t xml:space="preserve">Labor market outcomes, educational attainment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Health status:</w:t>
      </w:r>
      <w:r>
        <w:t xml:space="preserve"> </w:t>
      </w:r>
      <w:r>
        <w:t xml:space="preserve">Physical and mental health indicators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Migration history:</w:t>
      </w:r>
      <w:r>
        <w:t xml:space="preserve"> </w:t>
      </w:r>
      <w:r>
        <w:t xml:space="preserve">Type of migration (e.g., former guest workers, postcolonial migrants, refugees)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Destination country data:</w:t>
      </w:r>
      <w:r>
        <w:t xml:space="preserve"> </w:t>
      </w:r>
      <w:r>
        <w:t xml:space="preserve">To facilitate cross-country comparisons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Longitudinal data:</w:t>
      </w:r>
      <w:r>
        <w:t xml:space="preserve"> </w:t>
      </w:r>
      <w:r>
        <w:t xml:space="preserve">To allow for trend analysis over time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Qualitative data:</w:t>
      </w:r>
      <w:r>
        <w:t xml:space="preserve"> </w:t>
      </w:r>
      <w:r>
        <w:t xml:space="preserve">To supplement quantitative information and provide context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Cultural and linguistic factors:</w:t>
      </w:r>
      <w:r>
        <w:t xml:space="preserve"> </w:t>
      </w:r>
      <w:r>
        <w:t xml:space="preserve">To understand integration challenges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Access to services:</w:t>
      </w:r>
      <w:r>
        <w:t xml:space="preserve"> </w:t>
      </w:r>
      <w:r>
        <w:t xml:space="preserve">Information on healthcare, social services, and support systems</w:t>
      </w:r>
    </w:p>
    <w:bookmarkEnd w:id="56"/>
    <w:bookmarkStart w:id="59" w:name="contribution"/>
    <w:p>
      <w:pPr>
        <w:pStyle w:val="Heading2"/>
      </w:pPr>
      <w:r>
        <w:t xml:space="preserve">Contribution</w:t>
      </w:r>
    </w:p>
    <w:bookmarkStart w:id="57" w:name="thes-datasets"/>
    <w:p>
      <w:pPr>
        <w:pStyle w:val="Heading3"/>
      </w:pPr>
      <w:r>
        <w:t xml:space="preserve">Thes datasets…</w:t>
      </w:r>
    </w:p>
    <w:p>
      <w:pPr>
        <w:pStyle w:val="Compact"/>
        <w:numPr>
          <w:ilvl w:val="0"/>
          <w:numId w:val="1049"/>
        </w:numPr>
      </w:pPr>
      <w:r>
        <w:t xml:space="preserve">Gives examples of good practices and challenges</w:t>
      </w:r>
    </w:p>
    <w:p>
      <w:pPr>
        <w:pStyle w:val="Compact"/>
        <w:numPr>
          <w:ilvl w:val="0"/>
          <w:numId w:val="1049"/>
        </w:numPr>
      </w:pPr>
      <w:r>
        <w:t xml:space="preserve">Shows what can and has been done</w:t>
      </w:r>
    </w:p>
    <w:p>
      <w:pPr>
        <w:pStyle w:val="Compact"/>
        <w:numPr>
          <w:ilvl w:val="0"/>
          <w:numId w:val="1049"/>
        </w:numPr>
      </w:pPr>
      <w:r>
        <w:t xml:space="preserve">Gives insights to a particular migrant population</w:t>
      </w:r>
    </w:p>
    <w:p>
      <w:pPr>
        <w:pStyle w:val="Compact"/>
        <w:numPr>
          <w:ilvl w:val="0"/>
          <w:numId w:val="1049"/>
        </w:numPr>
      </w:pPr>
      <w:r>
        <w:t xml:space="preserve">Presents the interesting context of Switzerland</w:t>
      </w:r>
    </w:p>
    <w:bookmarkEnd w:id="57"/>
    <w:bookmarkStart w:id="58" w:name="next-steps"/>
    <w:p>
      <w:pPr>
        <w:pStyle w:val="Heading3"/>
      </w:pPr>
      <w:r>
        <w:t xml:space="preserve">Next steps</w:t>
      </w:r>
    </w:p>
    <w:p>
      <w:pPr>
        <w:pStyle w:val="Compact"/>
        <w:numPr>
          <w:ilvl w:val="0"/>
          <w:numId w:val="1050"/>
        </w:numPr>
      </w:pPr>
      <w:r>
        <w:t xml:space="preserve">Get access to all codebooks</w:t>
      </w:r>
    </w:p>
    <w:p>
      <w:pPr>
        <w:pStyle w:val="Compact"/>
        <w:numPr>
          <w:ilvl w:val="0"/>
          <w:numId w:val="1050"/>
        </w:numPr>
      </w:pPr>
      <w:r>
        <w:t xml:space="preserve">Analysing the datasets through this approach</w:t>
      </w:r>
    </w:p>
    <w:p>
      <w:pPr>
        <w:pStyle w:val="Compact"/>
        <w:numPr>
          <w:ilvl w:val="0"/>
          <w:numId w:val="1050"/>
        </w:numPr>
      </w:pPr>
      <w:r>
        <w:t xml:space="preserve">Collect research in the field of older migration that use these datasets</w:t>
      </w:r>
    </w:p>
    <w:p>
      <w:pPr>
        <w:pStyle w:val="Compact"/>
        <w:numPr>
          <w:ilvl w:val="0"/>
          <w:numId w:val="1050"/>
        </w:numPr>
      </w:pPr>
      <w:r>
        <w:t xml:space="preserve">Discussion ways to improve them</w:t>
      </w:r>
    </w:p>
    <w:bookmarkEnd w:id="58"/>
    <w:bookmarkEnd w:id="59"/>
    <w:bookmarkEnd w:id="60"/>
    <w:bookmarkStart w:id="74" w:name="thank-you-for-your-attention"/>
    <w:p>
      <w:pPr>
        <w:pStyle w:val="Heading1"/>
      </w:pPr>
      <w:r>
        <w:t xml:space="preserve">Thank you for your attention!</w:t>
      </w:r>
    </w:p>
    <w:bookmarkStart w:id="61" w:name="questions"/>
    <w:p>
      <w:pPr>
        <w:pStyle w:val="Heading3"/>
      </w:pPr>
      <w:r>
        <w:t xml:space="preserve">Questions?</w:t>
      </w:r>
    </w:p>
    <w:bookmarkEnd w:id="61"/>
    <w:bookmarkStart w:id="73" w:name="references"/>
    <w:p>
      <w:pPr>
        <w:pStyle w:val="Heading2"/>
      </w:pPr>
      <w:r>
        <w:t xml:space="preserve">References</w:t>
      </w:r>
    </w:p>
    <w:bookmarkStart w:id="72" w:name="refs"/>
    <w:bookmarkStart w:id="62" w:name="ref-bilecen2022conducting"/>
    <w:p>
      <w:pPr>
        <w:pStyle w:val="Bibliography"/>
      </w:pPr>
      <w:r>
        <w:t xml:space="preserve">Bilecen, Başak, and Tineke Fokkema. 2022.</w:t>
      </w:r>
      <w:r>
        <w:t xml:space="preserve"> </w:t>
      </w:r>
      <w:r>
        <w:t xml:space="preserve">“Conducting Empirical Research with Older Migrants: Methodological and Ethical Issues.”</w:t>
      </w:r>
      <w:r>
        <w:t xml:space="preserve"> </w:t>
      </w:r>
      <w:r>
        <w:rPr>
          <w:i/>
          <w:iCs/>
        </w:rPr>
        <w:t xml:space="preserve">The Gerontologist</w:t>
      </w:r>
      <w:r>
        <w:t xml:space="preserve"> </w:t>
      </w:r>
      <w:r>
        <w:t xml:space="preserve">62 (6): 809–15.</w:t>
      </w:r>
    </w:p>
    <w:bookmarkEnd w:id="62"/>
    <w:bookmarkStart w:id="63" w:name="ref-dones2023life"/>
    <w:p>
      <w:pPr>
        <w:pStyle w:val="Bibliography"/>
      </w:pPr>
      <w:r>
        <w:t xml:space="preserve">Dones, Iuna. 2023.</w:t>
      </w:r>
      <w:r>
        <w:t xml:space="preserve"> </w:t>
      </w:r>
      <w:r>
        <w:t xml:space="preserve">“Life Satisfaction Among Italian Migrants, Italian Stayers, and Swiss Natives: Who Fares Better?”</w:t>
      </w:r>
      <w:r>
        <w:t xml:space="preserve"> </w:t>
      </w:r>
      <w:r>
        <w:rPr>
          <w:i/>
          <w:iCs/>
        </w:rPr>
        <w:t xml:space="preserve">Comparative Population Studies-Zeitschrift f</w:t>
      </w:r>
      <w:r>
        <w:rPr>
          <w:i/>
          <w:iCs/>
        </w:rPr>
        <w:t xml:space="preserve">ü</w:t>
      </w:r>
      <w:r>
        <w:rPr>
          <w:i/>
          <w:iCs/>
        </w:rPr>
        <w:t xml:space="preserve">r Bev</w:t>
      </w:r>
      <w:r>
        <w:rPr>
          <w:i/>
          <w:iCs/>
        </w:rPr>
        <w:t xml:space="preserve">ö</w:t>
      </w:r>
      <w:r>
        <w:rPr>
          <w:i/>
          <w:iCs/>
        </w:rPr>
        <w:t xml:space="preserve">lkerungswissenschaft</w:t>
      </w:r>
      <w:r>
        <w:t xml:space="preserve"> </w:t>
      </w:r>
      <w:r>
        <w:t xml:space="preserve">48: 457–92.</w:t>
      </w:r>
    </w:p>
    <w:bookmarkEnd w:id="63"/>
    <w:bookmarkStart w:id="64" w:name="ref-ekoh2024valuable"/>
    <w:p>
      <w:pPr>
        <w:pStyle w:val="Bibliography"/>
      </w:pPr>
      <w:r>
        <w:t xml:space="preserve">Ekoh, Prince Chiagozie, and Christine A Walsh. 2024.</w:t>
      </w:r>
      <w:r>
        <w:t xml:space="preserve"> </w:t>
      </w:r>
      <w:r>
        <w:t xml:space="preserve">“Valuable Beyond Vulnerable: A Scoping Review on the Contributions of Older Forced Migrants in Post-Migration Recovery.”</w:t>
      </w:r>
      <w:r>
        <w:t xml:space="preserve"> </w:t>
      </w:r>
      <w:r>
        <w:rPr>
          <w:i/>
          <w:iCs/>
        </w:rPr>
        <w:t xml:space="preserve">International Journal of Disaster Risk Science</w:t>
      </w:r>
      <w:r>
        <w:t xml:space="preserve">, 1–12.</w:t>
      </w:r>
    </w:p>
    <w:bookmarkEnd w:id="64"/>
    <w:bookmarkStart w:id="65" w:name="ref-ludwig2023between"/>
    <w:p>
      <w:pPr>
        <w:pStyle w:val="Bibliography"/>
      </w:pPr>
      <w:r>
        <w:t xml:space="preserve">Ludwig-Dehm, Sarah M, Iuna Dones, and Ruxandra Oana Ciobanu. 2023.</w:t>
      </w:r>
      <w:r>
        <w:t xml:space="preserve"> </w:t>
      </w:r>
      <w:r>
        <w:t xml:space="preserve">“Between Here and There: Comparing the Worry about the Pandemic Between Older Italian International Migrants and Natives in Switzerland.”</w:t>
      </w:r>
      <w:r>
        <w:t xml:space="preserve"> </w:t>
      </w:r>
      <w:r>
        <w:rPr>
          <w:i/>
          <w:iCs/>
        </w:rPr>
        <w:t xml:space="preserve">Comparative Migration Studies</w:t>
      </w:r>
      <w:r>
        <w:t xml:space="preserve"> </w:t>
      </w:r>
      <w:r>
        <w:t xml:space="preserve">11 (1): 8.</w:t>
      </w:r>
    </w:p>
    <w:bookmarkEnd w:id="65"/>
    <w:bookmarkStart w:id="66" w:name="ref-martineau2019elderly"/>
    <w:p>
      <w:pPr>
        <w:pStyle w:val="Bibliography"/>
      </w:pPr>
      <w:r>
        <w:t xml:space="preserve">Martineau, Aurélien, and Mathilde Plard. 2019.</w:t>
      </w:r>
      <w:r>
        <w:t xml:space="preserve"> </w:t>
      </w:r>
      <w:r>
        <w:t xml:space="preserve">“Are Elderly Immigrants Meeting the Challenges of Successful Aging? Review of Literature on the Aging of Elderly Migrants in France.”</w:t>
      </w:r>
      <w:r>
        <w:t xml:space="preserve"> </w:t>
      </w:r>
      <w:r>
        <w:rPr>
          <w:i/>
          <w:iCs/>
        </w:rPr>
        <w:t xml:space="preserve">Cybergeo: European Journal of Geography</w:t>
      </w:r>
      <w:r>
        <w:t xml:space="preserve">.</w:t>
      </w:r>
    </w:p>
    <w:bookmarkEnd w:id="66"/>
    <w:bookmarkStart w:id="67" w:name="ref-nedelcu6"/>
    <w:p>
      <w:pPr>
        <w:pStyle w:val="Bibliography"/>
      </w:pPr>
      <w:r>
        <w:t xml:space="preserve">Nedelcu, Mihaela, and Laura Ravazzini. n.d.</w:t>
      </w:r>
      <w:r>
        <w:t xml:space="preserve"> </w:t>
      </w:r>
      <w:r>
        <w:t xml:space="preserve">“6 Vieillir Sur Place,</w:t>
      </w:r>
      <w:r>
        <w:t xml:space="preserve"> </w:t>
      </w:r>
      <w:r>
        <w:t xml:space="preserve">à</w:t>
      </w:r>
      <w:r>
        <w:t xml:space="preserve"> </w:t>
      </w:r>
      <w:r>
        <w:t xml:space="preserve">l’</w:t>
      </w:r>
      <w:r>
        <w:t xml:space="preserve">é</w:t>
      </w:r>
      <w:r>
        <w:t xml:space="preserve">tranger Ou</w:t>
      </w:r>
      <w:r>
        <w:t xml:space="preserve"> </w:t>
      </w:r>
      <w:r>
        <w:t xml:space="preserve">à</w:t>
      </w:r>
      <w:r>
        <w:t xml:space="preserve"> </w:t>
      </w:r>
      <w:r>
        <w:t xml:space="preserve">Travers Les Fronti</w:t>
      </w:r>
      <w:r>
        <w:t xml:space="preserve">è</w:t>
      </w:r>
      <w:r>
        <w:t xml:space="preserve">res.”</w:t>
      </w:r>
      <w:r>
        <w:t xml:space="preserve"> </w:t>
      </w:r>
      <w:r>
        <w:rPr>
          <w:i/>
          <w:iCs/>
        </w:rPr>
        <w:t xml:space="preserve">Vieillesse Et Vieillissement Dans La Soci</w:t>
      </w:r>
      <w:r>
        <w:rPr>
          <w:i/>
          <w:iCs/>
        </w:rPr>
        <w:t xml:space="preserve">é</w:t>
      </w:r>
      <w:r>
        <w:rPr>
          <w:i/>
          <w:iCs/>
        </w:rPr>
        <w:t xml:space="preserve">t</w:t>
      </w:r>
      <w:r>
        <w:rPr>
          <w:i/>
          <w:iCs/>
        </w:rPr>
        <w:t xml:space="preserve">é</w:t>
      </w:r>
      <w:r>
        <w:rPr>
          <w:i/>
          <w:iCs/>
        </w:rPr>
        <w:t xml:space="preserve"> </w:t>
      </w:r>
      <w:r>
        <w:rPr>
          <w:i/>
          <w:iCs/>
        </w:rPr>
        <w:t xml:space="preserve">Contemporaine</w:t>
      </w:r>
      <w:r>
        <w:t xml:space="preserve">.</w:t>
      </w:r>
    </w:p>
    <w:bookmarkEnd w:id="67"/>
    <w:bookmarkStart w:id="68" w:name="ref-nedelcu2021transnational"/>
    <w:p>
      <w:pPr>
        <w:pStyle w:val="Bibliography"/>
      </w:pPr>
      <w:r>
        <w:t xml:space="preserve">Nedelcu, Mihaela, Laura Ravazzini, and Livia Tomás. 2021.</w:t>
      </w:r>
      <w:r>
        <w:t xml:space="preserve"> </w:t>
      </w:r>
      <w:r>
        <w:t xml:space="preserve">“Transnational Ageing Survey 2020.”</w:t>
      </w:r>
    </w:p>
    <w:bookmarkEnd w:id="68"/>
    <w:bookmarkStart w:id="69" w:name="ref-rampazzo2023new"/>
    <w:p>
      <w:pPr>
        <w:pStyle w:val="Bibliography"/>
      </w:pPr>
      <w:r>
        <w:t xml:space="preserve">Rampazzo, Francesco, Marzia Rango, and Ingmar Weber. 2023.</w:t>
      </w:r>
      <w:r>
        <w:t xml:space="preserve"> </w:t>
      </w:r>
      <w:r>
        <w:t xml:space="preserve">“New Migration Data: Challenges and Opportunities.”</w:t>
      </w:r>
      <w:r>
        <w:t xml:space="preserve"> </w:t>
      </w:r>
      <w:r>
        <w:rPr>
          <w:i/>
          <w:iCs/>
        </w:rPr>
        <w:t xml:space="preserve">Handbook of Computational Social Science for Policy</w:t>
      </w:r>
      <w:r>
        <w:t xml:space="preserve"> </w:t>
      </w:r>
      <w:r>
        <w:t xml:space="preserve">345.</w:t>
      </w:r>
    </w:p>
    <w:bookmarkEnd w:id="69"/>
    <w:bookmarkStart w:id="70" w:name="ref-ruspini2009elderly"/>
    <w:p>
      <w:pPr>
        <w:pStyle w:val="Bibliography"/>
      </w:pPr>
      <w:r>
        <w:t xml:space="preserve">Ruspini, Paolo. 2009.</w:t>
      </w:r>
      <w:r>
        <w:t xml:space="preserve"> </w:t>
      </w:r>
      <w:r>
        <w:t xml:space="preserve">“Elderly Migrants in Europe: An Overview of Trends, Policies and Practices.”</w:t>
      </w:r>
      <w:r>
        <w:t xml:space="preserve"> </w:t>
      </w:r>
      <w:r>
        <w:rPr>
          <w:i/>
          <w:iCs/>
        </w:rPr>
        <w:t xml:space="preserve">European Committee of Migration of the Council of Europe</w:t>
      </w:r>
      <w:r>
        <w:t xml:space="preserve">, 1–32.</w:t>
      </w:r>
    </w:p>
    <w:bookmarkEnd w:id="70"/>
    <w:bookmarkStart w:id="71" w:name="ref-steiner2019migrants"/>
    <w:p>
      <w:pPr>
        <w:pStyle w:val="Bibliography"/>
      </w:pPr>
      <w:r>
        <w:t xml:space="preserve">Steiner, Ilka, and Philippe Wanner. 2019.</w:t>
      </w:r>
      <w:r>
        <w:t xml:space="preserve"> </w:t>
      </w:r>
      <w:r>
        <w:rPr>
          <w:i/>
          <w:iCs/>
        </w:rPr>
        <w:t xml:space="preserve">Migrants and Expats: The Swiss Migration and Mobility Nexus</w:t>
      </w:r>
      <w:r>
        <w:t xml:space="preserve">. Springer Nature.</w:t>
      </w:r>
    </w:p>
    <w:bookmarkEnd w:id="71"/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Challenges for secondary analysis of existing large scale quantitative datasets for researching older migrants</dc:title>
  <dc:creator/>
  <cp:keywords/>
  <dcterms:created xsi:type="dcterms:W3CDTF">2024-09-16T13:35:19Z</dcterms:created>
  <dcterms:modified xsi:type="dcterms:W3CDTF">2024-09-16T13:35:19Z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valencia.bib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ocite">
    <vt:lpwstr>@*</vt:lpwstr>
  </property>
  <property fmtid="{D5CDD505-2E9C-101B-9397-08002B2CF9AE}" pid="13" name="subtitle">
    <vt:lpwstr>https://cyuhat.github.io/presentation_valencia/#/title-slide</vt:lpwstr>
  </property>
  <property fmtid="{D5CDD505-2E9C-101B-9397-08002B2CF9AE}" pid="14" name="toc-title">
    <vt:lpwstr>Table of contents</vt:lpwstr>
  </property>
</Properties>
</file>