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2"/>
        <w:gridCol w:w="287"/>
        <w:gridCol w:w="144"/>
        <w:gridCol w:w="6836"/>
        <w:gridCol w:w="67"/>
        <w:gridCol w:w="107"/>
        <w:gridCol w:w="64"/>
        <w:gridCol w:w="84"/>
        <w:gridCol w:w="88"/>
        <w:gridCol w:w="258"/>
        <w:gridCol w:w="101"/>
        <w:gridCol w:w="82"/>
        <w:gridCol w:w="249"/>
        <w:gridCol w:w="117"/>
        <w:gridCol w:w="78"/>
        <w:gridCol w:w="235"/>
        <w:gridCol w:w="134"/>
        <w:gridCol w:w="73"/>
        <w:gridCol w:w="214"/>
        <w:gridCol w:w="155"/>
        <w:gridCol w:w="56"/>
      </w:tblGrid>
      <w:tr w:rsidR="00582387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>Для не найпростішого потоку функція інтенсивності є: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582387" w:rsidRPr="009335D2" w:rsidTr="00247D96">
              <w:trPr>
                <w:trHeight w:val="300"/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582387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582387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582387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а) кусково-безперервною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кусково-лінійною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кусково-сталою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(2x+5)</m:t>
                      </m:r>
                    </m:e>
                  </m:func>
                </m:den>
              </m:f>
            </m:oMath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>г) кусково-монотонною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>У загальному випадку класи, у межах яких розраховують значення параметра потоку, можуть: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582387" w:rsidRPr="009335D2" w:rsidTr="00247D96">
              <w:trPr>
                <w:trHeight w:val="300"/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582387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582387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582387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 xml:space="preserve">а) 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>бути монотонними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бути інваріантними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містити ділення на нуль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(2x+5)</m:t>
                      </m:r>
                    </m:e>
                  </m:func>
                </m:den>
              </m:f>
            </m:oMath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>г) мати різну ширину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240"/>
        </w:trPr>
        <w:tc>
          <w:tcPr>
            <w:tcW w:w="224" w:type="pct"/>
            <w:gridSpan w:val="2"/>
            <w:vMerge w:val="restart"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3</w:t>
            </w: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Для визначення статистики Манна необхідно знати:</w:t>
            </w:r>
          </w:p>
        </w:tc>
        <w:tc>
          <w:tcPr>
            <w:tcW w:w="124" w:type="pct"/>
            <w:gridSpan w:val="3"/>
            <w:vMerge w:val="restart"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 w:val="restart"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582387" w:rsidRPr="009335D2" w:rsidTr="00247D96">
              <w:trPr>
                <w:trHeight w:val="300"/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6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582387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582387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582387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280"/>
        </w:trPr>
        <w:tc>
          <w:tcPr>
            <w:tcW w:w="224" w:type="pct"/>
            <w:gridSpan w:val="2"/>
            <w:vMerge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bottom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а) середньоквадратичне відхилення та дисперсію</w:t>
            </w:r>
          </w:p>
        </w:tc>
        <w:tc>
          <w:tcPr>
            <w:tcW w:w="124" w:type="pct"/>
            <w:gridSpan w:val="3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6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320"/>
        </w:trPr>
        <w:tc>
          <w:tcPr>
            <w:tcW w:w="224" w:type="pct"/>
            <w:gridSpan w:val="2"/>
            <w:vMerge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б) математичне сподівання та середньоквадратичне відхилення</w:t>
            </w:r>
          </w:p>
        </w:tc>
        <w:tc>
          <w:tcPr>
            <w:tcW w:w="124" w:type="pct"/>
            <w:gridSpan w:val="3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6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240"/>
        </w:trPr>
        <w:tc>
          <w:tcPr>
            <w:tcW w:w="224" w:type="pct"/>
            <w:gridSpan w:val="2"/>
            <w:vMerge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в) середньоквадратичне відхилення та центральний момент другого порядку</w:t>
            </w:r>
          </w:p>
        </w:tc>
        <w:tc>
          <w:tcPr>
            <w:tcW w:w="124" w:type="pct"/>
            <w:gridSpan w:val="3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6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360"/>
        </w:trPr>
        <w:tc>
          <w:tcPr>
            <w:tcW w:w="224" w:type="pct"/>
            <w:gridSpan w:val="2"/>
            <w:vMerge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top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г) математичне сподівання та центральний момент першого порядку</w:t>
            </w:r>
          </w:p>
        </w:tc>
        <w:tc>
          <w:tcPr>
            <w:tcW w:w="124" w:type="pct"/>
            <w:gridSpan w:val="3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6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240"/>
        </w:trPr>
        <w:tc>
          <w:tcPr>
            <w:tcW w:w="224" w:type="pct"/>
            <w:gridSpan w:val="2"/>
            <w:vMerge w:val="restart"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4</w:t>
            </w: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Для найпростішого потоку функція інтенсивності є:</w:t>
            </w:r>
          </w:p>
        </w:tc>
        <w:tc>
          <w:tcPr>
            <w:tcW w:w="124" w:type="pct"/>
            <w:gridSpan w:val="3"/>
            <w:vMerge w:val="restart"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 w:val="restart"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582387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  <w:tc>
          <w:tcPr>
            <w:tcW w:w="226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582387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582387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582387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2387" w:rsidRPr="009335D2" w:rsidRDefault="00582387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280"/>
        </w:trPr>
        <w:tc>
          <w:tcPr>
            <w:tcW w:w="224" w:type="pct"/>
            <w:gridSpan w:val="2"/>
            <w:vMerge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bottom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а) неперервна</w:t>
            </w:r>
          </w:p>
        </w:tc>
        <w:tc>
          <w:tcPr>
            <w:tcW w:w="124" w:type="pct"/>
            <w:gridSpan w:val="3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6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320"/>
        </w:trPr>
        <w:tc>
          <w:tcPr>
            <w:tcW w:w="224" w:type="pct"/>
            <w:gridSpan w:val="2"/>
            <w:vMerge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б) стала</w:t>
            </w:r>
          </w:p>
        </w:tc>
        <w:tc>
          <w:tcPr>
            <w:tcW w:w="124" w:type="pct"/>
            <w:gridSpan w:val="3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6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240"/>
        </w:trPr>
        <w:tc>
          <w:tcPr>
            <w:tcW w:w="224" w:type="pct"/>
            <w:gridSpan w:val="2"/>
            <w:vMerge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в) кусково-стала</w:t>
            </w:r>
          </w:p>
        </w:tc>
        <w:tc>
          <w:tcPr>
            <w:tcW w:w="124" w:type="pct"/>
            <w:gridSpan w:val="3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6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00"/>
        </w:tblPrEx>
        <w:trPr>
          <w:gridAfter w:val="2"/>
          <w:wAfter w:w="110" w:type="pct"/>
          <w:trHeight w:val="360"/>
        </w:trPr>
        <w:tc>
          <w:tcPr>
            <w:tcW w:w="224" w:type="pct"/>
            <w:gridSpan w:val="2"/>
            <w:vMerge/>
            <w:tcBorders>
              <w:top w:val="single" w:sz="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646" w:type="pct"/>
            <w:gridSpan w:val="2"/>
            <w:tcBorders>
              <w:top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9335D2">
              <w:rPr>
                <w:rFonts w:ascii="Times New Roman" w:eastAsia="Times New Roman" w:hAnsi="Times New Roman"/>
                <w:sz w:val="20"/>
                <w:szCs w:val="20"/>
              </w:rPr>
              <w:t>г) кусково-неперервна</w:t>
            </w:r>
          </w:p>
        </w:tc>
        <w:tc>
          <w:tcPr>
            <w:tcW w:w="124" w:type="pct"/>
            <w:gridSpan w:val="3"/>
            <w:vMerge/>
            <w:tcBorders>
              <w:top w:val="single" w:sz="4" w:space="0" w:color="000000"/>
              <w:right w:val="single" w:sz="24" w:space="0" w:color="000000"/>
            </w:tcBorders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6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5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0" w:type="pct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82387" w:rsidRPr="009335D2" w:rsidRDefault="00582387" w:rsidP="000B3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20"/>
        </w:tblPrEx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5</w:t>
            </w: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GPSS (</w:t>
            </w:r>
            <w:r w:rsidRPr="009335D2">
              <w:rPr>
                <w:rFonts w:ascii="Times New Roman" w:hAnsi="Times New Roman"/>
                <w:sz w:val="20"/>
                <w:szCs w:val="20"/>
                <w:lang w:val="en-US"/>
              </w:rPr>
              <w:t>General</w:t>
            </w:r>
            <w:r w:rsidRPr="009335D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35D2">
              <w:rPr>
                <w:rFonts w:ascii="Times New Roman" w:hAnsi="Times New Roman"/>
                <w:sz w:val="20"/>
                <w:szCs w:val="20"/>
                <w:lang w:val="en-US"/>
              </w:rPr>
              <w:t>Purpose</w:t>
            </w:r>
            <w:r w:rsidRPr="009335D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35D2">
              <w:rPr>
                <w:rFonts w:ascii="Times New Roman" w:hAnsi="Times New Roman"/>
                <w:sz w:val="20"/>
                <w:szCs w:val="20"/>
                <w:lang w:val="en-US"/>
              </w:rPr>
              <w:t>Simulation</w:t>
            </w:r>
            <w:r w:rsidRPr="009335D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35D2">
              <w:rPr>
                <w:rFonts w:ascii="Times New Roman" w:hAnsi="Times New Roman"/>
                <w:sz w:val="20"/>
                <w:szCs w:val="20"/>
                <w:lang w:val="en-US"/>
              </w:rPr>
              <w:t>System</w:t>
            </w:r>
            <w:r w:rsidRPr="009335D2">
              <w:rPr>
                <w:rFonts w:ascii="Times New Roman" w:hAnsi="Times New Roman"/>
                <w:sz w:val="20"/>
                <w:szCs w:val="20"/>
              </w:rPr>
              <w:t xml:space="preserve"> )- це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582387" w:rsidRPr="009335D2" w:rsidTr="00247D96">
              <w:trPr>
                <w:trHeight w:val="270"/>
              </w:trPr>
              <w:tc>
                <w:tcPr>
                  <w:tcW w:w="255" w:type="dxa"/>
                </w:tcPr>
                <w:p w:rsidR="00582387" w:rsidRPr="009335D2" w:rsidRDefault="00582387" w:rsidP="000B34A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tbl>
            <w:tblPr>
              <w:tblStyle w:val="a4"/>
              <w:tblW w:w="260" w:type="dxa"/>
              <w:tblLayout w:type="fixed"/>
              <w:tblLook w:val="04A0"/>
            </w:tblPr>
            <w:tblGrid>
              <w:gridCol w:w="260"/>
            </w:tblGrid>
            <w:tr w:rsidR="00582387" w:rsidRPr="009335D2" w:rsidTr="00247D96">
              <w:trPr>
                <w:trHeight w:val="267"/>
              </w:trPr>
              <w:tc>
                <w:tcPr>
                  <w:tcW w:w="260" w:type="dxa"/>
                </w:tcPr>
                <w:p w:rsidR="00582387" w:rsidRPr="009335D2" w:rsidRDefault="00582387" w:rsidP="000B34A6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582387" w:rsidRPr="009335D2" w:rsidTr="00247D96">
              <w:trPr>
                <w:trHeight w:val="254"/>
              </w:trPr>
              <w:tc>
                <w:tcPr>
                  <w:tcW w:w="255" w:type="dxa"/>
                </w:tcPr>
                <w:p w:rsidR="00582387" w:rsidRPr="009335D2" w:rsidRDefault="00582387" w:rsidP="000B34A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582387" w:rsidRPr="009335D2" w:rsidTr="00247D96">
              <w:trPr>
                <w:trHeight w:val="254"/>
              </w:trPr>
              <w:tc>
                <w:tcPr>
                  <w:tcW w:w="255" w:type="dxa"/>
                </w:tcPr>
                <w:p w:rsidR="00582387" w:rsidRPr="009335D2" w:rsidRDefault="00582387" w:rsidP="000B34A6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20"/>
        </w:tblPrEx>
        <w:trPr>
          <w:trHeight w:val="29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 xml:space="preserve">а) </w:t>
            </w:r>
            <w:r w:rsidRPr="009335D2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сукупність радіоелектронних засобів, що дозволяє визначати положення та швидкість руху об'єкта на поверхні </w:t>
            </w:r>
            <w:hyperlink r:id="rId5" w:tooltip="Земля" w:history="1">
              <w:r w:rsidRPr="009335D2">
                <w:rPr>
                  <w:rStyle w:val="a3"/>
                  <w:rFonts w:ascii="Times New Roman" w:hAnsi="Times New Roman"/>
                  <w:sz w:val="20"/>
                  <w:szCs w:val="20"/>
                  <w:shd w:val="clear" w:color="auto" w:fill="FFFFFF"/>
                </w:rPr>
                <w:t>Землі</w:t>
              </w:r>
            </w:hyperlink>
            <w:r w:rsidRPr="009335D2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 або в атмосфері.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20"/>
        </w:tblPrEx>
        <w:trPr>
          <w:trHeight w:val="33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9335D2">
              <w:rPr>
                <w:rFonts w:ascii="Times New Roman" w:hAnsi="Times New Roman"/>
                <w:sz w:val="20"/>
                <w:szCs w:val="20"/>
              </w:rPr>
              <w:t>мова моделювання, яка використовується для побудови дискретних імітаційних моделей і проведення експериментів на ЕОМ.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20"/>
        </w:tblPrEx>
        <w:trPr>
          <w:trHeight w:val="25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 сукупність місць для очікування заявок перед обслуговуючим прибором.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blPrEx>
          <w:tblLook w:val="0420"/>
        </w:tblPrEx>
        <w:trPr>
          <w:trHeight w:val="37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(2x+5)</m:t>
                      </m:r>
                    </m:e>
                  </m:func>
                </m:den>
              </m:f>
            </m:oMath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>г)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інша відповідь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6</w:t>
            </w: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 xml:space="preserve">Потік вимог, які покидають систему, при чому вимоги в ньому можуть бути як обслуговані, так і </w:t>
            </w:r>
            <w:proofErr w:type="spellStart"/>
            <w:r w:rsidRPr="009335D2">
              <w:rPr>
                <w:rFonts w:ascii="Times New Roman" w:hAnsi="Times New Roman"/>
                <w:sz w:val="20"/>
                <w:szCs w:val="20"/>
              </w:rPr>
              <w:t>необслуговані</w:t>
            </w:r>
            <w:proofErr w:type="spellEnd"/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582387" w:rsidRPr="009335D2" w:rsidTr="00247D96">
              <w:trPr>
                <w:trHeight w:val="254"/>
              </w:trPr>
              <w:tc>
                <w:tcPr>
                  <w:tcW w:w="255" w:type="dxa"/>
                </w:tcPr>
                <w:p w:rsidR="00582387" w:rsidRPr="009335D2" w:rsidRDefault="00582387" w:rsidP="000B34A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582387" w:rsidRPr="009335D2" w:rsidTr="00247D96">
              <w:trPr>
                <w:trHeight w:val="254"/>
              </w:trPr>
              <w:tc>
                <w:tcPr>
                  <w:tcW w:w="255" w:type="dxa"/>
                </w:tcPr>
                <w:p w:rsidR="00582387" w:rsidRPr="009335D2" w:rsidRDefault="00582387" w:rsidP="000B34A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582387" w:rsidRPr="009335D2" w:rsidTr="00247D96">
              <w:trPr>
                <w:trHeight w:val="254"/>
              </w:trPr>
              <w:tc>
                <w:tcPr>
                  <w:tcW w:w="255" w:type="dxa"/>
                </w:tcPr>
                <w:p w:rsidR="00582387" w:rsidRPr="009335D2" w:rsidRDefault="00582387" w:rsidP="000B34A6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582387" w:rsidRPr="009335D2" w:rsidTr="00247D96">
              <w:trPr>
                <w:trHeight w:val="254"/>
              </w:trPr>
              <w:tc>
                <w:tcPr>
                  <w:tcW w:w="255" w:type="dxa"/>
                </w:tcPr>
                <w:p w:rsidR="00582387" w:rsidRPr="009335D2" w:rsidRDefault="00582387" w:rsidP="000B34A6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а) Вихідний потік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 xml:space="preserve">б) 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>Динамічний потік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9335D2">
              <w:rPr>
                <w:rFonts w:ascii="Times New Roman" w:hAnsi="Times New Roman"/>
                <w:sz w:val="20"/>
                <w:szCs w:val="20"/>
              </w:rPr>
              <w:t>Вхідний потік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(2x+5)</m:t>
                      </m:r>
                    </m:e>
                  </m:func>
                </m:den>
              </m:f>
            </m:oMath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>г) Інша відповідь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7</w:t>
            </w: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582387" w:rsidRPr="009335D2" w:rsidRDefault="00582387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 xml:space="preserve">Для позначення CMO використовуються три параметра: 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55" w:type="dxa"/>
              <w:tblLayout w:type="fixed"/>
              <w:tblLook w:val="04A0"/>
            </w:tblPr>
            <w:tblGrid>
              <w:gridCol w:w="255"/>
            </w:tblGrid>
            <w:tr w:rsidR="00582387" w:rsidRPr="009335D2" w:rsidTr="00247D96">
              <w:trPr>
                <w:trHeight w:val="254"/>
              </w:trPr>
              <w:tc>
                <w:tcPr>
                  <w:tcW w:w="255" w:type="dxa"/>
                </w:tcPr>
                <w:p w:rsidR="00582387" w:rsidRPr="009335D2" w:rsidRDefault="00582387" w:rsidP="000B34A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tbl>
            <w:tblPr>
              <w:tblStyle w:val="a4"/>
              <w:tblW w:w="260" w:type="dxa"/>
              <w:tblLayout w:type="fixed"/>
              <w:tblLook w:val="04A0"/>
            </w:tblPr>
            <w:tblGrid>
              <w:gridCol w:w="260"/>
            </w:tblGrid>
            <w:tr w:rsidR="00582387" w:rsidRPr="009335D2" w:rsidTr="00247D96">
              <w:trPr>
                <w:trHeight w:val="315"/>
              </w:trPr>
              <w:tc>
                <w:tcPr>
                  <w:tcW w:w="260" w:type="dxa"/>
                </w:tcPr>
                <w:p w:rsidR="00582387" w:rsidRPr="009335D2" w:rsidRDefault="00582387" w:rsidP="000B34A6">
                  <w:pPr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  <w:lang w:val="ru-RU"/>
                    </w:rPr>
                    <w:t>б</w:t>
                  </w:r>
                </w:p>
              </w:tc>
            </w:tr>
          </w:tbl>
          <w:p w:rsidR="00582387" w:rsidRPr="009335D2" w:rsidRDefault="00582387" w:rsidP="000B34A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60" w:type="dxa"/>
              <w:tblLayout w:type="fixed"/>
              <w:tblLook w:val="04A0"/>
            </w:tblPr>
            <w:tblGrid>
              <w:gridCol w:w="260"/>
            </w:tblGrid>
            <w:tr w:rsidR="00582387" w:rsidRPr="009335D2" w:rsidTr="00247D96">
              <w:trPr>
                <w:trHeight w:val="239"/>
              </w:trPr>
              <w:tc>
                <w:tcPr>
                  <w:tcW w:w="260" w:type="dxa"/>
                </w:tcPr>
                <w:p w:rsidR="00582387" w:rsidRPr="009335D2" w:rsidRDefault="00582387" w:rsidP="000B34A6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4"/>
              <w:tblW w:w="236" w:type="dxa"/>
              <w:tblLayout w:type="fixed"/>
              <w:tblLook w:val="04A0"/>
            </w:tblPr>
            <w:tblGrid>
              <w:gridCol w:w="236"/>
            </w:tblGrid>
            <w:tr w:rsidR="00582387" w:rsidRPr="009335D2" w:rsidTr="00247D96">
              <w:trPr>
                <w:trHeight w:val="254"/>
              </w:trPr>
              <w:tc>
                <w:tcPr>
                  <w:tcW w:w="236" w:type="dxa"/>
                </w:tcPr>
                <w:p w:rsidR="00582387" w:rsidRPr="009335D2" w:rsidRDefault="00582387" w:rsidP="000B34A6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а) A/S/D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9335D2">
              <w:rPr>
                <w:rFonts w:ascii="Times New Roman" w:hAnsi="Times New Roman"/>
                <w:sz w:val="20"/>
                <w:szCs w:val="20"/>
              </w:rPr>
              <w:t>X/Y/Z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9335D2">
              <w:rPr>
                <w:rFonts w:ascii="Times New Roman" w:hAnsi="Times New Roman"/>
                <w:sz w:val="20"/>
                <w:szCs w:val="20"/>
              </w:rPr>
              <w:t>Q/W/E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(2x+5)</m:t>
                      </m:r>
                    </m:e>
                  </m:func>
                </m:den>
              </m:f>
            </m:oMath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>г) Інша відповідь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8</w:t>
            </w: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247D96" w:rsidRPr="009335D2" w:rsidRDefault="00247D96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На чергу можуть накладатись обмеження по: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trHeight w:val="300"/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247D96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247D96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а) кількості елементів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довжині або часу перебування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 правилам обслуговування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>г)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приладам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9</w:t>
            </w: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247D96" w:rsidRPr="009335D2" w:rsidRDefault="00247D96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lastRenderedPageBreak/>
              <w:t>Дисципліни обслуговування розрізняють на: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247D96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247D96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 xml:space="preserve">а) </w:t>
            </w:r>
            <w:proofErr w:type="spellStart"/>
            <w:r w:rsidRPr="009335D2">
              <w:rPr>
                <w:rFonts w:ascii="Times New Roman" w:hAnsi="Times New Roman"/>
                <w:sz w:val="20"/>
                <w:szCs w:val="20"/>
              </w:rPr>
              <w:t>безпріоритетні</w:t>
            </w:r>
            <w:proofErr w:type="spellEnd"/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пріоритетні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дисципліни з вибору черги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 xml:space="preserve">г) </w:t>
            </w:r>
            <w:proofErr w:type="spellStart"/>
            <w:r w:rsidRPr="009335D2">
              <w:rPr>
                <w:rFonts w:ascii="Times New Roman" w:hAnsi="Times New Roman"/>
                <w:sz w:val="20"/>
                <w:szCs w:val="20"/>
              </w:rPr>
              <w:t>безпріоритетні</w:t>
            </w:r>
            <w:proofErr w:type="spellEnd"/>
            <w:r w:rsidRPr="009335D2">
              <w:rPr>
                <w:rFonts w:ascii="Times New Roman" w:hAnsi="Times New Roman"/>
                <w:sz w:val="20"/>
                <w:szCs w:val="20"/>
              </w:rPr>
              <w:t xml:space="preserve"> та пріоритетні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10</w:t>
            </w: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247D96" w:rsidRPr="009335D2" w:rsidRDefault="00247D96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Дисципліни обслуговування можуть бути: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trHeight w:val="300"/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247D96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247D96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а) з відносними пріоритетами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з </w:t>
            </w:r>
            <w:proofErr w:type="spellStart"/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>дінамічними</w:t>
            </w:r>
            <w:proofErr w:type="spellEnd"/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пріоритетами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з абсолютними пріоритетами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>г) з відносними або абсолютними пріоритетами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11</w:t>
            </w: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247D96" w:rsidRPr="009335D2" w:rsidRDefault="00247D96" w:rsidP="000B34A6">
            <w:pPr>
              <w:spacing w:after="0" w:line="259" w:lineRule="auto"/>
              <w:rPr>
                <w:rFonts w:ascii="Times New Roman" w:eastAsiaTheme="minorHAnsi" w:hAnsi="Times New Roman"/>
                <w:sz w:val="20"/>
                <w:szCs w:val="20"/>
              </w:rPr>
            </w:pPr>
            <w:r w:rsidRPr="009335D2">
              <w:rPr>
                <w:rFonts w:ascii="Times New Roman" w:eastAsiaTheme="minorHAnsi" w:hAnsi="Times New Roman"/>
                <w:sz w:val="20"/>
                <w:szCs w:val="20"/>
              </w:rPr>
              <w:t>Що таке заявка в системі масового обслуговування?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247D96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247D96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а) текстове повідомлення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вимога чи запит клієнта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 об’єкт, який вимагає обслуговування в обслуговуючому пристрої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(2x+5)</m:t>
                      </m:r>
                    </m:e>
                  </m:func>
                </m:den>
              </m:f>
            </m:oMath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>г)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виклик, який поступив в систему масового обслуговування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12</w:t>
            </w: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247D96" w:rsidRPr="009335D2" w:rsidRDefault="00247D96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>Який закон справедливий для СМО будь-якого типу ?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trHeight w:val="300"/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247D96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247D96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 xml:space="preserve">а) </w:t>
            </w:r>
            <w:proofErr w:type="spellStart"/>
            <w:r w:rsidRPr="009335D2">
              <w:rPr>
                <w:rFonts w:ascii="Times New Roman" w:hAnsi="Times New Roman"/>
                <w:sz w:val="20"/>
                <w:szCs w:val="20"/>
              </w:rPr>
              <w:t>експоненційний</w:t>
            </w:r>
            <w:proofErr w:type="spellEnd"/>
            <w:r w:rsidRPr="009335D2">
              <w:rPr>
                <w:rFonts w:ascii="Times New Roman" w:hAnsi="Times New Roman"/>
                <w:sz w:val="20"/>
                <w:szCs w:val="20"/>
              </w:rPr>
              <w:t xml:space="preserve"> закон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закон інтенсивності надходження вимог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закон черги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(2x+5)</m:t>
                      </m:r>
                    </m:e>
                  </m:func>
                </m:den>
              </m:f>
            </m:oMath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 xml:space="preserve">г) закон </w:t>
            </w:r>
            <w:proofErr w:type="spellStart"/>
            <w:r w:rsidRPr="009335D2">
              <w:rPr>
                <w:rFonts w:ascii="Times New Roman" w:hAnsi="Times New Roman"/>
                <w:sz w:val="20"/>
                <w:szCs w:val="20"/>
              </w:rPr>
              <w:t>Літтла</w:t>
            </w:r>
            <w:proofErr w:type="spellEnd"/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9335D2" w:rsidTr="000B34A6">
        <w:trPr>
          <w:trHeight w:val="258"/>
        </w:trPr>
        <w:tc>
          <w:tcPr>
            <w:tcW w:w="224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>13</w:t>
            </w: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triple" w:sz="4" w:space="0" w:color="auto"/>
              <w:bottom w:val="single" w:sz="4" w:space="0" w:color="000000"/>
            </w:tcBorders>
          </w:tcPr>
          <w:p w:rsidR="00247D96" w:rsidRPr="009335D2" w:rsidRDefault="00247D96" w:rsidP="000B34A6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>Які розрізняють дисципліни обслуговування ?</w:t>
            </w:r>
          </w:p>
        </w:tc>
        <w:tc>
          <w:tcPr>
            <w:tcW w:w="123" w:type="pct"/>
            <w:gridSpan w:val="3"/>
            <w:vMerge w:val="restart"/>
            <w:tcBorders>
              <w:top w:val="triple" w:sz="4" w:space="0" w:color="auto"/>
              <w:right w:val="thinThickThinSmallGap" w:sz="24" w:space="0" w:color="auto"/>
            </w:tcBorders>
          </w:tcPr>
          <w:p w:rsidR="00247D96" w:rsidRPr="009335D2" w:rsidRDefault="00247D96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а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2"/>
            </w:tblGrid>
            <w:tr w:rsidR="00247D96" w:rsidRPr="009335D2" w:rsidTr="00247D96">
              <w:trPr>
                <w:jc w:val="center"/>
              </w:trPr>
              <w:tc>
                <w:tcPr>
                  <w:tcW w:w="23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б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3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31"/>
            </w:tblGrid>
            <w:tr w:rsidR="00247D96" w:rsidRPr="009335D2" w:rsidTr="00247D96">
              <w:trPr>
                <w:jc w:val="center"/>
              </w:trPr>
              <w:tc>
                <w:tcPr>
                  <w:tcW w:w="23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в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tbl>
            <w:tblPr>
              <w:tblW w:w="22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/>
            </w:tblPr>
            <w:tblGrid>
              <w:gridCol w:w="222"/>
            </w:tblGrid>
            <w:tr w:rsidR="00247D96" w:rsidRPr="009335D2" w:rsidTr="00247D96">
              <w:trPr>
                <w:jc w:val="center"/>
              </w:trPr>
              <w:tc>
                <w:tcPr>
                  <w:tcW w:w="22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47D96" w:rsidRPr="009335D2" w:rsidRDefault="00247D96" w:rsidP="000B34A6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  <w:r w:rsidRPr="009335D2">
                    <w:rPr>
                      <w:rFonts w:ascii="Times New Roman" w:eastAsia="Times New Roman" w:hAnsi="Times New Roman"/>
                      <w:sz w:val="20"/>
                      <w:szCs w:val="20"/>
                    </w:rPr>
                    <w:t>г</w:t>
                  </w:r>
                </w:p>
              </w:tc>
            </w:tr>
          </w:tbl>
          <w:p w:rsidR="00247D96" w:rsidRPr="009335D2" w:rsidRDefault="00247D96" w:rsidP="000B34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9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а) немає ніяких видів дисциплін обслуговування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3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б)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в порядку черги / </w:t>
            </w:r>
            <w:proofErr w:type="spellStart"/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>рандомні</w:t>
            </w:r>
            <w:proofErr w:type="spellEnd"/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254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t>в)</w:t>
            </w:r>
            <w:r w:rsidRPr="009335D2">
              <w:rPr>
                <w:rFonts w:ascii="Times New Roman" w:hAnsi="Times New Roman"/>
                <w:bCs/>
                <w:sz w:val="20"/>
                <w:szCs w:val="20"/>
              </w:rPr>
              <w:t xml:space="preserve"> багатофазні / однофазні</w:t>
            </w:r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82387" w:rsidRPr="009335D2" w:rsidTr="000B34A6">
        <w:trPr>
          <w:trHeight w:val="375"/>
        </w:trPr>
        <w:tc>
          <w:tcPr>
            <w:tcW w:w="224" w:type="pct"/>
            <w:gridSpan w:val="2"/>
            <w:vMerge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37" w:type="pct"/>
            <w:gridSpan w:val="4"/>
            <w:tcBorders>
              <w:top w:val="single" w:sz="4" w:space="0" w:color="auto"/>
            </w:tcBorders>
            <w:vAlign w:val="center"/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9335D2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QUOTE </w:instrTex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(2x+5)</m:t>
                      </m:r>
                    </m:e>
                  </m:func>
                </m:den>
              </m:f>
            </m:oMath>
            <w:r w:rsidRPr="009335D2">
              <w:rPr>
                <w:rFonts w:ascii="Times New Roman" w:hAnsi="Times New Roman"/>
                <w:sz w:val="20"/>
                <w:szCs w:val="20"/>
              </w:rPr>
              <w:instrText xml:space="preserve"> </w:instrText>
            </w:r>
            <w:r w:rsidRPr="009335D2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9335D2">
              <w:rPr>
                <w:rFonts w:ascii="Times New Roman" w:hAnsi="Times New Roman"/>
                <w:sz w:val="20"/>
                <w:szCs w:val="20"/>
              </w:rPr>
              <w:t>г)</w:t>
            </w:r>
            <w:r w:rsidRPr="009335D2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9335D2">
              <w:rPr>
                <w:rFonts w:ascii="Times New Roman" w:hAnsi="Times New Roman"/>
                <w:sz w:val="20"/>
                <w:szCs w:val="20"/>
              </w:rPr>
              <w:t>безприорітетні</w:t>
            </w:r>
            <w:proofErr w:type="spellEnd"/>
            <w:r w:rsidRPr="009335D2"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proofErr w:type="spellStart"/>
            <w:r w:rsidRPr="009335D2">
              <w:rPr>
                <w:rFonts w:ascii="Times New Roman" w:hAnsi="Times New Roman"/>
                <w:sz w:val="20"/>
                <w:szCs w:val="20"/>
              </w:rPr>
              <w:t>приорітетні</w:t>
            </w:r>
            <w:proofErr w:type="spellEnd"/>
          </w:p>
        </w:tc>
        <w:tc>
          <w:tcPr>
            <w:tcW w:w="123" w:type="pct"/>
            <w:gridSpan w:val="3"/>
            <w:vMerge/>
            <w:tcBorders>
              <w:right w:val="thinThickThinSmallGap" w:sz="2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2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2387" w:rsidRPr="009335D2" w:rsidRDefault="00582387" w:rsidP="000B34A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85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14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Який блок в GPSS-моделі змінює стан пристрою з ВІЛЬНИЙ на ЗАЙНЯТЕ?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SEIZE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ADVANCE 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DEPART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  <w:tcBorders>
              <w:bottom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RELEASE 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1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Заявка, що надійшла на вхід системи масового обслуговування, може перебувати в двох станах: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left="360"/>
              <w:contextualSpacing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а) Обслуговування та очікування;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left="360"/>
              <w:contextualSpacing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б) Аналізу та виконання;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left="360"/>
              <w:contextualSpacing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в) Очікування і виконання;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left="360"/>
              <w:contextualSpacing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г) Обслуговування та аналізу;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85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1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Дисципліни обслуговування розрізняють: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а) Багатофункціональні та прості;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б) </w:t>
            </w: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Одноканальні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системи та багатоканальні системи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в) </w:t>
            </w: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Безпріоритетні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та пріоритетні;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  <w:tcBorders>
              <w:bottom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г) Сталі та стаціонарні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1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7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Формула імовірності переходу системи за час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Δt</m:t>
              </m:r>
            </m:oMath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зі стану </w:t>
            </w:r>
            <m:oMath>
              <m:sSub>
                <m:sSub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</m:oMath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в стан </w:t>
            </w:r>
            <m:oMath>
              <m:sSub>
                <m:sSub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j</m:t>
                  </m:r>
                </m:sub>
              </m:sSub>
            </m:oMath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до довжини проміжку </w:t>
            </w:r>
            <m:oMath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Δt</m:t>
              </m:r>
            </m:oMath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: 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а) </w:t>
            </w:r>
            <m:oMath>
              <m:sSub>
                <m:sSub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Times New Roman"/>
                  <w:color w:val="000000" w:themeColor="text1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>→∞</m:t>
                  </m:r>
                </m:lim>
              </m:limLow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o</m:t>
              </m:r>
              <m:f>
                <m:f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</m:den>
              </m:f>
              <m:r>
                <w:rPr>
                  <w:rFonts w:ascii="Cambria Math" w:hAnsi="Times New Roman"/>
                  <w:color w:val="000000" w:themeColor="text1"/>
                  <w:sz w:val="20"/>
                  <w:szCs w:val="20"/>
                </w:rPr>
                <m:t>;</m:t>
              </m:r>
            </m:oMath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б)</w:t>
            </w:r>
            <m:oMath>
              <m:sSub>
                <m:sSub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Times New Roman"/>
                  <w:color w:val="000000" w:themeColor="text1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lim>
              </m:limLow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o</m:t>
              </m:r>
              <m:f>
                <m:f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>+1)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</m:den>
              </m:f>
            </m:oMath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в)</w:t>
            </w:r>
            <m:oMath>
              <m:sSub>
                <m:sSub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Times New Roman"/>
                  <w:color w:val="000000" w:themeColor="text1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>→∞</m:t>
                  </m:r>
                </m:lim>
              </m:limLow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o</m:t>
              </m:r>
              <m:f>
                <m:f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  <m:r>
                    <w:rPr>
                      <w:rFonts w:ascii="Times New Roman" w:hAnsi="Times New Roman"/>
                      <w:color w:val="000000" w:themeColor="text1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 xml:space="preserve">1) 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*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 xml:space="preserve"> 200</m:t>
                  </m:r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</m:den>
              </m:f>
            </m:oMath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г)</w:t>
            </w:r>
            <m:oMath>
              <m:sSub>
                <m:sSub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ij</m:t>
                  </m:r>
                </m:sub>
              </m:sSub>
              <m:r>
                <w:rPr>
                  <w:rFonts w:ascii="Cambria Math" w:hAnsi="Times New Roman"/>
                  <w:color w:val="000000" w:themeColor="text1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limLow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  <m:t>100</m:t>
                  </m:r>
                </m:lim>
              </m:limLow>
              <m:f>
                <m:fPr>
                  <m:ctrlPr>
                    <w:rPr>
                      <w:rFonts w:ascii="Cambria Math" w:hAnsi="Times New Roman"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Δt</m:t>
                  </m:r>
                </m:den>
              </m:f>
            </m:oMath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85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1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8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Марківський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ланцюг являє собою: 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а) Сукупність заяв місць для очікування перед </w:t>
            </w: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обсужувающім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приладом;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б) Процес переходу від операцій інтегрування та диференціювання до алгебраїчних операцій множення та ділення;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в) Сукупність взаємопов'язаних систем масового обслуговування, у 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lastRenderedPageBreak/>
              <w:t>середовищі якого циркулюють заяви;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  <w:tcBorders>
              <w:bottom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г) Випадковий процес, що протікає у системі, з дискретними станами та переходами зі стану в стан лише у заздалегідь визначені, фіксовані моменти часу;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1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9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Система з відмовами є окремим випадком: 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453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багатоканальної системи </w:t>
            </w: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Ерланга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з різними приладами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453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багатоканальної системи </w:t>
            </w: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Ерланга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з однаковими приладами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453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одноканальної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системи </w:t>
            </w: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Ерланга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з різними приладами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2"/>
              </w:numPr>
              <w:shd w:val="clear" w:color="auto" w:fill="FFFFFF" w:themeFill="background1"/>
              <w:spacing w:after="0" w:line="240" w:lineRule="auto"/>
              <w:ind w:left="453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одноканальної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системи </w:t>
            </w: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Ерланга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з однаковими приладами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85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2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Якщо в системі з відмовами вимога, яка надійшла до системи, застає всі прилади зайнятими, то: 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нічого не відбувається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вона обслуговується позачергово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вона отримує відмову і покидає систему без обслуговування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  <w:tcBorders>
              <w:bottom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вона стає в чергу і чекає обслуговування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2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Які з варіантів являють собою характеристики системи </w:t>
            </w: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Ерланга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середня кількість зайнятих приладів, ймовірність обслуговування вимоги, ймовірність повного завантаження системи, ймовірність зайнятості приладу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середній час тривалості обслуговування вимог, середній час простою приладу, середній час повного завантаження системи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середній час неповного завантаження системи, середній час простою системи, середній час перебування вимоги в системі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4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а, б, в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85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2</w:t>
            </w:r>
            <w:proofErr w:type="spell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proofErr w:type="spell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Пріоритети для систем з очікуванням і пріоритетним обслуговуванням розподіляються на пріоритети: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важливі і неважливі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чіткі і нечіткі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абсолютні та відносні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  <w:tcBorders>
              <w:bottom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додатні та від’ємні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2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Що передбачає абсолютний пріоритет: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нічого, такого пріоритету немає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вимога при надходженні отримує відмову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обслуга вимоги може почекати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18"/>
        </w:trPr>
        <w:tc>
          <w:tcPr>
            <w:tcW w:w="225" w:type="pct"/>
            <w:gridSpan w:val="2"/>
            <w:vMerge/>
            <w:tcBorders>
              <w:bottom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6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негайне обслуговування вимоги, при її надходженні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285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2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Для аналізу системи з очікуванням формується: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7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множина станів системи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7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граф станів і переходів системи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7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список станів та переходів системи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247D96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  <w:tcBorders>
              <w:bottom w:val="triple" w:sz="4" w:space="0" w:color="auto"/>
            </w:tcBorders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247D96" w:rsidRPr="000B34A6" w:rsidRDefault="00247D96" w:rsidP="000B34A6">
            <w:pPr>
              <w:pStyle w:val="a5"/>
              <w:numPr>
                <w:ilvl w:val="0"/>
                <w:numId w:val="7"/>
              </w:numPr>
              <w:shd w:val="clear" w:color="auto" w:fill="FFFFFF" w:themeFill="background1"/>
              <w:spacing w:after="0" w:line="240" w:lineRule="auto"/>
              <w:ind w:left="31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список переходів системи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47D96" w:rsidRPr="000B34A6" w:rsidRDefault="00247D96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9335D2" w:rsidRPr="000B34A6" w:rsidTr="000B34A6">
        <w:trPr>
          <w:gridBefore w:val="1"/>
          <w:gridAfter w:val="1"/>
          <w:wBefore w:w="74" w:type="pct"/>
          <w:wAfter w:w="28" w:type="pct"/>
          <w:trHeight w:val="285"/>
        </w:trPr>
        <w:tc>
          <w:tcPr>
            <w:tcW w:w="225" w:type="pct"/>
            <w:gridSpan w:val="2"/>
            <w:vMerge w:val="restart"/>
            <w:tcBorders>
              <w:top w:val="triple" w:sz="4" w:space="0" w:color="auto"/>
            </w:tcBorders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ind w:right="-109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>25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606" w:type="pct"/>
            <w:gridSpan w:val="2"/>
            <w:tcBorders>
              <w:top w:val="triple" w:sz="4" w:space="0" w:color="auto"/>
              <w:bottom w:val="single" w:sz="4" w:space="0" w:color="auto"/>
              <w:right w:val="single" w:sz="4" w:space="0" w:color="auto"/>
            </w:tcBorders>
          </w:tcPr>
          <w:p w:rsidR="009335D2" w:rsidRPr="000B34A6" w:rsidRDefault="009335D2" w:rsidP="000B34A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Теорія масового обслуговування як частина теорії ймовірностей почала свій розвиток від класичних задач такого направлення:</w:t>
            </w:r>
          </w:p>
        </w:tc>
        <w:tc>
          <w:tcPr>
            <w:tcW w:w="133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thinThickThinSmallGap" w:sz="24" w:space="0" w:color="auto"/>
            </w:tcBorders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4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</w:t>
            </w:r>
          </w:p>
        </w:tc>
        <w:tc>
          <w:tcPr>
            <w:tcW w:w="231" w:type="pct"/>
            <w:gridSpan w:val="3"/>
            <w:vMerge w:val="restart"/>
            <w:tcBorders>
              <w:top w:val="trip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г</w:t>
            </w:r>
          </w:p>
        </w:tc>
      </w:tr>
      <w:tr w:rsidR="009335D2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5D2" w:rsidRPr="000B34A6" w:rsidRDefault="009335D2" w:rsidP="000B34A6">
            <w:pPr>
              <w:pStyle w:val="a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Логістики маршрутів заданої мережі. 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9335D2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5D2" w:rsidRPr="000B34A6" w:rsidRDefault="009335D2" w:rsidP="000B34A6">
            <w:pPr>
              <w:pStyle w:val="a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Оптимізації процесів промисловості. 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9335D2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5D2" w:rsidRPr="000B34A6" w:rsidRDefault="009335D2" w:rsidP="000B34A6">
            <w:pPr>
              <w:pStyle w:val="a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Обслуговування абонентів телефонної станції. 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right w:val="thinThickThinSmallGap" w:sz="24" w:space="0" w:color="auto"/>
            </w:tcBorders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9335D2" w:rsidRPr="000B34A6" w:rsidTr="000B34A6">
        <w:trPr>
          <w:gridBefore w:val="1"/>
          <w:gridAfter w:val="1"/>
          <w:wBefore w:w="74" w:type="pct"/>
          <w:wAfter w:w="28" w:type="pct"/>
          <w:trHeight w:val="51"/>
        </w:trPr>
        <w:tc>
          <w:tcPr>
            <w:tcW w:w="225" w:type="pct"/>
            <w:gridSpan w:val="2"/>
            <w:vMerge/>
            <w:tcBorders>
              <w:bottom w:val="triple" w:sz="4" w:space="0" w:color="auto"/>
            </w:tcBorders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606" w:type="pct"/>
            <w:gridSpan w:val="2"/>
            <w:tcBorders>
              <w:top w:val="single" w:sz="4" w:space="0" w:color="auto"/>
              <w:bottom w:val="triple" w:sz="4" w:space="0" w:color="auto"/>
              <w:right w:val="single" w:sz="4" w:space="0" w:color="auto"/>
            </w:tcBorders>
          </w:tcPr>
          <w:p w:rsidR="009335D2" w:rsidRPr="000B34A6" w:rsidRDefault="009335D2" w:rsidP="000B34A6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  <w:lang w:val="ru-RU"/>
              </w:rPr>
              <w:t xml:space="preserve">г. </w:t>
            </w:r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Обслуговування клієнтів </w:t>
            </w:r>
            <w:proofErr w:type="gramStart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</w:t>
            </w:r>
            <w:proofErr w:type="gramEnd"/>
            <w:r w:rsidRPr="000B34A6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мережах швидкого харчування. </w:t>
            </w:r>
          </w:p>
        </w:tc>
        <w:tc>
          <w:tcPr>
            <w:tcW w:w="133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thinThickThinSmallGap" w:sz="24" w:space="0" w:color="auto"/>
            </w:tcBorders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thinThickThinSmallGap" w:sz="2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1" w:type="pct"/>
            <w:gridSpan w:val="3"/>
            <w:vMerge/>
            <w:tcBorders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35D2" w:rsidRPr="000B34A6" w:rsidRDefault="009335D2" w:rsidP="000B34A6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9335D2" w:rsidRPr="009335D2" w:rsidRDefault="009335D2" w:rsidP="000B34A6">
      <w:pPr>
        <w:spacing w:after="0"/>
        <w:rPr>
          <w:sz w:val="20"/>
          <w:szCs w:val="20"/>
        </w:rPr>
      </w:pPr>
    </w:p>
    <w:sectPr w:rsidR="009335D2" w:rsidRPr="009335D2" w:rsidSect="00733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516C"/>
    <w:multiLevelType w:val="hybridMultilevel"/>
    <w:tmpl w:val="E3EC9522"/>
    <w:lvl w:ilvl="0" w:tplc="D856E8F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D5E49"/>
    <w:multiLevelType w:val="hybridMultilevel"/>
    <w:tmpl w:val="67B02952"/>
    <w:lvl w:ilvl="0" w:tplc="C338DA6C">
      <w:start w:val="1"/>
      <w:numFmt w:val="russianLow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F26BE"/>
    <w:multiLevelType w:val="hybridMultilevel"/>
    <w:tmpl w:val="235A9ECE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7C301C5"/>
    <w:multiLevelType w:val="hybridMultilevel"/>
    <w:tmpl w:val="17EE8888"/>
    <w:lvl w:ilvl="0" w:tplc="C338DA6C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3DB50CB3"/>
    <w:multiLevelType w:val="hybridMultilevel"/>
    <w:tmpl w:val="BF5E1494"/>
    <w:lvl w:ilvl="0" w:tplc="C338DA6C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5F3B37F1"/>
    <w:multiLevelType w:val="hybridMultilevel"/>
    <w:tmpl w:val="9E70BC02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051E69"/>
    <w:multiLevelType w:val="hybridMultilevel"/>
    <w:tmpl w:val="BF1E9CD6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F46C12"/>
    <w:multiLevelType w:val="hybridMultilevel"/>
    <w:tmpl w:val="8BB2CA7E"/>
    <w:lvl w:ilvl="0" w:tplc="C338DA6C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2387"/>
    <w:rsid w:val="000B34A6"/>
    <w:rsid w:val="001C26B7"/>
    <w:rsid w:val="00247D96"/>
    <w:rsid w:val="00426D15"/>
    <w:rsid w:val="00582387"/>
    <w:rsid w:val="006C09D8"/>
    <w:rsid w:val="00733502"/>
    <w:rsid w:val="00794C8B"/>
    <w:rsid w:val="009335D2"/>
    <w:rsid w:val="00FF5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387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2387"/>
    <w:rPr>
      <w:color w:val="0000FF"/>
      <w:u w:val="single"/>
    </w:rPr>
  </w:style>
  <w:style w:type="table" w:styleId="a4">
    <w:name w:val="Table Grid"/>
    <w:basedOn w:val="a1"/>
    <w:uiPriority w:val="39"/>
    <w:rsid w:val="005823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47D9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47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47D96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97%D0%B5%D0%BC%D0%BB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obaybuz</dc:creator>
  <cp:keywords/>
  <dc:description/>
  <cp:lastModifiedBy>obaybuz</cp:lastModifiedBy>
  <cp:revision>3</cp:revision>
  <cp:lastPrinted>2018-06-14T06:38:00Z</cp:lastPrinted>
  <dcterms:created xsi:type="dcterms:W3CDTF">2018-06-14T06:24:00Z</dcterms:created>
  <dcterms:modified xsi:type="dcterms:W3CDTF">2018-06-14T06:39:00Z</dcterms:modified>
</cp:coreProperties>
</file>