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none"/>
          <w:lang w:val="en-US" w:eastAsia="zh-CN"/>
        </w:rPr>
        <w:t>往届学生小组合作学习参考主题</w:t>
      </w:r>
    </w:p>
    <w:p>
      <w:pPr>
        <w:spacing w:line="360" w:lineRule="auto"/>
        <w:ind w:firstLine="482" w:firstLineChars="20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往届学生小组合作学习展示主题：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《青年毛泽东》、《霹雳一声暴动》、《列强借款助清、孙文奋起反抗》、《洪仁玕小科普》、《蔡锷》、《女杰秋瑾》、《秋瑾》（广播剧）、《长征书简》、《当蝴蝶翅膀扇动时（抗日）》、《鲁迅》、《莫忘民族血与泪，化剑为犁辩风生》、《马关条约的签订》、《国共合作抗日之人民的心声》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>文夕大火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、《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>呐喊之前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、《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>山河已无恙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>（沙画视频）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、《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>三校迁移之梁思成盖茅草房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</w:rPr>
        <w:t>钱学森回国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eastAsia="zh-CN"/>
        </w:rPr>
        <w:t>》、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《改革春风满地，扶摇直上万里》、《黎明之影》 、《重庆谈判》 、《一九一九》、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《黎明之上》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、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《秋瑾》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、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《爱新觉罗溥仪》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、《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湘雅西迁》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、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《百年情书》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、《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竞雄女侠 致敬秋瑾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》、《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五四！五四！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》、《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重庆谈判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》、《智守长沙》、《赵一曼女士》、《义和团运动——道》、《五四星火》、《血色还是希望——刘和珍与杨荫榆》、《念》、《恢复高考》、《抗日英雄刘耀梅》、《老李与我》、《抗日神剧反思》、《张家四姐妹》、《重庆谈判》、《归国之艰》、《行走长沙——湘雅医学院建校与近代长沙西医的发展》、《斗士闻一多》、《与妻书》、《红小鬼》、《西安事变》、《绝地求生之重庆谈判》、《五四风云》、《总理》、《新青年》、《鉴湖女侠 秋瑾》、《临大迁滇》、《彩虹前的暴风雨》、《纪念刘和珍君》、《常德会战》、《我们的1919》、《复生》、《东京审判》、《黄花岗起义》、《走近黄兴》、《长沙老街探寻》、《双面李鸿章》、《二十一条》、《长沙会战》、《长沙临时大学》、《西南联大》、《慈禧》、《张学良》、《常德细菌战》、《那六年》、《恰同学少年》、《风华正茂》、《地图名人》、《岳麓山与湖南抗战》、《紧系革命的爱情》、《西安事变》、《岳麓山上的辛亥革命》、《消失的公馆群》、《浮生》、《抗战时期的食品》、《谭嗣同》、《末代皇帝》、《南京大屠杀》、《湖南图书馆建立的历史机缘》、《天心阁》、《黄兴》、《林徽因与中国近代建筑史》、《由南京总统府看中国近代史》、《世纪沧桑下的同文》等等。</w:t>
      </w:r>
    </w:p>
    <w:p>
      <w:pPr>
        <w:spacing w:line="360" w:lineRule="auto"/>
        <w:ind w:firstLine="482" w:firstLine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往届学生实践教学研究性学习成果报告题目：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《论民族意识对国家兴衰和民族兴亡的重大影响》、《风华正茂，挥斥方遒——新民学会》、《“烈火焚城惊寰宇”——探秘“文夕大火”》、《五四运动——少年须自强，莫安于现状》、《恰同学少年——红色起源》、《风华正茂不枉年少——探秘青年毛泽东的成长》、《如何不遗忘南京大屠杀》、《当代大学生对长征精神的认识、继承与弘扬》、《黄土有幸埋忠骨，烈血铸就秀山河》、《在轰开中国的大门前，我们在想什么？》、《辛亥革命在长沙》、《拒签二十一条》、《长沙：青年毛泽东思想的成长地》、《智守长沙——长沙保卫战》、《&lt;换了人间&gt;微电影社会实践》、《曾国藩的功与过》、《洋务运动对近代中国的影响》、《从戊戌变法看谭嗣同》、《岳麓山与近现代史》、《反思抗日神剧》、《从长沙临时大学看抗战时期的中国高等教育发展》、《鲁迅弃医从文的历史意义研究》、《留法勤工俭学运动刍议》、《城殇—长沙文夕大火》、《国民革命时期的湖南农民运动——略解&lt;湖南农民运动考察报告&gt;》、《圆明园是否应该重建辩论赛报告》、《溥仪一生与同时期中国发展的联系》、《张学良与中国近代历史发展的关联》、《长沙会战研究报告》、《一代枭雄——杜月笙》、《立志出乡关，学不成名不复还》、《抗战胜利的原因及意义》、《恢复高考政策对中国发展的意义和影响》、《重走长征路》、《辛亥革命——一场前所未有的革命》、《护国运动——反对封建复辟的高潮》、《岳麓群英记实》、《从袁世凯退位看民主共和深入人心》、《走近蔡锷——关于蔡锷的学习研究》、《新文化运动中的青年精神》、《恰同学少年》、《长沙会战旧址考察》、《传承五四精神》、《国旗国歌的诞生》、等等。</w:t>
      </w:r>
    </w:p>
    <w:p>
      <w:pPr>
        <w:spacing w:line="360" w:lineRule="auto"/>
        <w:ind w:firstLine="482" w:firstLineChars="200"/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sz w:val="32"/>
          <w:szCs w:val="32"/>
          <w:highlight w:val="none"/>
          <w:shd w:val="clear" w:fill="FCFCFC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注：◆因为从2019年开始本课程才统一要求同学们提交学习成果报告，所以提供给大家的选题包括小组展示和学习成果报告两部分。</w:t>
      </w: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4"/>
          <w:szCs w:val="24"/>
          <w:highlight w:val="none"/>
          <w:shd w:val="clear" w:fill="FCFCFC"/>
          <w:lang w:val="en-US" w:eastAsia="zh-CN"/>
        </w:rPr>
        <w:t>同学们的小组展示和实践教学研究性学习成果报告选题须保持一致。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CFCFC"/>
          <w:lang w:val="en-US" w:eastAsia="zh-CN"/>
        </w:rPr>
        <w:t>◆以上选题仅供参考。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03F3"/>
    <w:rsid w:val="084156C3"/>
    <w:rsid w:val="19A25E63"/>
    <w:rsid w:val="2D9F6868"/>
    <w:rsid w:val="679D19C7"/>
    <w:rsid w:val="73442F1F"/>
    <w:rsid w:val="788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mlfen</cp:lastModifiedBy>
  <dcterms:modified xsi:type="dcterms:W3CDTF">2020-09-20T03:36:03Z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