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BEC19" w14:textId="2C9CC42B" w:rsidR="000C102F" w:rsidRPr="00471EEE" w:rsidRDefault="00B54C98" w:rsidP="000C102F">
      <w:pPr>
        <w:jc w:val="center"/>
        <w:rPr>
          <w:sz w:val="22"/>
          <w:szCs w:val="20"/>
        </w:rPr>
      </w:pPr>
      <w:r w:rsidRPr="00471EEE">
        <w:rPr>
          <w:sz w:val="22"/>
          <w:szCs w:val="20"/>
        </w:rPr>
        <w:t>ASSESSING THE SIMULTANEOUS INTERACTIONS BETWEEN VIX AND S&amp;P</w:t>
      </w:r>
      <w:r w:rsidR="00B02BD1" w:rsidRPr="00471EEE">
        <w:rPr>
          <w:sz w:val="22"/>
          <w:szCs w:val="20"/>
        </w:rPr>
        <w:t>500</w:t>
      </w:r>
      <w:r w:rsidRPr="00471EEE">
        <w:rPr>
          <w:sz w:val="22"/>
          <w:szCs w:val="20"/>
        </w:rPr>
        <w:t xml:space="preserve"> RETURNS: A Case of COVID-19 and Russia-Ukraine Conflict</w:t>
      </w:r>
    </w:p>
    <w:p w14:paraId="03AC4D48" w14:textId="50DE5C38" w:rsidR="000C102F" w:rsidRPr="00471EEE" w:rsidRDefault="000C102F" w:rsidP="000C102F">
      <w:pPr>
        <w:jc w:val="center"/>
        <w:rPr>
          <w:sz w:val="22"/>
          <w:szCs w:val="20"/>
        </w:rPr>
      </w:pPr>
      <w:r w:rsidRPr="00471EEE">
        <w:rPr>
          <w:sz w:val="22"/>
          <w:szCs w:val="20"/>
        </w:rPr>
        <w:t>Swithun Michaelangelo C</w:t>
      </w:r>
      <w:r w:rsidR="004F13C5" w:rsidRPr="00471EEE">
        <w:rPr>
          <w:sz w:val="22"/>
          <w:szCs w:val="20"/>
        </w:rPr>
        <w:t>hiziko</w:t>
      </w:r>
    </w:p>
    <w:p w14:paraId="79BEB220" w14:textId="77777777" w:rsidR="000C102F" w:rsidRPr="00471EEE" w:rsidRDefault="000C102F" w:rsidP="000C102F">
      <w:pPr>
        <w:jc w:val="center"/>
        <w:rPr>
          <w:sz w:val="22"/>
          <w:szCs w:val="20"/>
        </w:rPr>
      </w:pPr>
      <w:r w:rsidRPr="00471EEE">
        <w:rPr>
          <w:sz w:val="22"/>
          <w:szCs w:val="20"/>
        </w:rPr>
        <w:t xml:space="preserve">Submitted in partial fulfilment of the requirements for the degree of Masters of Applied Economics School of Accounting, Economics and Finance Curtin University </w:t>
      </w:r>
    </w:p>
    <w:p w14:paraId="2FA1801F" w14:textId="508A3E5C" w:rsidR="000C102F" w:rsidRPr="00471EEE" w:rsidRDefault="000C102F" w:rsidP="000C102F">
      <w:pPr>
        <w:jc w:val="center"/>
        <w:rPr>
          <w:sz w:val="22"/>
          <w:szCs w:val="20"/>
        </w:rPr>
      </w:pPr>
      <w:r w:rsidRPr="00471EEE">
        <w:rPr>
          <w:sz w:val="22"/>
          <w:szCs w:val="20"/>
        </w:rPr>
        <w:t>June 2020</w:t>
      </w:r>
    </w:p>
    <w:p w14:paraId="27D5F9AD" w14:textId="499BBC3A" w:rsidR="000C102F" w:rsidRPr="00471EEE" w:rsidRDefault="003B57EF" w:rsidP="003B57EF">
      <w:pPr>
        <w:ind w:firstLine="0"/>
        <w:rPr>
          <w:sz w:val="22"/>
          <w:szCs w:val="20"/>
        </w:rPr>
      </w:pPr>
      <w:r>
        <w:rPr>
          <w:sz w:val="22"/>
          <w:szCs w:val="20"/>
        </w:rPr>
        <w:t xml:space="preserve">Presentation Link: </w:t>
      </w:r>
      <w:r w:rsidRPr="003B57EF">
        <w:rPr>
          <w:sz w:val="22"/>
          <w:szCs w:val="20"/>
        </w:rPr>
        <w:t>https://drive.google.com/drive/folders/1p5OTcFciNpM84O_Wq368eTPkDEkGFqiS?usp=sharing</w:t>
      </w:r>
    </w:p>
    <w:p w14:paraId="3BDC15A2" w14:textId="77777777" w:rsidR="000C102F" w:rsidRPr="00471EEE" w:rsidRDefault="000C102F" w:rsidP="00EA1071">
      <w:pPr>
        <w:rPr>
          <w:sz w:val="22"/>
          <w:szCs w:val="20"/>
        </w:rPr>
      </w:pPr>
    </w:p>
    <w:p w14:paraId="20DF72E8" w14:textId="77777777" w:rsidR="000C102F" w:rsidRPr="00471EEE" w:rsidRDefault="000C102F" w:rsidP="00EA1071">
      <w:pPr>
        <w:rPr>
          <w:sz w:val="22"/>
          <w:szCs w:val="20"/>
        </w:rPr>
      </w:pPr>
    </w:p>
    <w:p w14:paraId="5D394F4D" w14:textId="77777777" w:rsidR="000C102F" w:rsidRPr="00471EEE" w:rsidRDefault="000C102F" w:rsidP="00EA1071">
      <w:pPr>
        <w:rPr>
          <w:sz w:val="22"/>
          <w:szCs w:val="20"/>
        </w:rPr>
      </w:pPr>
    </w:p>
    <w:p w14:paraId="04FD7060" w14:textId="77777777" w:rsidR="000C102F" w:rsidRPr="00471EEE" w:rsidRDefault="000C102F" w:rsidP="00EA1071">
      <w:pPr>
        <w:rPr>
          <w:sz w:val="22"/>
          <w:szCs w:val="20"/>
        </w:rPr>
      </w:pPr>
    </w:p>
    <w:p w14:paraId="0FB43E71" w14:textId="77777777" w:rsidR="000C102F" w:rsidRPr="00471EEE" w:rsidRDefault="000C102F" w:rsidP="00EA1071">
      <w:pPr>
        <w:rPr>
          <w:sz w:val="22"/>
          <w:szCs w:val="20"/>
        </w:rPr>
      </w:pPr>
    </w:p>
    <w:p w14:paraId="018C681E" w14:textId="77777777" w:rsidR="000C102F" w:rsidRPr="00471EEE" w:rsidRDefault="000C102F" w:rsidP="00EA1071">
      <w:pPr>
        <w:rPr>
          <w:sz w:val="22"/>
          <w:szCs w:val="20"/>
        </w:rPr>
      </w:pPr>
    </w:p>
    <w:p w14:paraId="76617FD2" w14:textId="77777777" w:rsidR="000C102F" w:rsidRPr="00471EEE" w:rsidRDefault="000C102F" w:rsidP="00EA1071">
      <w:pPr>
        <w:rPr>
          <w:sz w:val="22"/>
          <w:szCs w:val="20"/>
        </w:rPr>
      </w:pPr>
    </w:p>
    <w:p w14:paraId="40B08F34" w14:textId="77777777" w:rsidR="000C102F" w:rsidRPr="00471EEE" w:rsidRDefault="000C102F" w:rsidP="00EA1071">
      <w:pPr>
        <w:rPr>
          <w:sz w:val="22"/>
          <w:szCs w:val="20"/>
        </w:rPr>
      </w:pPr>
    </w:p>
    <w:p w14:paraId="557626A6" w14:textId="77777777" w:rsidR="000C102F" w:rsidRPr="00471EEE" w:rsidRDefault="000C102F" w:rsidP="00EA1071">
      <w:pPr>
        <w:rPr>
          <w:sz w:val="22"/>
          <w:szCs w:val="20"/>
        </w:rPr>
      </w:pPr>
    </w:p>
    <w:p w14:paraId="42E0BAD3" w14:textId="77777777" w:rsidR="000C102F" w:rsidRPr="00471EEE" w:rsidRDefault="000C102F" w:rsidP="00EA1071">
      <w:pPr>
        <w:rPr>
          <w:sz w:val="22"/>
          <w:szCs w:val="20"/>
        </w:rPr>
      </w:pPr>
    </w:p>
    <w:p w14:paraId="450F3EA1" w14:textId="77777777" w:rsidR="000C102F" w:rsidRPr="00471EEE" w:rsidRDefault="000C102F" w:rsidP="00EA1071">
      <w:pPr>
        <w:rPr>
          <w:sz w:val="22"/>
          <w:szCs w:val="20"/>
        </w:rPr>
      </w:pPr>
    </w:p>
    <w:p w14:paraId="2E2BA1AB" w14:textId="77777777" w:rsidR="000C102F" w:rsidRPr="00471EEE" w:rsidRDefault="000C102F" w:rsidP="00EA1071">
      <w:pPr>
        <w:rPr>
          <w:sz w:val="22"/>
          <w:szCs w:val="20"/>
        </w:rPr>
      </w:pPr>
    </w:p>
    <w:p w14:paraId="3E60852B" w14:textId="77777777" w:rsidR="000C102F" w:rsidRPr="00471EEE" w:rsidRDefault="000C102F" w:rsidP="00EA1071">
      <w:pPr>
        <w:rPr>
          <w:sz w:val="22"/>
          <w:szCs w:val="20"/>
        </w:rPr>
      </w:pPr>
    </w:p>
    <w:p w14:paraId="42FD4668" w14:textId="77777777" w:rsidR="000C102F" w:rsidRPr="00471EEE" w:rsidRDefault="000C102F" w:rsidP="00EA1071">
      <w:pPr>
        <w:rPr>
          <w:sz w:val="22"/>
          <w:szCs w:val="20"/>
        </w:rPr>
      </w:pPr>
    </w:p>
    <w:p w14:paraId="7974D159" w14:textId="77777777" w:rsidR="000C102F" w:rsidRPr="00471EEE" w:rsidRDefault="000C102F" w:rsidP="00EA1071">
      <w:pPr>
        <w:rPr>
          <w:sz w:val="22"/>
          <w:szCs w:val="20"/>
        </w:rPr>
      </w:pPr>
    </w:p>
    <w:p w14:paraId="66703108" w14:textId="216CEF43" w:rsidR="000C102F" w:rsidRDefault="000C102F" w:rsidP="00EA1071">
      <w:pPr>
        <w:rPr>
          <w:sz w:val="22"/>
          <w:szCs w:val="20"/>
        </w:rPr>
      </w:pPr>
    </w:p>
    <w:p w14:paraId="46B2FA2A" w14:textId="77777777" w:rsidR="00471EEE" w:rsidRPr="00471EEE" w:rsidRDefault="00471EEE" w:rsidP="008114A4">
      <w:pPr>
        <w:ind w:firstLine="0"/>
        <w:rPr>
          <w:sz w:val="22"/>
          <w:szCs w:val="20"/>
        </w:rPr>
      </w:pPr>
    </w:p>
    <w:p w14:paraId="438F99D5" w14:textId="77777777" w:rsidR="000C102F" w:rsidRPr="00471EEE" w:rsidRDefault="000C102F" w:rsidP="000C102F">
      <w:pPr>
        <w:ind w:firstLine="0"/>
        <w:rPr>
          <w:sz w:val="22"/>
          <w:szCs w:val="20"/>
        </w:rPr>
      </w:pPr>
    </w:p>
    <w:p w14:paraId="3924E7F1" w14:textId="31A289DC" w:rsidR="000C102F" w:rsidRPr="00471EEE" w:rsidRDefault="00EA1071" w:rsidP="00EA1071">
      <w:pPr>
        <w:rPr>
          <w:sz w:val="22"/>
          <w:szCs w:val="20"/>
        </w:rPr>
      </w:pPr>
      <w:r w:rsidRPr="00471EEE">
        <w:rPr>
          <w:sz w:val="22"/>
          <w:szCs w:val="20"/>
        </w:rPr>
        <w:lastRenderedPageBreak/>
        <w:t xml:space="preserve">To the best of my knowledge and belief this report contains no material previously published by any other person except where due acknowledgment has been made. This report contains no material which has been accepted for the award of any other degree or diploma in any university. </w:t>
      </w:r>
    </w:p>
    <w:p w14:paraId="07851091" w14:textId="2D97D71B" w:rsidR="00F6192D" w:rsidRPr="00471EEE" w:rsidRDefault="00EA1071" w:rsidP="002B7574">
      <w:pPr>
        <w:ind w:firstLine="0"/>
        <w:rPr>
          <w:sz w:val="22"/>
          <w:szCs w:val="20"/>
        </w:rPr>
      </w:pPr>
      <w:r w:rsidRPr="00471EEE">
        <w:rPr>
          <w:sz w:val="22"/>
          <w:szCs w:val="20"/>
        </w:rPr>
        <w:t>Signature: ……Swithun Michaelangelo Chiziko…… Date: ………21/06/2022……….….</w:t>
      </w:r>
    </w:p>
    <w:p w14:paraId="3523E021" w14:textId="3C5A2A1B" w:rsidR="002B7574" w:rsidRPr="00471EEE" w:rsidRDefault="002B7574" w:rsidP="002B7574">
      <w:pPr>
        <w:ind w:firstLine="0"/>
        <w:rPr>
          <w:sz w:val="22"/>
          <w:szCs w:val="20"/>
        </w:rPr>
      </w:pPr>
    </w:p>
    <w:p w14:paraId="6A0E18A9" w14:textId="39D4F6D8" w:rsidR="002B7574" w:rsidRPr="00471EEE" w:rsidRDefault="002B7574" w:rsidP="002B7574">
      <w:pPr>
        <w:ind w:firstLine="0"/>
        <w:rPr>
          <w:sz w:val="22"/>
          <w:szCs w:val="20"/>
        </w:rPr>
      </w:pPr>
    </w:p>
    <w:p w14:paraId="3A0E8214" w14:textId="59A1094A" w:rsidR="002B7574" w:rsidRPr="00471EEE" w:rsidRDefault="002B7574" w:rsidP="002B7574">
      <w:pPr>
        <w:ind w:firstLine="0"/>
        <w:rPr>
          <w:sz w:val="22"/>
          <w:szCs w:val="20"/>
        </w:rPr>
      </w:pPr>
    </w:p>
    <w:p w14:paraId="11EE356D" w14:textId="7A844C65" w:rsidR="002B7574" w:rsidRPr="00471EEE" w:rsidRDefault="002B7574" w:rsidP="002B7574">
      <w:pPr>
        <w:ind w:firstLine="0"/>
        <w:rPr>
          <w:sz w:val="22"/>
          <w:szCs w:val="20"/>
        </w:rPr>
      </w:pPr>
    </w:p>
    <w:p w14:paraId="4073A891" w14:textId="30168F7B" w:rsidR="002B7574" w:rsidRPr="00471EEE" w:rsidRDefault="002B7574" w:rsidP="002B7574">
      <w:pPr>
        <w:ind w:firstLine="0"/>
        <w:rPr>
          <w:sz w:val="22"/>
          <w:szCs w:val="20"/>
        </w:rPr>
      </w:pPr>
    </w:p>
    <w:p w14:paraId="6C8B1C20" w14:textId="2FC2EB8A" w:rsidR="002B7574" w:rsidRPr="00471EEE" w:rsidRDefault="002B7574" w:rsidP="002B7574">
      <w:pPr>
        <w:ind w:firstLine="0"/>
        <w:rPr>
          <w:sz w:val="22"/>
          <w:szCs w:val="20"/>
        </w:rPr>
      </w:pPr>
    </w:p>
    <w:p w14:paraId="63D2E6F8" w14:textId="2CF3B021" w:rsidR="002B7574" w:rsidRPr="00471EEE" w:rsidRDefault="002B7574" w:rsidP="002B7574">
      <w:pPr>
        <w:ind w:firstLine="0"/>
        <w:rPr>
          <w:sz w:val="22"/>
          <w:szCs w:val="20"/>
        </w:rPr>
      </w:pPr>
    </w:p>
    <w:p w14:paraId="1BB8BB61" w14:textId="18F94677" w:rsidR="002B7574" w:rsidRPr="00471EEE" w:rsidRDefault="002B7574" w:rsidP="002B7574">
      <w:pPr>
        <w:ind w:firstLine="0"/>
        <w:rPr>
          <w:sz w:val="22"/>
          <w:szCs w:val="20"/>
        </w:rPr>
      </w:pPr>
    </w:p>
    <w:p w14:paraId="2E110EFC" w14:textId="5F78A586" w:rsidR="002B7574" w:rsidRPr="00471EEE" w:rsidRDefault="002B7574" w:rsidP="002B7574">
      <w:pPr>
        <w:ind w:firstLine="0"/>
        <w:rPr>
          <w:sz w:val="22"/>
          <w:szCs w:val="20"/>
        </w:rPr>
      </w:pPr>
    </w:p>
    <w:p w14:paraId="3272E690" w14:textId="7D03F6D4" w:rsidR="002B7574" w:rsidRPr="00471EEE" w:rsidRDefault="002B7574" w:rsidP="002B7574">
      <w:pPr>
        <w:ind w:firstLine="0"/>
        <w:rPr>
          <w:sz w:val="22"/>
          <w:szCs w:val="20"/>
        </w:rPr>
      </w:pPr>
    </w:p>
    <w:p w14:paraId="1C211F06" w14:textId="3DAFF455" w:rsidR="002B7574" w:rsidRPr="00471EEE" w:rsidRDefault="002B7574" w:rsidP="002B7574">
      <w:pPr>
        <w:ind w:firstLine="0"/>
        <w:rPr>
          <w:sz w:val="22"/>
          <w:szCs w:val="20"/>
        </w:rPr>
      </w:pPr>
    </w:p>
    <w:p w14:paraId="223D41D7" w14:textId="23138A3B" w:rsidR="002B7574" w:rsidRPr="00471EEE" w:rsidRDefault="002B7574" w:rsidP="002B7574">
      <w:pPr>
        <w:ind w:firstLine="0"/>
        <w:rPr>
          <w:sz w:val="22"/>
          <w:szCs w:val="20"/>
        </w:rPr>
      </w:pPr>
    </w:p>
    <w:p w14:paraId="3FAACAF5" w14:textId="1638E476" w:rsidR="002B7574" w:rsidRPr="00471EEE" w:rsidRDefault="002B7574" w:rsidP="002B7574">
      <w:pPr>
        <w:ind w:firstLine="0"/>
        <w:rPr>
          <w:sz w:val="22"/>
          <w:szCs w:val="20"/>
        </w:rPr>
      </w:pPr>
    </w:p>
    <w:p w14:paraId="1FA132F9" w14:textId="062D4577" w:rsidR="002B7574" w:rsidRPr="00471EEE" w:rsidRDefault="002B7574" w:rsidP="002B7574">
      <w:pPr>
        <w:ind w:firstLine="0"/>
        <w:rPr>
          <w:sz w:val="22"/>
          <w:szCs w:val="20"/>
        </w:rPr>
      </w:pPr>
    </w:p>
    <w:p w14:paraId="11CE92E4" w14:textId="3CE5F232" w:rsidR="002B7574" w:rsidRPr="00471EEE" w:rsidRDefault="002B7574" w:rsidP="002B7574">
      <w:pPr>
        <w:ind w:firstLine="0"/>
        <w:rPr>
          <w:sz w:val="22"/>
          <w:szCs w:val="20"/>
        </w:rPr>
      </w:pPr>
    </w:p>
    <w:p w14:paraId="3500B4C4" w14:textId="07087C0A" w:rsidR="002B7574" w:rsidRPr="00471EEE" w:rsidRDefault="002B7574" w:rsidP="002B7574">
      <w:pPr>
        <w:pStyle w:val="Heading1"/>
        <w:ind w:firstLine="0"/>
        <w:rPr>
          <w:rFonts w:eastAsia="Times New Roman"/>
          <w:sz w:val="36"/>
          <w:szCs w:val="28"/>
          <w:lang w:eastAsia="en-AU"/>
        </w:rPr>
      </w:pPr>
    </w:p>
    <w:p w14:paraId="6B8B3EBB" w14:textId="57F2877D" w:rsidR="00646E8E" w:rsidRPr="00471EEE" w:rsidRDefault="00646E8E" w:rsidP="00646E8E">
      <w:pPr>
        <w:rPr>
          <w:sz w:val="22"/>
          <w:szCs w:val="20"/>
          <w:lang w:eastAsia="en-AU"/>
        </w:rPr>
      </w:pPr>
    </w:p>
    <w:p w14:paraId="0E44B47C" w14:textId="5B33F838" w:rsidR="00646E8E" w:rsidRDefault="00646E8E" w:rsidP="00646E8E">
      <w:pPr>
        <w:rPr>
          <w:sz w:val="22"/>
          <w:szCs w:val="20"/>
          <w:lang w:eastAsia="en-AU"/>
        </w:rPr>
      </w:pPr>
    </w:p>
    <w:p w14:paraId="73C669D0" w14:textId="1DD638DD" w:rsidR="00471EEE" w:rsidRDefault="00471EEE" w:rsidP="00646E8E">
      <w:pPr>
        <w:rPr>
          <w:sz w:val="22"/>
          <w:szCs w:val="20"/>
          <w:lang w:eastAsia="en-AU"/>
        </w:rPr>
      </w:pPr>
    </w:p>
    <w:p w14:paraId="3E504A21" w14:textId="77777777" w:rsidR="00471EEE" w:rsidRPr="00471EEE" w:rsidRDefault="00471EEE" w:rsidP="00646E8E">
      <w:pPr>
        <w:rPr>
          <w:sz w:val="22"/>
          <w:szCs w:val="20"/>
          <w:lang w:eastAsia="en-AU"/>
        </w:rPr>
      </w:pPr>
    </w:p>
    <w:p w14:paraId="48B7E0A3" w14:textId="76BF89C6" w:rsidR="008E2469" w:rsidRPr="00471EEE" w:rsidRDefault="008E2469" w:rsidP="002B7574">
      <w:pPr>
        <w:pStyle w:val="Heading1"/>
        <w:ind w:firstLine="0"/>
        <w:jc w:val="center"/>
        <w:rPr>
          <w:sz w:val="36"/>
          <w:szCs w:val="28"/>
        </w:rPr>
      </w:pPr>
      <w:bookmarkStart w:id="0" w:name="_Toc106747474"/>
      <w:r w:rsidRPr="00471EEE">
        <w:rPr>
          <w:sz w:val="36"/>
          <w:szCs w:val="28"/>
        </w:rPr>
        <w:lastRenderedPageBreak/>
        <w:t>ABSTRACT</w:t>
      </w:r>
      <w:bookmarkEnd w:id="0"/>
    </w:p>
    <w:p w14:paraId="5131AF25" w14:textId="64D22AE3" w:rsidR="008E2469" w:rsidRPr="00471EEE" w:rsidRDefault="008E2469" w:rsidP="008E2469">
      <w:pPr>
        <w:rPr>
          <w:sz w:val="22"/>
          <w:szCs w:val="20"/>
        </w:rPr>
      </w:pPr>
      <w:r w:rsidRPr="00471EEE">
        <w:rPr>
          <w:sz w:val="22"/>
          <w:szCs w:val="20"/>
        </w:rPr>
        <w:t xml:space="preserve">The </w:t>
      </w:r>
      <w:r w:rsidR="002B7574" w:rsidRPr="00471EEE">
        <w:rPr>
          <w:sz w:val="22"/>
          <w:szCs w:val="20"/>
        </w:rPr>
        <w:t>aim</w:t>
      </w:r>
      <w:r w:rsidRPr="00471EEE">
        <w:rPr>
          <w:sz w:val="22"/>
          <w:szCs w:val="20"/>
        </w:rPr>
        <w:t xml:space="preserve"> of this paper is to assess the simultaneous reaction to the S&amp;P500 returns and the VIX index to sentiment index proxies and to each other. Using the LASSO we determine that the S&amp;P500 daily returns, market turnover, average daily trade volume, share of equity issuances, number of ipos and the covid lockdown dummy variable were significant in the model predicting randomised out-of-sample data with an MSE of 29.04605. The VAR yields insignificant results to determine the impact response functions of VIX a shock from the significant variables. We find a hedging opportunity present between VIX futures and the S&amp;P500 due to the confirmed negative correlation between their conditional variances that average at about -0.8 through the timeline between March 2020 and March 2022.</w:t>
      </w:r>
    </w:p>
    <w:p w14:paraId="4564D7CE" w14:textId="77777777" w:rsidR="008E2469" w:rsidRPr="00471EEE" w:rsidRDefault="008E2469" w:rsidP="006F19EA">
      <w:pPr>
        <w:pStyle w:val="Heading1"/>
        <w:rPr>
          <w:rFonts w:eastAsia="Times New Roman"/>
          <w:b/>
          <w:bCs/>
          <w:sz w:val="36"/>
          <w:szCs w:val="28"/>
          <w:lang w:eastAsia="en-AU"/>
        </w:rPr>
      </w:pPr>
    </w:p>
    <w:p w14:paraId="6C43214A" w14:textId="6660FEE1" w:rsidR="00F6192D" w:rsidRPr="00471EEE" w:rsidRDefault="00F6192D" w:rsidP="006F19EA">
      <w:pPr>
        <w:rPr>
          <w:sz w:val="22"/>
          <w:szCs w:val="20"/>
          <w:lang w:eastAsia="en-AU"/>
        </w:rPr>
      </w:pPr>
    </w:p>
    <w:p w14:paraId="321EE644" w14:textId="66748116" w:rsidR="00F6192D" w:rsidRPr="00471EEE" w:rsidRDefault="00F6192D" w:rsidP="006F19EA">
      <w:pPr>
        <w:rPr>
          <w:sz w:val="22"/>
          <w:szCs w:val="20"/>
          <w:lang w:eastAsia="en-AU"/>
        </w:rPr>
      </w:pPr>
    </w:p>
    <w:p w14:paraId="1E8926A6" w14:textId="0E9C793C" w:rsidR="00F6192D" w:rsidRPr="00471EEE" w:rsidRDefault="00F6192D" w:rsidP="006F19EA">
      <w:pPr>
        <w:rPr>
          <w:sz w:val="22"/>
          <w:szCs w:val="20"/>
          <w:lang w:eastAsia="en-AU"/>
        </w:rPr>
      </w:pPr>
    </w:p>
    <w:p w14:paraId="23E3BEDA" w14:textId="731D72AE" w:rsidR="00F6192D" w:rsidRPr="00471EEE" w:rsidRDefault="00F6192D" w:rsidP="006F19EA">
      <w:pPr>
        <w:rPr>
          <w:sz w:val="22"/>
          <w:szCs w:val="20"/>
          <w:lang w:eastAsia="en-AU"/>
        </w:rPr>
      </w:pPr>
    </w:p>
    <w:p w14:paraId="4BC573F9" w14:textId="70FEED8C" w:rsidR="00F6192D" w:rsidRPr="00471EEE" w:rsidRDefault="00F6192D" w:rsidP="006F19EA">
      <w:pPr>
        <w:rPr>
          <w:sz w:val="22"/>
          <w:szCs w:val="20"/>
          <w:lang w:eastAsia="en-AU"/>
        </w:rPr>
      </w:pPr>
    </w:p>
    <w:p w14:paraId="7EEC08BE" w14:textId="40186F03" w:rsidR="00F6192D" w:rsidRPr="00471EEE" w:rsidRDefault="00F6192D" w:rsidP="006F19EA">
      <w:pPr>
        <w:rPr>
          <w:sz w:val="22"/>
          <w:szCs w:val="20"/>
          <w:lang w:eastAsia="en-AU"/>
        </w:rPr>
      </w:pPr>
    </w:p>
    <w:p w14:paraId="0467A806" w14:textId="17A5B12B" w:rsidR="00F6192D" w:rsidRPr="00471EEE" w:rsidRDefault="00F6192D" w:rsidP="006F19EA">
      <w:pPr>
        <w:rPr>
          <w:sz w:val="22"/>
          <w:szCs w:val="20"/>
          <w:lang w:eastAsia="en-AU"/>
        </w:rPr>
      </w:pPr>
    </w:p>
    <w:p w14:paraId="4A8A80EF" w14:textId="3E812126" w:rsidR="00F6192D" w:rsidRPr="00471EEE" w:rsidRDefault="00F6192D" w:rsidP="006F19EA">
      <w:pPr>
        <w:rPr>
          <w:sz w:val="22"/>
          <w:szCs w:val="20"/>
          <w:lang w:eastAsia="en-AU"/>
        </w:rPr>
      </w:pPr>
    </w:p>
    <w:p w14:paraId="7AE17DDA" w14:textId="37A6063D" w:rsidR="00F6192D" w:rsidRPr="00471EEE" w:rsidRDefault="00F6192D" w:rsidP="006F19EA">
      <w:pPr>
        <w:rPr>
          <w:sz w:val="22"/>
          <w:szCs w:val="20"/>
          <w:lang w:eastAsia="en-AU"/>
        </w:rPr>
      </w:pPr>
    </w:p>
    <w:p w14:paraId="774A1751" w14:textId="706D715D" w:rsidR="00F6192D" w:rsidRPr="00471EEE" w:rsidRDefault="00F6192D" w:rsidP="006F19EA">
      <w:pPr>
        <w:rPr>
          <w:sz w:val="22"/>
          <w:szCs w:val="20"/>
          <w:lang w:eastAsia="en-AU"/>
        </w:rPr>
      </w:pPr>
    </w:p>
    <w:p w14:paraId="31A2EF34" w14:textId="7E58BA1C" w:rsidR="00F6192D" w:rsidRDefault="00F6192D" w:rsidP="006F19EA">
      <w:pPr>
        <w:rPr>
          <w:sz w:val="22"/>
          <w:szCs w:val="20"/>
          <w:lang w:eastAsia="en-AU"/>
        </w:rPr>
      </w:pPr>
    </w:p>
    <w:p w14:paraId="2CE8CF04" w14:textId="7A5A9641" w:rsidR="00DE51DE" w:rsidRDefault="00DE51DE" w:rsidP="006F19EA">
      <w:pPr>
        <w:rPr>
          <w:sz w:val="22"/>
          <w:szCs w:val="20"/>
          <w:lang w:eastAsia="en-AU"/>
        </w:rPr>
      </w:pPr>
    </w:p>
    <w:p w14:paraId="00433899" w14:textId="77777777" w:rsidR="00DE51DE" w:rsidRPr="00471EEE" w:rsidRDefault="00DE51DE" w:rsidP="006F19EA">
      <w:pPr>
        <w:rPr>
          <w:sz w:val="22"/>
          <w:szCs w:val="20"/>
          <w:lang w:eastAsia="en-AU"/>
        </w:rPr>
      </w:pPr>
    </w:p>
    <w:p w14:paraId="4F387370" w14:textId="43B17777" w:rsidR="00F6192D" w:rsidRPr="00471EEE" w:rsidRDefault="00F6192D" w:rsidP="00646E8E">
      <w:pPr>
        <w:ind w:firstLine="0"/>
        <w:rPr>
          <w:sz w:val="22"/>
          <w:szCs w:val="20"/>
          <w:lang w:eastAsia="en-AU"/>
        </w:rPr>
      </w:pPr>
    </w:p>
    <w:p w14:paraId="4BCDFE9E" w14:textId="5F7E9247" w:rsidR="008E2469" w:rsidRPr="00471EEE" w:rsidRDefault="008E2469" w:rsidP="008E2469">
      <w:pPr>
        <w:pStyle w:val="Heading1"/>
        <w:rPr>
          <w:rFonts w:eastAsia="Times New Roman"/>
          <w:sz w:val="36"/>
          <w:szCs w:val="28"/>
          <w:lang w:eastAsia="en-AU"/>
        </w:rPr>
      </w:pPr>
      <w:bookmarkStart w:id="1" w:name="_Toc106747475"/>
      <w:r w:rsidRPr="00471EEE">
        <w:rPr>
          <w:rFonts w:eastAsia="Times New Roman"/>
          <w:sz w:val="36"/>
          <w:szCs w:val="28"/>
          <w:lang w:eastAsia="en-AU"/>
        </w:rPr>
        <w:lastRenderedPageBreak/>
        <w:t>Acknowledgements</w:t>
      </w:r>
      <w:bookmarkEnd w:id="1"/>
    </w:p>
    <w:p w14:paraId="38ADD94D" w14:textId="6E344AE2" w:rsidR="008E2469" w:rsidRPr="00471EEE" w:rsidRDefault="008E2469" w:rsidP="008E2469">
      <w:pPr>
        <w:rPr>
          <w:sz w:val="22"/>
          <w:szCs w:val="20"/>
          <w:lang w:eastAsia="en-AU"/>
        </w:rPr>
      </w:pPr>
      <w:r w:rsidRPr="00471EEE">
        <w:rPr>
          <w:sz w:val="22"/>
          <w:szCs w:val="20"/>
          <w:lang w:eastAsia="en-AU"/>
        </w:rPr>
        <w:t>I thank all participants at Curtin University for affording me access the data that was used in this report and Dr. Zhiyue Sun for being an avid listener and guide throughout the entire process of compiling the findings in this report.</w:t>
      </w:r>
    </w:p>
    <w:p w14:paraId="0A40D9AA" w14:textId="74EB0288" w:rsidR="00F6192D" w:rsidRPr="00471EEE" w:rsidRDefault="00F6192D" w:rsidP="006F19EA">
      <w:pPr>
        <w:rPr>
          <w:sz w:val="22"/>
          <w:szCs w:val="20"/>
          <w:lang w:eastAsia="en-AU"/>
        </w:rPr>
      </w:pPr>
    </w:p>
    <w:p w14:paraId="76CD08F3" w14:textId="32DD41B2" w:rsidR="00F6192D" w:rsidRPr="00471EEE" w:rsidRDefault="00F6192D" w:rsidP="006F19EA">
      <w:pPr>
        <w:rPr>
          <w:sz w:val="22"/>
          <w:szCs w:val="20"/>
          <w:lang w:eastAsia="en-AU"/>
        </w:rPr>
      </w:pPr>
    </w:p>
    <w:p w14:paraId="6D2E2766" w14:textId="1EAA56D0" w:rsidR="00F6192D" w:rsidRPr="00471EEE" w:rsidRDefault="00F6192D" w:rsidP="006F19EA">
      <w:pPr>
        <w:rPr>
          <w:sz w:val="22"/>
          <w:szCs w:val="20"/>
          <w:lang w:eastAsia="en-AU"/>
        </w:rPr>
      </w:pPr>
    </w:p>
    <w:p w14:paraId="07D12CA1" w14:textId="7EA9BF67" w:rsidR="00F6192D" w:rsidRPr="00471EEE" w:rsidRDefault="00F6192D" w:rsidP="006F19EA">
      <w:pPr>
        <w:rPr>
          <w:sz w:val="22"/>
          <w:szCs w:val="20"/>
          <w:lang w:eastAsia="en-AU"/>
        </w:rPr>
      </w:pPr>
    </w:p>
    <w:p w14:paraId="5120C4FC" w14:textId="7131C70B" w:rsidR="00F6192D" w:rsidRPr="00471EEE" w:rsidRDefault="00F6192D" w:rsidP="006F19EA">
      <w:pPr>
        <w:rPr>
          <w:sz w:val="22"/>
          <w:szCs w:val="20"/>
          <w:lang w:eastAsia="en-AU"/>
        </w:rPr>
      </w:pPr>
    </w:p>
    <w:p w14:paraId="47C92069" w14:textId="77777777" w:rsidR="00F6192D" w:rsidRPr="00471EEE" w:rsidRDefault="00F6192D" w:rsidP="006F19EA">
      <w:pPr>
        <w:rPr>
          <w:sz w:val="22"/>
          <w:szCs w:val="20"/>
          <w:lang w:eastAsia="en-AU"/>
        </w:rPr>
      </w:pPr>
    </w:p>
    <w:p w14:paraId="6D985259" w14:textId="079C1A78" w:rsidR="00F6192D" w:rsidRPr="00471EEE" w:rsidRDefault="00F6192D" w:rsidP="00BF3C9B">
      <w:pPr>
        <w:rPr>
          <w:sz w:val="22"/>
          <w:szCs w:val="20"/>
        </w:rPr>
      </w:pPr>
    </w:p>
    <w:p w14:paraId="0AB02412" w14:textId="22647C0A" w:rsidR="00F6192D" w:rsidRPr="00471EEE" w:rsidRDefault="00F6192D" w:rsidP="00BF3C9B">
      <w:pPr>
        <w:rPr>
          <w:sz w:val="22"/>
          <w:szCs w:val="20"/>
        </w:rPr>
      </w:pPr>
    </w:p>
    <w:p w14:paraId="03F759A3" w14:textId="43367910" w:rsidR="00F6192D" w:rsidRPr="00471EEE" w:rsidRDefault="00F6192D" w:rsidP="00BF3C9B">
      <w:pPr>
        <w:rPr>
          <w:sz w:val="22"/>
          <w:szCs w:val="20"/>
        </w:rPr>
      </w:pPr>
    </w:p>
    <w:p w14:paraId="1BCF3328" w14:textId="76EA3EEC" w:rsidR="00F6192D" w:rsidRPr="00471EEE" w:rsidRDefault="00F6192D" w:rsidP="00BF3C9B">
      <w:pPr>
        <w:rPr>
          <w:sz w:val="22"/>
          <w:szCs w:val="20"/>
        </w:rPr>
      </w:pPr>
    </w:p>
    <w:p w14:paraId="137CE92F" w14:textId="3A0A76E2" w:rsidR="00F6192D" w:rsidRPr="00471EEE" w:rsidRDefault="00F6192D" w:rsidP="00BF3C9B">
      <w:pPr>
        <w:rPr>
          <w:sz w:val="22"/>
          <w:szCs w:val="20"/>
        </w:rPr>
      </w:pPr>
    </w:p>
    <w:p w14:paraId="3E7F8887" w14:textId="3DA5875F" w:rsidR="00F6192D" w:rsidRPr="00471EEE" w:rsidRDefault="00F6192D" w:rsidP="00BF3C9B">
      <w:pPr>
        <w:rPr>
          <w:sz w:val="22"/>
          <w:szCs w:val="20"/>
        </w:rPr>
      </w:pPr>
    </w:p>
    <w:p w14:paraId="124729AC" w14:textId="4F165D03" w:rsidR="00F6192D" w:rsidRPr="00471EEE" w:rsidRDefault="00F6192D" w:rsidP="00BF3C9B">
      <w:pPr>
        <w:rPr>
          <w:sz w:val="22"/>
          <w:szCs w:val="20"/>
        </w:rPr>
      </w:pPr>
    </w:p>
    <w:p w14:paraId="27FB1867" w14:textId="66E3F8DD" w:rsidR="00F6192D" w:rsidRPr="00471EEE" w:rsidRDefault="00F6192D" w:rsidP="00BF3C9B">
      <w:pPr>
        <w:rPr>
          <w:sz w:val="22"/>
          <w:szCs w:val="20"/>
        </w:rPr>
      </w:pPr>
    </w:p>
    <w:p w14:paraId="52CF2122" w14:textId="6F36EFF0" w:rsidR="00F6192D" w:rsidRPr="00471EEE" w:rsidRDefault="00F6192D" w:rsidP="00BF3C9B">
      <w:pPr>
        <w:rPr>
          <w:sz w:val="22"/>
          <w:szCs w:val="20"/>
        </w:rPr>
      </w:pPr>
    </w:p>
    <w:p w14:paraId="299FBB2E" w14:textId="6FDCAA40" w:rsidR="00F6192D" w:rsidRPr="00471EEE" w:rsidRDefault="00F6192D" w:rsidP="00BF3C9B">
      <w:pPr>
        <w:rPr>
          <w:sz w:val="22"/>
          <w:szCs w:val="20"/>
        </w:rPr>
      </w:pPr>
    </w:p>
    <w:p w14:paraId="7F7C5195" w14:textId="5F52B68A" w:rsidR="00F6192D" w:rsidRPr="00471EEE" w:rsidRDefault="00F6192D" w:rsidP="00BF3C9B">
      <w:pPr>
        <w:rPr>
          <w:sz w:val="22"/>
          <w:szCs w:val="20"/>
        </w:rPr>
      </w:pPr>
    </w:p>
    <w:p w14:paraId="0331BE41" w14:textId="265C693B" w:rsidR="00F6192D" w:rsidRPr="00471EEE" w:rsidRDefault="00F6192D" w:rsidP="00BF3C9B">
      <w:pPr>
        <w:rPr>
          <w:sz w:val="22"/>
          <w:szCs w:val="20"/>
        </w:rPr>
      </w:pPr>
    </w:p>
    <w:p w14:paraId="423DB6F5" w14:textId="54A09A29" w:rsidR="00F6192D" w:rsidRPr="00471EEE" w:rsidRDefault="00F6192D" w:rsidP="00BF3C9B">
      <w:pPr>
        <w:rPr>
          <w:sz w:val="22"/>
          <w:szCs w:val="20"/>
        </w:rPr>
      </w:pPr>
    </w:p>
    <w:p w14:paraId="304709D6" w14:textId="305122A5" w:rsidR="00F6192D" w:rsidRPr="00471EEE" w:rsidRDefault="00F6192D" w:rsidP="00BF3C9B">
      <w:pPr>
        <w:rPr>
          <w:sz w:val="22"/>
          <w:szCs w:val="20"/>
        </w:rPr>
      </w:pPr>
    </w:p>
    <w:p w14:paraId="33AAEDDB" w14:textId="2DDEF829" w:rsidR="00F6192D" w:rsidRDefault="00F6192D" w:rsidP="00BF3C9B">
      <w:pPr>
        <w:rPr>
          <w:sz w:val="22"/>
          <w:szCs w:val="20"/>
        </w:rPr>
      </w:pPr>
    </w:p>
    <w:p w14:paraId="5DE307AC" w14:textId="77777777" w:rsidR="00DE51DE" w:rsidRPr="00471EEE" w:rsidRDefault="00DE51DE" w:rsidP="00BF3C9B">
      <w:pPr>
        <w:rPr>
          <w:sz w:val="22"/>
          <w:szCs w:val="20"/>
        </w:rPr>
      </w:pPr>
    </w:p>
    <w:sdt>
      <w:sdtPr>
        <w:rPr>
          <w:rFonts w:ascii="Cambria Math" w:eastAsiaTheme="minorHAnsi" w:hAnsi="Cambria Math" w:cstheme="minorBidi"/>
          <w:color w:val="auto"/>
          <w:sz w:val="22"/>
          <w:szCs w:val="20"/>
          <w:lang w:val="en-AU"/>
        </w:rPr>
        <w:id w:val="1442653596"/>
        <w:docPartObj>
          <w:docPartGallery w:val="Table of Contents"/>
          <w:docPartUnique/>
        </w:docPartObj>
      </w:sdtPr>
      <w:sdtEndPr>
        <w:rPr>
          <w:rFonts w:ascii="Cambria" w:hAnsi="Cambria"/>
          <w:b/>
          <w:bCs/>
          <w:noProof/>
        </w:rPr>
      </w:sdtEndPr>
      <w:sdtContent>
        <w:p w14:paraId="75B213C6" w14:textId="3A09F4BE" w:rsidR="008E2469" w:rsidRPr="00471EEE" w:rsidRDefault="008E2469">
          <w:pPr>
            <w:pStyle w:val="TOCHeading"/>
            <w:rPr>
              <w:sz w:val="28"/>
              <w:szCs w:val="28"/>
            </w:rPr>
          </w:pPr>
          <w:r w:rsidRPr="00471EEE">
            <w:rPr>
              <w:sz w:val="28"/>
              <w:szCs w:val="28"/>
            </w:rPr>
            <w:t>Table of Contents</w:t>
          </w:r>
        </w:p>
        <w:p w14:paraId="39854F41" w14:textId="7A61C017" w:rsidR="00040C9A" w:rsidRDefault="008E2469">
          <w:pPr>
            <w:pStyle w:val="TOC1"/>
            <w:tabs>
              <w:tab w:val="right" w:leader="dot" w:pos="8608"/>
            </w:tabs>
            <w:rPr>
              <w:rFonts w:asciiTheme="minorHAnsi" w:eastAsiaTheme="minorEastAsia" w:hAnsiTheme="minorHAnsi"/>
              <w:noProof/>
              <w:sz w:val="22"/>
              <w:lang w:eastAsia="en-AU"/>
            </w:rPr>
          </w:pPr>
          <w:r w:rsidRPr="00025ABB">
            <w:rPr>
              <w:sz w:val="20"/>
              <w:szCs w:val="20"/>
            </w:rPr>
            <w:fldChar w:fldCharType="begin"/>
          </w:r>
          <w:r w:rsidRPr="00025ABB">
            <w:rPr>
              <w:sz w:val="20"/>
              <w:szCs w:val="20"/>
            </w:rPr>
            <w:instrText xml:space="preserve"> TOC \o "1-3" \h \z \u </w:instrText>
          </w:r>
          <w:r w:rsidRPr="00025ABB">
            <w:rPr>
              <w:sz w:val="20"/>
              <w:szCs w:val="20"/>
            </w:rPr>
            <w:fldChar w:fldCharType="separate"/>
          </w:r>
          <w:hyperlink w:anchor="_Toc106747474" w:history="1">
            <w:r w:rsidR="00040C9A" w:rsidRPr="00EB24C0">
              <w:rPr>
                <w:rStyle w:val="Hyperlink"/>
                <w:noProof/>
              </w:rPr>
              <w:t>ABSTRACT</w:t>
            </w:r>
            <w:r w:rsidR="00040C9A">
              <w:rPr>
                <w:noProof/>
                <w:webHidden/>
              </w:rPr>
              <w:tab/>
            </w:r>
            <w:r w:rsidR="00040C9A">
              <w:rPr>
                <w:noProof/>
                <w:webHidden/>
              </w:rPr>
              <w:fldChar w:fldCharType="begin"/>
            </w:r>
            <w:r w:rsidR="00040C9A">
              <w:rPr>
                <w:noProof/>
                <w:webHidden/>
              </w:rPr>
              <w:instrText xml:space="preserve"> PAGEREF _Toc106747474 \h </w:instrText>
            </w:r>
            <w:r w:rsidR="00040C9A">
              <w:rPr>
                <w:noProof/>
                <w:webHidden/>
              </w:rPr>
            </w:r>
            <w:r w:rsidR="00040C9A">
              <w:rPr>
                <w:noProof/>
                <w:webHidden/>
              </w:rPr>
              <w:fldChar w:fldCharType="separate"/>
            </w:r>
            <w:r w:rsidR="00040C9A">
              <w:rPr>
                <w:noProof/>
                <w:webHidden/>
              </w:rPr>
              <w:t>iii</w:t>
            </w:r>
            <w:r w:rsidR="00040C9A">
              <w:rPr>
                <w:noProof/>
                <w:webHidden/>
              </w:rPr>
              <w:fldChar w:fldCharType="end"/>
            </w:r>
          </w:hyperlink>
        </w:p>
        <w:p w14:paraId="4A3E4967" w14:textId="5B6C99F6" w:rsidR="00040C9A" w:rsidRDefault="00040C9A">
          <w:pPr>
            <w:pStyle w:val="TOC1"/>
            <w:tabs>
              <w:tab w:val="right" w:leader="dot" w:pos="8608"/>
            </w:tabs>
            <w:rPr>
              <w:rFonts w:asciiTheme="minorHAnsi" w:eastAsiaTheme="minorEastAsia" w:hAnsiTheme="minorHAnsi"/>
              <w:noProof/>
              <w:sz w:val="22"/>
              <w:lang w:eastAsia="en-AU"/>
            </w:rPr>
          </w:pPr>
          <w:hyperlink w:anchor="_Toc106747475" w:history="1">
            <w:r w:rsidRPr="00EB24C0">
              <w:rPr>
                <w:rStyle w:val="Hyperlink"/>
                <w:rFonts w:eastAsia="Times New Roman"/>
                <w:noProof/>
                <w:lang w:eastAsia="en-AU"/>
              </w:rPr>
              <w:t>Acknowledgements</w:t>
            </w:r>
            <w:r>
              <w:rPr>
                <w:noProof/>
                <w:webHidden/>
              </w:rPr>
              <w:tab/>
            </w:r>
            <w:r>
              <w:rPr>
                <w:noProof/>
                <w:webHidden/>
              </w:rPr>
              <w:fldChar w:fldCharType="begin"/>
            </w:r>
            <w:r>
              <w:rPr>
                <w:noProof/>
                <w:webHidden/>
              </w:rPr>
              <w:instrText xml:space="preserve"> PAGEREF _Toc106747475 \h </w:instrText>
            </w:r>
            <w:r>
              <w:rPr>
                <w:noProof/>
                <w:webHidden/>
              </w:rPr>
            </w:r>
            <w:r>
              <w:rPr>
                <w:noProof/>
                <w:webHidden/>
              </w:rPr>
              <w:fldChar w:fldCharType="separate"/>
            </w:r>
            <w:r>
              <w:rPr>
                <w:noProof/>
                <w:webHidden/>
              </w:rPr>
              <w:t>iv</w:t>
            </w:r>
            <w:r>
              <w:rPr>
                <w:noProof/>
                <w:webHidden/>
              </w:rPr>
              <w:fldChar w:fldCharType="end"/>
            </w:r>
          </w:hyperlink>
        </w:p>
        <w:p w14:paraId="5292D79F" w14:textId="07A5B93E" w:rsidR="00040C9A" w:rsidRDefault="00040C9A">
          <w:pPr>
            <w:pStyle w:val="TOC1"/>
            <w:tabs>
              <w:tab w:val="left" w:pos="1320"/>
              <w:tab w:val="right" w:leader="dot" w:pos="8608"/>
            </w:tabs>
            <w:rPr>
              <w:rFonts w:asciiTheme="minorHAnsi" w:eastAsiaTheme="minorEastAsia" w:hAnsiTheme="minorHAnsi"/>
              <w:noProof/>
              <w:sz w:val="22"/>
              <w:lang w:eastAsia="en-AU"/>
            </w:rPr>
          </w:pPr>
          <w:hyperlink w:anchor="_Toc106747476" w:history="1">
            <w:r w:rsidRPr="00EB24C0">
              <w:rPr>
                <w:rStyle w:val="Hyperlink"/>
                <w:noProof/>
              </w:rPr>
              <w:t>1.0</w:t>
            </w:r>
            <w:r>
              <w:rPr>
                <w:rFonts w:asciiTheme="minorHAnsi" w:eastAsiaTheme="minorEastAsia" w:hAnsiTheme="minorHAnsi"/>
                <w:noProof/>
                <w:sz w:val="22"/>
                <w:lang w:eastAsia="en-AU"/>
              </w:rPr>
              <w:tab/>
            </w:r>
            <w:r w:rsidRPr="00EB24C0">
              <w:rPr>
                <w:rStyle w:val="Hyperlink"/>
                <w:noProof/>
              </w:rPr>
              <w:t>INTRODUCTION</w:t>
            </w:r>
            <w:r>
              <w:rPr>
                <w:noProof/>
                <w:webHidden/>
              </w:rPr>
              <w:tab/>
            </w:r>
            <w:r>
              <w:rPr>
                <w:noProof/>
                <w:webHidden/>
              </w:rPr>
              <w:fldChar w:fldCharType="begin"/>
            </w:r>
            <w:r>
              <w:rPr>
                <w:noProof/>
                <w:webHidden/>
              </w:rPr>
              <w:instrText xml:space="preserve"> PAGEREF _Toc106747476 \h </w:instrText>
            </w:r>
            <w:r>
              <w:rPr>
                <w:noProof/>
                <w:webHidden/>
              </w:rPr>
            </w:r>
            <w:r>
              <w:rPr>
                <w:noProof/>
                <w:webHidden/>
              </w:rPr>
              <w:fldChar w:fldCharType="separate"/>
            </w:r>
            <w:r>
              <w:rPr>
                <w:noProof/>
                <w:webHidden/>
              </w:rPr>
              <w:t>1</w:t>
            </w:r>
            <w:r>
              <w:rPr>
                <w:noProof/>
                <w:webHidden/>
              </w:rPr>
              <w:fldChar w:fldCharType="end"/>
            </w:r>
          </w:hyperlink>
        </w:p>
        <w:p w14:paraId="6666DB7B" w14:textId="3F01230C" w:rsidR="00040C9A" w:rsidRDefault="00040C9A">
          <w:pPr>
            <w:pStyle w:val="TOC1"/>
            <w:tabs>
              <w:tab w:val="right" w:leader="dot" w:pos="8608"/>
            </w:tabs>
            <w:rPr>
              <w:rFonts w:asciiTheme="minorHAnsi" w:eastAsiaTheme="minorEastAsia" w:hAnsiTheme="minorHAnsi"/>
              <w:noProof/>
              <w:sz w:val="22"/>
              <w:lang w:eastAsia="en-AU"/>
            </w:rPr>
          </w:pPr>
          <w:hyperlink w:anchor="_Toc106747477" w:history="1">
            <w:r w:rsidRPr="00EB24C0">
              <w:rPr>
                <w:rStyle w:val="Hyperlink"/>
                <w:noProof/>
              </w:rPr>
              <w:t>2.0 LITERATURE REVIEW</w:t>
            </w:r>
            <w:r>
              <w:rPr>
                <w:noProof/>
                <w:webHidden/>
              </w:rPr>
              <w:tab/>
            </w:r>
            <w:r>
              <w:rPr>
                <w:noProof/>
                <w:webHidden/>
              </w:rPr>
              <w:fldChar w:fldCharType="begin"/>
            </w:r>
            <w:r>
              <w:rPr>
                <w:noProof/>
                <w:webHidden/>
              </w:rPr>
              <w:instrText xml:space="preserve"> PAGEREF _Toc106747477 \h </w:instrText>
            </w:r>
            <w:r>
              <w:rPr>
                <w:noProof/>
                <w:webHidden/>
              </w:rPr>
            </w:r>
            <w:r>
              <w:rPr>
                <w:noProof/>
                <w:webHidden/>
              </w:rPr>
              <w:fldChar w:fldCharType="separate"/>
            </w:r>
            <w:r>
              <w:rPr>
                <w:noProof/>
                <w:webHidden/>
              </w:rPr>
              <w:t>1</w:t>
            </w:r>
            <w:r>
              <w:rPr>
                <w:noProof/>
                <w:webHidden/>
              </w:rPr>
              <w:fldChar w:fldCharType="end"/>
            </w:r>
          </w:hyperlink>
        </w:p>
        <w:p w14:paraId="12FEED08" w14:textId="2D090AFD" w:rsidR="00040C9A" w:rsidRDefault="00040C9A">
          <w:pPr>
            <w:pStyle w:val="TOC1"/>
            <w:tabs>
              <w:tab w:val="right" w:leader="dot" w:pos="8608"/>
            </w:tabs>
            <w:rPr>
              <w:rFonts w:asciiTheme="minorHAnsi" w:eastAsiaTheme="minorEastAsia" w:hAnsiTheme="minorHAnsi"/>
              <w:noProof/>
              <w:sz w:val="22"/>
              <w:lang w:eastAsia="en-AU"/>
            </w:rPr>
          </w:pPr>
          <w:hyperlink w:anchor="_Toc106747478" w:history="1">
            <w:r w:rsidRPr="00EB24C0">
              <w:rPr>
                <w:rStyle w:val="Hyperlink"/>
                <w:noProof/>
              </w:rPr>
              <w:t>3.0 DATA SELECTION, DESCRIPTION AND METHODOLOGY</w:t>
            </w:r>
            <w:r>
              <w:rPr>
                <w:noProof/>
                <w:webHidden/>
              </w:rPr>
              <w:tab/>
            </w:r>
            <w:r>
              <w:rPr>
                <w:noProof/>
                <w:webHidden/>
              </w:rPr>
              <w:fldChar w:fldCharType="begin"/>
            </w:r>
            <w:r>
              <w:rPr>
                <w:noProof/>
                <w:webHidden/>
              </w:rPr>
              <w:instrText xml:space="preserve"> PAGEREF _Toc106747478 \h </w:instrText>
            </w:r>
            <w:r>
              <w:rPr>
                <w:noProof/>
                <w:webHidden/>
              </w:rPr>
            </w:r>
            <w:r>
              <w:rPr>
                <w:noProof/>
                <w:webHidden/>
              </w:rPr>
              <w:fldChar w:fldCharType="separate"/>
            </w:r>
            <w:r>
              <w:rPr>
                <w:noProof/>
                <w:webHidden/>
              </w:rPr>
              <w:t>5</w:t>
            </w:r>
            <w:r>
              <w:rPr>
                <w:noProof/>
                <w:webHidden/>
              </w:rPr>
              <w:fldChar w:fldCharType="end"/>
            </w:r>
          </w:hyperlink>
        </w:p>
        <w:p w14:paraId="58D7FC3C" w14:textId="1ED9C340" w:rsidR="00040C9A" w:rsidRDefault="00040C9A">
          <w:pPr>
            <w:pStyle w:val="TOC2"/>
            <w:tabs>
              <w:tab w:val="right" w:leader="dot" w:pos="8608"/>
            </w:tabs>
            <w:rPr>
              <w:rFonts w:asciiTheme="minorHAnsi" w:eastAsiaTheme="minorEastAsia" w:hAnsiTheme="minorHAnsi"/>
              <w:noProof/>
              <w:sz w:val="22"/>
              <w:lang w:eastAsia="en-AU"/>
            </w:rPr>
          </w:pPr>
          <w:hyperlink w:anchor="_Toc106747479" w:history="1">
            <w:r w:rsidRPr="00EB24C0">
              <w:rPr>
                <w:rStyle w:val="Hyperlink"/>
                <w:noProof/>
              </w:rPr>
              <w:t>3.1 DATA SELECTION</w:t>
            </w:r>
            <w:r>
              <w:rPr>
                <w:noProof/>
                <w:webHidden/>
              </w:rPr>
              <w:tab/>
            </w:r>
            <w:r>
              <w:rPr>
                <w:noProof/>
                <w:webHidden/>
              </w:rPr>
              <w:fldChar w:fldCharType="begin"/>
            </w:r>
            <w:r>
              <w:rPr>
                <w:noProof/>
                <w:webHidden/>
              </w:rPr>
              <w:instrText xml:space="preserve"> PAGEREF _Toc106747479 \h </w:instrText>
            </w:r>
            <w:r>
              <w:rPr>
                <w:noProof/>
                <w:webHidden/>
              </w:rPr>
            </w:r>
            <w:r>
              <w:rPr>
                <w:noProof/>
                <w:webHidden/>
              </w:rPr>
              <w:fldChar w:fldCharType="separate"/>
            </w:r>
            <w:r>
              <w:rPr>
                <w:noProof/>
                <w:webHidden/>
              </w:rPr>
              <w:t>5</w:t>
            </w:r>
            <w:r>
              <w:rPr>
                <w:noProof/>
                <w:webHidden/>
              </w:rPr>
              <w:fldChar w:fldCharType="end"/>
            </w:r>
          </w:hyperlink>
        </w:p>
        <w:p w14:paraId="70F469B4" w14:textId="633680ED" w:rsidR="00040C9A" w:rsidRDefault="00040C9A">
          <w:pPr>
            <w:pStyle w:val="TOC2"/>
            <w:tabs>
              <w:tab w:val="right" w:leader="dot" w:pos="8608"/>
            </w:tabs>
            <w:rPr>
              <w:rFonts w:asciiTheme="minorHAnsi" w:eastAsiaTheme="minorEastAsia" w:hAnsiTheme="minorHAnsi"/>
              <w:noProof/>
              <w:sz w:val="22"/>
              <w:lang w:eastAsia="en-AU"/>
            </w:rPr>
          </w:pPr>
          <w:hyperlink w:anchor="_Toc106747480" w:history="1">
            <w:r w:rsidRPr="00EB24C0">
              <w:rPr>
                <w:rStyle w:val="Hyperlink"/>
                <w:noProof/>
              </w:rPr>
              <w:t>3.2 DATA DESCRIPTION</w:t>
            </w:r>
            <w:r>
              <w:rPr>
                <w:noProof/>
                <w:webHidden/>
              </w:rPr>
              <w:tab/>
            </w:r>
            <w:r>
              <w:rPr>
                <w:noProof/>
                <w:webHidden/>
              </w:rPr>
              <w:fldChar w:fldCharType="begin"/>
            </w:r>
            <w:r>
              <w:rPr>
                <w:noProof/>
                <w:webHidden/>
              </w:rPr>
              <w:instrText xml:space="preserve"> PAGEREF _Toc106747480 \h </w:instrText>
            </w:r>
            <w:r>
              <w:rPr>
                <w:noProof/>
                <w:webHidden/>
              </w:rPr>
            </w:r>
            <w:r>
              <w:rPr>
                <w:noProof/>
                <w:webHidden/>
              </w:rPr>
              <w:fldChar w:fldCharType="separate"/>
            </w:r>
            <w:r>
              <w:rPr>
                <w:noProof/>
                <w:webHidden/>
              </w:rPr>
              <w:t>6</w:t>
            </w:r>
            <w:r>
              <w:rPr>
                <w:noProof/>
                <w:webHidden/>
              </w:rPr>
              <w:fldChar w:fldCharType="end"/>
            </w:r>
          </w:hyperlink>
        </w:p>
        <w:p w14:paraId="6B880B69" w14:textId="40733601" w:rsidR="00040C9A" w:rsidRDefault="00040C9A">
          <w:pPr>
            <w:pStyle w:val="TOC3"/>
            <w:tabs>
              <w:tab w:val="right" w:leader="dot" w:pos="8608"/>
            </w:tabs>
            <w:rPr>
              <w:rFonts w:asciiTheme="minorHAnsi" w:eastAsiaTheme="minorEastAsia" w:hAnsiTheme="minorHAnsi"/>
              <w:noProof/>
              <w:sz w:val="22"/>
              <w:lang w:eastAsia="en-AU"/>
            </w:rPr>
          </w:pPr>
          <w:hyperlink w:anchor="_Toc106747481" w:history="1">
            <w:r w:rsidRPr="00EB24C0">
              <w:rPr>
                <w:rStyle w:val="Hyperlink"/>
                <w:noProof/>
              </w:rPr>
              <w:t>3.2.1 Share of Equity Issuances</w:t>
            </w:r>
            <w:r>
              <w:rPr>
                <w:noProof/>
                <w:webHidden/>
              </w:rPr>
              <w:tab/>
            </w:r>
            <w:r>
              <w:rPr>
                <w:noProof/>
                <w:webHidden/>
              </w:rPr>
              <w:fldChar w:fldCharType="begin"/>
            </w:r>
            <w:r>
              <w:rPr>
                <w:noProof/>
                <w:webHidden/>
              </w:rPr>
              <w:instrText xml:space="preserve"> PAGEREF _Toc106747481 \h </w:instrText>
            </w:r>
            <w:r>
              <w:rPr>
                <w:noProof/>
                <w:webHidden/>
              </w:rPr>
            </w:r>
            <w:r>
              <w:rPr>
                <w:noProof/>
                <w:webHidden/>
              </w:rPr>
              <w:fldChar w:fldCharType="separate"/>
            </w:r>
            <w:r>
              <w:rPr>
                <w:noProof/>
                <w:webHidden/>
              </w:rPr>
              <w:t>6</w:t>
            </w:r>
            <w:r>
              <w:rPr>
                <w:noProof/>
                <w:webHidden/>
              </w:rPr>
              <w:fldChar w:fldCharType="end"/>
            </w:r>
          </w:hyperlink>
        </w:p>
        <w:p w14:paraId="5D2AA012" w14:textId="51C4D113" w:rsidR="00040C9A" w:rsidRDefault="00040C9A">
          <w:pPr>
            <w:pStyle w:val="TOC3"/>
            <w:tabs>
              <w:tab w:val="right" w:leader="dot" w:pos="8608"/>
            </w:tabs>
            <w:rPr>
              <w:rFonts w:asciiTheme="minorHAnsi" w:eastAsiaTheme="minorEastAsia" w:hAnsiTheme="minorHAnsi"/>
              <w:noProof/>
              <w:sz w:val="22"/>
              <w:lang w:eastAsia="en-AU"/>
            </w:rPr>
          </w:pPr>
          <w:hyperlink w:anchor="_Toc106747482" w:history="1">
            <w:r w:rsidRPr="00EB24C0">
              <w:rPr>
                <w:rStyle w:val="Hyperlink"/>
                <w:noProof/>
              </w:rPr>
              <w:t>3.2.2 Closed-end Fund Discount</w:t>
            </w:r>
            <w:r>
              <w:rPr>
                <w:noProof/>
                <w:webHidden/>
              </w:rPr>
              <w:tab/>
            </w:r>
            <w:r>
              <w:rPr>
                <w:noProof/>
                <w:webHidden/>
              </w:rPr>
              <w:fldChar w:fldCharType="begin"/>
            </w:r>
            <w:r>
              <w:rPr>
                <w:noProof/>
                <w:webHidden/>
              </w:rPr>
              <w:instrText xml:space="preserve"> PAGEREF _Toc106747482 \h </w:instrText>
            </w:r>
            <w:r>
              <w:rPr>
                <w:noProof/>
                <w:webHidden/>
              </w:rPr>
            </w:r>
            <w:r>
              <w:rPr>
                <w:noProof/>
                <w:webHidden/>
              </w:rPr>
              <w:fldChar w:fldCharType="separate"/>
            </w:r>
            <w:r>
              <w:rPr>
                <w:noProof/>
                <w:webHidden/>
              </w:rPr>
              <w:t>7</w:t>
            </w:r>
            <w:r>
              <w:rPr>
                <w:noProof/>
                <w:webHidden/>
              </w:rPr>
              <w:fldChar w:fldCharType="end"/>
            </w:r>
          </w:hyperlink>
        </w:p>
        <w:p w14:paraId="474BC627" w14:textId="44B295BD" w:rsidR="00040C9A" w:rsidRDefault="00040C9A">
          <w:pPr>
            <w:pStyle w:val="TOC3"/>
            <w:tabs>
              <w:tab w:val="right" w:leader="dot" w:pos="8608"/>
            </w:tabs>
            <w:rPr>
              <w:rFonts w:asciiTheme="minorHAnsi" w:eastAsiaTheme="minorEastAsia" w:hAnsiTheme="minorHAnsi"/>
              <w:noProof/>
              <w:sz w:val="22"/>
              <w:lang w:eastAsia="en-AU"/>
            </w:rPr>
          </w:pPr>
          <w:hyperlink w:anchor="_Toc106747483" w:history="1">
            <w:r w:rsidRPr="00EB24C0">
              <w:rPr>
                <w:rStyle w:val="Hyperlink"/>
                <w:noProof/>
              </w:rPr>
              <w:t>3.2.3 Trade Volume</w:t>
            </w:r>
            <w:r>
              <w:rPr>
                <w:noProof/>
                <w:webHidden/>
              </w:rPr>
              <w:tab/>
            </w:r>
            <w:r>
              <w:rPr>
                <w:noProof/>
                <w:webHidden/>
              </w:rPr>
              <w:fldChar w:fldCharType="begin"/>
            </w:r>
            <w:r>
              <w:rPr>
                <w:noProof/>
                <w:webHidden/>
              </w:rPr>
              <w:instrText xml:space="preserve"> PAGEREF _Toc106747483 \h </w:instrText>
            </w:r>
            <w:r>
              <w:rPr>
                <w:noProof/>
                <w:webHidden/>
              </w:rPr>
            </w:r>
            <w:r>
              <w:rPr>
                <w:noProof/>
                <w:webHidden/>
              </w:rPr>
              <w:fldChar w:fldCharType="separate"/>
            </w:r>
            <w:r>
              <w:rPr>
                <w:noProof/>
                <w:webHidden/>
              </w:rPr>
              <w:t>8</w:t>
            </w:r>
            <w:r>
              <w:rPr>
                <w:noProof/>
                <w:webHidden/>
              </w:rPr>
              <w:fldChar w:fldCharType="end"/>
            </w:r>
          </w:hyperlink>
        </w:p>
        <w:p w14:paraId="40FDAA6C" w14:textId="3BBABAF5" w:rsidR="00040C9A" w:rsidRDefault="00040C9A">
          <w:pPr>
            <w:pStyle w:val="TOC3"/>
            <w:tabs>
              <w:tab w:val="right" w:leader="dot" w:pos="8608"/>
            </w:tabs>
            <w:rPr>
              <w:rFonts w:asciiTheme="minorHAnsi" w:eastAsiaTheme="minorEastAsia" w:hAnsiTheme="minorHAnsi"/>
              <w:noProof/>
              <w:sz w:val="22"/>
              <w:lang w:eastAsia="en-AU"/>
            </w:rPr>
          </w:pPr>
          <w:hyperlink w:anchor="_Toc106747484" w:history="1">
            <w:r w:rsidRPr="00EB24C0">
              <w:rPr>
                <w:rStyle w:val="Hyperlink"/>
                <w:noProof/>
              </w:rPr>
              <w:t>3.2.4 Market Turnover</w:t>
            </w:r>
            <w:r>
              <w:rPr>
                <w:noProof/>
                <w:webHidden/>
              </w:rPr>
              <w:tab/>
            </w:r>
            <w:r>
              <w:rPr>
                <w:noProof/>
                <w:webHidden/>
              </w:rPr>
              <w:fldChar w:fldCharType="begin"/>
            </w:r>
            <w:r>
              <w:rPr>
                <w:noProof/>
                <w:webHidden/>
              </w:rPr>
              <w:instrText xml:space="preserve"> PAGEREF _Toc106747484 \h </w:instrText>
            </w:r>
            <w:r>
              <w:rPr>
                <w:noProof/>
                <w:webHidden/>
              </w:rPr>
            </w:r>
            <w:r>
              <w:rPr>
                <w:noProof/>
                <w:webHidden/>
              </w:rPr>
              <w:fldChar w:fldCharType="separate"/>
            </w:r>
            <w:r>
              <w:rPr>
                <w:noProof/>
                <w:webHidden/>
              </w:rPr>
              <w:t>9</w:t>
            </w:r>
            <w:r>
              <w:rPr>
                <w:noProof/>
                <w:webHidden/>
              </w:rPr>
              <w:fldChar w:fldCharType="end"/>
            </w:r>
          </w:hyperlink>
        </w:p>
        <w:p w14:paraId="5E7FCC6C" w14:textId="702B1F44" w:rsidR="00040C9A" w:rsidRDefault="00040C9A">
          <w:pPr>
            <w:pStyle w:val="TOC3"/>
            <w:tabs>
              <w:tab w:val="right" w:leader="dot" w:pos="8608"/>
            </w:tabs>
            <w:rPr>
              <w:rFonts w:asciiTheme="minorHAnsi" w:eastAsiaTheme="minorEastAsia" w:hAnsiTheme="minorHAnsi"/>
              <w:noProof/>
              <w:sz w:val="22"/>
              <w:lang w:eastAsia="en-AU"/>
            </w:rPr>
          </w:pPr>
          <w:hyperlink w:anchor="_Toc106747485" w:history="1">
            <w:r w:rsidRPr="00EB24C0">
              <w:rPr>
                <w:rStyle w:val="Hyperlink"/>
                <w:noProof/>
              </w:rPr>
              <w:t>3.2.5 Number of IPOs</w:t>
            </w:r>
            <w:r>
              <w:rPr>
                <w:noProof/>
                <w:webHidden/>
              </w:rPr>
              <w:tab/>
            </w:r>
            <w:r>
              <w:rPr>
                <w:noProof/>
                <w:webHidden/>
              </w:rPr>
              <w:fldChar w:fldCharType="begin"/>
            </w:r>
            <w:r>
              <w:rPr>
                <w:noProof/>
                <w:webHidden/>
              </w:rPr>
              <w:instrText xml:space="preserve"> PAGEREF _Toc106747485 \h </w:instrText>
            </w:r>
            <w:r>
              <w:rPr>
                <w:noProof/>
                <w:webHidden/>
              </w:rPr>
            </w:r>
            <w:r>
              <w:rPr>
                <w:noProof/>
                <w:webHidden/>
              </w:rPr>
              <w:fldChar w:fldCharType="separate"/>
            </w:r>
            <w:r>
              <w:rPr>
                <w:noProof/>
                <w:webHidden/>
              </w:rPr>
              <w:t>9</w:t>
            </w:r>
            <w:r>
              <w:rPr>
                <w:noProof/>
                <w:webHidden/>
              </w:rPr>
              <w:fldChar w:fldCharType="end"/>
            </w:r>
          </w:hyperlink>
        </w:p>
        <w:p w14:paraId="67D2273F" w14:textId="64919503" w:rsidR="00040C9A" w:rsidRDefault="00040C9A">
          <w:pPr>
            <w:pStyle w:val="TOC3"/>
            <w:tabs>
              <w:tab w:val="right" w:leader="dot" w:pos="8608"/>
            </w:tabs>
            <w:rPr>
              <w:rFonts w:asciiTheme="minorHAnsi" w:eastAsiaTheme="minorEastAsia" w:hAnsiTheme="minorHAnsi"/>
              <w:noProof/>
              <w:sz w:val="22"/>
              <w:lang w:eastAsia="en-AU"/>
            </w:rPr>
          </w:pPr>
          <w:hyperlink w:anchor="_Toc106747486" w:history="1">
            <w:r w:rsidRPr="00EB24C0">
              <w:rPr>
                <w:rStyle w:val="Hyperlink"/>
                <w:noProof/>
              </w:rPr>
              <w:t>3.2.6 Average First Day Returns of IPOs</w:t>
            </w:r>
            <w:r>
              <w:rPr>
                <w:noProof/>
                <w:webHidden/>
              </w:rPr>
              <w:tab/>
            </w:r>
            <w:r>
              <w:rPr>
                <w:noProof/>
                <w:webHidden/>
              </w:rPr>
              <w:fldChar w:fldCharType="begin"/>
            </w:r>
            <w:r>
              <w:rPr>
                <w:noProof/>
                <w:webHidden/>
              </w:rPr>
              <w:instrText xml:space="preserve"> PAGEREF _Toc106747486 \h </w:instrText>
            </w:r>
            <w:r>
              <w:rPr>
                <w:noProof/>
                <w:webHidden/>
              </w:rPr>
            </w:r>
            <w:r>
              <w:rPr>
                <w:noProof/>
                <w:webHidden/>
              </w:rPr>
              <w:fldChar w:fldCharType="separate"/>
            </w:r>
            <w:r>
              <w:rPr>
                <w:noProof/>
                <w:webHidden/>
              </w:rPr>
              <w:t>9</w:t>
            </w:r>
            <w:r>
              <w:rPr>
                <w:noProof/>
                <w:webHidden/>
              </w:rPr>
              <w:fldChar w:fldCharType="end"/>
            </w:r>
          </w:hyperlink>
        </w:p>
        <w:p w14:paraId="043877D4" w14:textId="4E8C77C0" w:rsidR="00040C9A" w:rsidRDefault="00040C9A">
          <w:pPr>
            <w:pStyle w:val="TOC3"/>
            <w:tabs>
              <w:tab w:val="right" w:leader="dot" w:pos="8608"/>
            </w:tabs>
            <w:rPr>
              <w:rFonts w:asciiTheme="minorHAnsi" w:eastAsiaTheme="minorEastAsia" w:hAnsiTheme="minorHAnsi"/>
              <w:noProof/>
              <w:sz w:val="22"/>
              <w:lang w:eastAsia="en-AU"/>
            </w:rPr>
          </w:pPr>
          <w:hyperlink w:anchor="_Toc106747487" w:history="1">
            <w:r w:rsidRPr="00EB24C0">
              <w:rPr>
                <w:rStyle w:val="Hyperlink"/>
                <w:noProof/>
              </w:rPr>
              <w:t>3.2.7 Covid Lockdown</w:t>
            </w:r>
            <w:r>
              <w:rPr>
                <w:noProof/>
                <w:webHidden/>
              </w:rPr>
              <w:tab/>
            </w:r>
            <w:r>
              <w:rPr>
                <w:noProof/>
                <w:webHidden/>
              </w:rPr>
              <w:fldChar w:fldCharType="begin"/>
            </w:r>
            <w:r>
              <w:rPr>
                <w:noProof/>
                <w:webHidden/>
              </w:rPr>
              <w:instrText xml:space="preserve"> PAGEREF _Toc106747487 \h </w:instrText>
            </w:r>
            <w:r>
              <w:rPr>
                <w:noProof/>
                <w:webHidden/>
              </w:rPr>
            </w:r>
            <w:r>
              <w:rPr>
                <w:noProof/>
                <w:webHidden/>
              </w:rPr>
              <w:fldChar w:fldCharType="separate"/>
            </w:r>
            <w:r>
              <w:rPr>
                <w:noProof/>
                <w:webHidden/>
              </w:rPr>
              <w:t>10</w:t>
            </w:r>
            <w:r>
              <w:rPr>
                <w:noProof/>
                <w:webHidden/>
              </w:rPr>
              <w:fldChar w:fldCharType="end"/>
            </w:r>
          </w:hyperlink>
        </w:p>
        <w:p w14:paraId="0559AEA0" w14:textId="0524F69A" w:rsidR="00040C9A" w:rsidRDefault="00040C9A">
          <w:pPr>
            <w:pStyle w:val="TOC3"/>
            <w:tabs>
              <w:tab w:val="right" w:leader="dot" w:pos="8608"/>
            </w:tabs>
            <w:rPr>
              <w:rFonts w:asciiTheme="minorHAnsi" w:eastAsiaTheme="minorEastAsia" w:hAnsiTheme="minorHAnsi"/>
              <w:noProof/>
              <w:sz w:val="22"/>
              <w:lang w:eastAsia="en-AU"/>
            </w:rPr>
          </w:pPr>
          <w:hyperlink w:anchor="_Toc106747488" w:history="1">
            <w:r w:rsidRPr="00EB24C0">
              <w:rPr>
                <w:rStyle w:val="Hyperlink"/>
                <w:noProof/>
              </w:rPr>
              <w:t>3.2.8 Russia Ukraine Conflict</w:t>
            </w:r>
            <w:r>
              <w:rPr>
                <w:noProof/>
                <w:webHidden/>
              </w:rPr>
              <w:tab/>
            </w:r>
            <w:r>
              <w:rPr>
                <w:noProof/>
                <w:webHidden/>
              </w:rPr>
              <w:fldChar w:fldCharType="begin"/>
            </w:r>
            <w:r>
              <w:rPr>
                <w:noProof/>
                <w:webHidden/>
              </w:rPr>
              <w:instrText xml:space="preserve"> PAGEREF _Toc106747488 \h </w:instrText>
            </w:r>
            <w:r>
              <w:rPr>
                <w:noProof/>
                <w:webHidden/>
              </w:rPr>
            </w:r>
            <w:r>
              <w:rPr>
                <w:noProof/>
                <w:webHidden/>
              </w:rPr>
              <w:fldChar w:fldCharType="separate"/>
            </w:r>
            <w:r>
              <w:rPr>
                <w:noProof/>
                <w:webHidden/>
              </w:rPr>
              <w:t>10</w:t>
            </w:r>
            <w:r>
              <w:rPr>
                <w:noProof/>
                <w:webHidden/>
              </w:rPr>
              <w:fldChar w:fldCharType="end"/>
            </w:r>
          </w:hyperlink>
        </w:p>
        <w:p w14:paraId="5C8CE2DA" w14:textId="1C202335" w:rsidR="00040C9A" w:rsidRDefault="00040C9A">
          <w:pPr>
            <w:pStyle w:val="TOC3"/>
            <w:tabs>
              <w:tab w:val="right" w:leader="dot" w:pos="8608"/>
            </w:tabs>
            <w:rPr>
              <w:rFonts w:asciiTheme="minorHAnsi" w:eastAsiaTheme="minorEastAsia" w:hAnsiTheme="minorHAnsi"/>
              <w:noProof/>
              <w:sz w:val="22"/>
              <w:lang w:eastAsia="en-AU"/>
            </w:rPr>
          </w:pPr>
          <w:hyperlink w:anchor="_Toc106747489" w:history="1">
            <w:r w:rsidRPr="00EB24C0">
              <w:rPr>
                <w:rStyle w:val="Hyperlink"/>
                <w:noProof/>
              </w:rPr>
              <w:t>3.2.9 S&amp;P500 returns</w:t>
            </w:r>
            <w:r>
              <w:rPr>
                <w:noProof/>
                <w:webHidden/>
              </w:rPr>
              <w:tab/>
            </w:r>
            <w:r>
              <w:rPr>
                <w:noProof/>
                <w:webHidden/>
              </w:rPr>
              <w:fldChar w:fldCharType="begin"/>
            </w:r>
            <w:r>
              <w:rPr>
                <w:noProof/>
                <w:webHidden/>
              </w:rPr>
              <w:instrText xml:space="preserve"> PAGEREF _Toc106747489 \h </w:instrText>
            </w:r>
            <w:r>
              <w:rPr>
                <w:noProof/>
                <w:webHidden/>
              </w:rPr>
            </w:r>
            <w:r>
              <w:rPr>
                <w:noProof/>
                <w:webHidden/>
              </w:rPr>
              <w:fldChar w:fldCharType="separate"/>
            </w:r>
            <w:r>
              <w:rPr>
                <w:noProof/>
                <w:webHidden/>
              </w:rPr>
              <w:t>10</w:t>
            </w:r>
            <w:r>
              <w:rPr>
                <w:noProof/>
                <w:webHidden/>
              </w:rPr>
              <w:fldChar w:fldCharType="end"/>
            </w:r>
          </w:hyperlink>
        </w:p>
        <w:p w14:paraId="23E79DEA" w14:textId="7BDC1222" w:rsidR="00040C9A" w:rsidRDefault="00040C9A">
          <w:pPr>
            <w:pStyle w:val="TOC2"/>
            <w:tabs>
              <w:tab w:val="right" w:leader="dot" w:pos="8608"/>
            </w:tabs>
            <w:rPr>
              <w:rFonts w:asciiTheme="minorHAnsi" w:eastAsiaTheme="minorEastAsia" w:hAnsiTheme="minorHAnsi"/>
              <w:noProof/>
              <w:sz w:val="22"/>
              <w:lang w:eastAsia="en-AU"/>
            </w:rPr>
          </w:pPr>
          <w:hyperlink w:anchor="_Toc106747490" w:history="1">
            <w:r w:rsidRPr="00EB24C0">
              <w:rPr>
                <w:rStyle w:val="Hyperlink"/>
                <w:noProof/>
              </w:rPr>
              <w:t>3.3 MODEL DECRIPTIONS AND METHODOLOGY</w:t>
            </w:r>
            <w:r>
              <w:rPr>
                <w:noProof/>
                <w:webHidden/>
              </w:rPr>
              <w:tab/>
            </w:r>
            <w:r>
              <w:rPr>
                <w:noProof/>
                <w:webHidden/>
              </w:rPr>
              <w:fldChar w:fldCharType="begin"/>
            </w:r>
            <w:r>
              <w:rPr>
                <w:noProof/>
                <w:webHidden/>
              </w:rPr>
              <w:instrText xml:space="preserve"> PAGEREF _Toc106747490 \h </w:instrText>
            </w:r>
            <w:r>
              <w:rPr>
                <w:noProof/>
                <w:webHidden/>
              </w:rPr>
            </w:r>
            <w:r>
              <w:rPr>
                <w:noProof/>
                <w:webHidden/>
              </w:rPr>
              <w:fldChar w:fldCharType="separate"/>
            </w:r>
            <w:r>
              <w:rPr>
                <w:noProof/>
                <w:webHidden/>
              </w:rPr>
              <w:t>10</w:t>
            </w:r>
            <w:r>
              <w:rPr>
                <w:noProof/>
                <w:webHidden/>
              </w:rPr>
              <w:fldChar w:fldCharType="end"/>
            </w:r>
          </w:hyperlink>
        </w:p>
        <w:p w14:paraId="07A1CFE3" w14:textId="05A6973E" w:rsidR="00040C9A" w:rsidRDefault="00040C9A">
          <w:pPr>
            <w:pStyle w:val="TOC3"/>
            <w:tabs>
              <w:tab w:val="right" w:leader="dot" w:pos="8608"/>
            </w:tabs>
            <w:rPr>
              <w:rFonts w:asciiTheme="minorHAnsi" w:eastAsiaTheme="minorEastAsia" w:hAnsiTheme="minorHAnsi"/>
              <w:noProof/>
              <w:sz w:val="22"/>
              <w:lang w:eastAsia="en-AU"/>
            </w:rPr>
          </w:pPr>
          <w:hyperlink w:anchor="_Toc106747491" w:history="1">
            <w:r w:rsidRPr="00EB24C0">
              <w:rPr>
                <w:rStyle w:val="Hyperlink"/>
                <w:noProof/>
              </w:rPr>
              <w:t>3.3.1 LASSO REGRESSION</w:t>
            </w:r>
            <w:r>
              <w:rPr>
                <w:noProof/>
                <w:webHidden/>
              </w:rPr>
              <w:tab/>
            </w:r>
            <w:r>
              <w:rPr>
                <w:noProof/>
                <w:webHidden/>
              </w:rPr>
              <w:fldChar w:fldCharType="begin"/>
            </w:r>
            <w:r>
              <w:rPr>
                <w:noProof/>
                <w:webHidden/>
              </w:rPr>
              <w:instrText xml:space="preserve"> PAGEREF _Toc106747491 \h </w:instrText>
            </w:r>
            <w:r>
              <w:rPr>
                <w:noProof/>
                <w:webHidden/>
              </w:rPr>
            </w:r>
            <w:r>
              <w:rPr>
                <w:noProof/>
                <w:webHidden/>
              </w:rPr>
              <w:fldChar w:fldCharType="separate"/>
            </w:r>
            <w:r>
              <w:rPr>
                <w:noProof/>
                <w:webHidden/>
              </w:rPr>
              <w:t>10</w:t>
            </w:r>
            <w:r>
              <w:rPr>
                <w:noProof/>
                <w:webHidden/>
              </w:rPr>
              <w:fldChar w:fldCharType="end"/>
            </w:r>
          </w:hyperlink>
        </w:p>
        <w:p w14:paraId="65B0DB94" w14:textId="11862574" w:rsidR="00040C9A" w:rsidRDefault="00040C9A">
          <w:pPr>
            <w:pStyle w:val="TOC3"/>
            <w:tabs>
              <w:tab w:val="right" w:leader="dot" w:pos="8608"/>
            </w:tabs>
            <w:rPr>
              <w:rFonts w:asciiTheme="minorHAnsi" w:eastAsiaTheme="minorEastAsia" w:hAnsiTheme="minorHAnsi"/>
              <w:noProof/>
              <w:sz w:val="22"/>
              <w:lang w:eastAsia="en-AU"/>
            </w:rPr>
          </w:pPr>
          <w:hyperlink w:anchor="_Toc106747492" w:history="1">
            <w:r w:rsidRPr="00EB24C0">
              <w:rPr>
                <w:rStyle w:val="Hyperlink"/>
                <w:noProof/>
              </w:rPr>
              <w:t>3.3.1 VAR MODEL</w:t>
            </w:r>
            <w:r>
              <w:rPr>
                <w:noProof/>
                <w:webHidden/>
              </w:rPr>
              <w:tab/>
            </w:r>
            <w:r>
              <w:rPr>
                <w:noProof/>
                <w:webHidden/>
              </w:rPr>
              <w:fldChar w:fldCharType="begin"/>
            </w:r>
            <w:r>
              <w:rPr>
                <w:noProof/>
                <w:webHidden/>
              </w:rPr>
              <w:instrText xml:space="preserve"> PAGEREF _Toc106747492 \h </w:instrText>
            </w:r>
            <w:r>
              <w:rPr>
                <w:noProof/>
                <w:webHidden/>
              </w:rPr>
            </w:r>
            <w:r>
              <w:rPr>
                <w:noProof/>
                <w:webHidden/>
              </w:rPr>
              <w:fldChar w:fldCharType="separate"/>
            </w:r>
            <w:r>
              <w:rPr>
                <w:noProof/>
                <w:webHidden/>
              </w:rPr>
              <w:t>11</w:t>
            </w:r>
            <w:r>
              <w:rPr>
                <w:noProof/>
                <w:webHidden/>
              </w:rPr>
              <w:fldChar w:fldCharType="end"/>
            </w:r>
          </w:hyperlink>
        </w:p>
        <w:p w14:paraId="4CE4ABBC" w14:textId="76AE9AD2" w:rsidR="00040C9A" w:rsidRDefault="00040C9A">
          <w:pPr>
            <w:pStyle w:val="TOC3"/>
            <w:tabs>
              <w:tab w:val="right" w:leader="dot" w:pos="8608"/>
            </w:tabs>
            <w:rPr>
              <w:rFonts w:asciiTheme="minorHAnsi" w:eastAsiaTheme="minorEastAsia" w:hAnsiTheme="minorHAnsi"/>
              <w:noProof/>
              <w:sz w:val="22"/>
              <w:lang w:eastAsia="en-AU"/>
            </w:rPr>
          </w:pPr>
          <w:hyperlink w:anchor="_Toc106747493" w:history="1">
            <w:r w:rsidRPr="00EB24C0">
              <w:rPr>
                <w:rStyle w:val="Hyperlink"/>
                <w:noProof/>
              </w:rPr>
              <w:t>3.3.2 GARCH MODELS - GJR-GARCH</w:t>
            </w:r>
            <w:r>
              <w:rPr>
                <w:noProof/>
                <w:webHidden/>
              </w:rPr>
              <w:tab/>
            </w:r>
            <w:r>
              <w:rPr>
                <w:noProof/>
                <w:webHidden/>
              </w:rPr>
              <w:fldChar w:fldCharType="begin"/>
            </w:r>
            <w:r>
              <w:rPr>
                <w:noProof/>
                <w:webHidden/>
              </w:rPr>
              <w:instrText xml:space="preserve"> PAGEREF _Toc106747493 \h </w:instrText>
            </w:r>
            <w:r>
              <w:rPr>
                <w:noProof/>
                <w:webHidden/>
              </w:rPr>
            </w:r>
            <w:r>
              <w:rPr>
                <w:noProof/>
                <w:webHidden/>
              </w:rPr>
              <w:fldChar w:fldCharType="separate"/>
            </w:r>
            <w:r>
              <w:rPr>
                <w:noProof/>
                <w:webHidden/>
              </w:rPr>
              <w:t>11</w:t>
            </w:r>
            <w:r>
              <w:rPr>
                <w:noProof/>
                <w:webHidden/>
              </w:rPr>
              <w:fldChar w:fldCharType="end"/>
            </w:r>
          </w:hyperlink>
        </w:p>
        <w:p w14:paraId="7B9D2582" w14:textId="1573D7AA" w:rsidR="00040C9A" w:rsidRDefault="00040C9A">
          <w:pPr>
            <w:pStyle w:val="TOC1"/>
            <w:tabs>
              <w:tab w:val="right" w:leader="dot" w:pos="8608"/>
            </w:tabs>
            <w:rPr>
              <w:rFonts w:asciiTheme="minorHAnsi" w:eastAsiaTheme="minorEastAsia" w:hAnsiTheme="minorHAnsi"/>
              <w:noProof/>
              <w:sz w:val="22"/>
              <w:lang w:eastAsia="en-AU"/>
            </w:rPr>
          </w:pPr>
          <w:hyperlink w:anchor="_Toc106747494" w:history="1">
            <w:r w:rsidRPr="00EB24C0">
              <w:rPr>
                <w:rStyle w:val="Hyperlink"/>
                <w:noProof/>
              </w:rPr>
              <w:t>4.0 RESULTS</w:t>
            </w:r>
            <w:r>
              <w:rPr>
                <w:noProof/>
                <w:webHidden/>
              </w:rPr>
              <w:tab/>
            </w:r>
            <w:r>
              <w:rPr>
                <w:noProof/>
                <w:webHidden/>
              </w:rPr>
              <w:fldChar w:fldCharType="begin"/>
            </w:r>
            <w:r>
              <w:rPr>
                <w:noProof/>
                <w:webHidden/>
              </w:rPr>
              <w:instrText xml:space="preserve"> PAGEREF _Toc106747494 \h </w:instrText>
            </w:r>
            <w:r>
              <w:rPr>
                <w:noProof/>
                <w:webHidden/>
              </w:rPr>
            </w:r>
            <w:r>
              <w:rPr>
                <w:noProof/>
                <w:webHidden/>
              </w:rPr>
              <w:fldChar w:fldCharType="separate"/>
            </w:r>
            <w:r>
              <w:rPr>
                <w:noProof/>
                <w:webHidden/>
              </w:rPr>
              <w:t>15</w:t>
            </w:r>
            <w:r>
              <w:rPr>
                <w:noProof/>
                <w:webHidden/>
              </w:rPr>
              <w:fldChar w:fldCharType="end"/>
            </w:r>
          </w:hyperlink>
        </w:p>
        <w:p w14:paraId="56B4E0BD" w14:textId="2213AC40" w:rsidR="00040C9A" w:rsidRDefault="00040C9A">
          <w:pPr>
            <w:pStyle w:val="TOC1"/>
            <w:tabs>
              <w:tab w:val="right" w:leader="dot" w:pos="8608"/>
            </w:tabs>
            <w:rPr>
              <w:rFonts w:asciiTheme="minorHAnsi" w:eastAsiaTheme="minorEastAsia" w:hAnsiTheme="minorHAnsi"/>
              <w:noProof/>
              <w:sz w:val="22"/>
              <w:lang w:eastAsia="en-AU"/>
            </w:rPr>
          </w:pPr>
          <w:hyperlink w:anchor="_Toc106747495" w:history="1">
            <w:r w:rsidRPr="00EB24C0">
              <w:rPr>
                <w:rStyle w:val="Hyperlink"/>
                <w:noProof/>
              </w:rPr>
              <w:t>5.0 CHALLENGES AND FUTURE CONSIDERATIONS</w:t>
            </w:r>
            <w:r>
              <w:rPr>
                <w:noProof/>
                <w:webHidden/>
              </w:rPr>
              <w:tab/>
            </w:r>
            <w:r>
              <w:rPr>
                <w:noProof/>
                <w:webHidden/>
              </w:rPr>
              <w:fldChar w:fldCharType="begin"/>
            </w:r>
            <w:r>
              <w:rPr>
                <w:noProof/>
                <w:webHidden/>
              </w:rPr>
              <w:instrText xml:space="preserve"> PAGEREF _Toc106747495 \h </w:instrText>
            </w:r>
            <w:r>
              <w:rPr>
                <w:noProof/>
                <w:webHidden/>
              </w:rPr>
            </w:r>
            <w:r>
              <w:rPr>
                <w:noProof/>
                <w:webHidden/>
              </w:rPr>
              <w:fldChar w:fldCharType="separate"/>
            </w:r>
            <w:r>
              <w:rPr>
                <w:noProof/>
                <w:webHidden/>
              </w:rPr>
              <w:t>19</w:t>
            </w:r>
            <w:r>
              <w:rPr>
                <w:noProof/>
                <w:webHidden/>
              </w:rPr>
              <w:fldChar w:fldCharType="end"/>
            </w:r>
          </w:hyperlink>
        </w:p>
        <w:p w14:paraId="741E9DE1" w14:textId="230D5F4D" w:rsidR="00040C9A" w:rsidRDefault="00040C9A">
          <w:pPr>
            <w:pStyle w:val="TOC1"/>
            <w:tabs>
              <w:tab w:val="right" w:leader="dot" w:pos="8608"/>
            </w:tabs>
            <w:rPr>
              <w:rFonts w:asciiTheme="minorHAnsi" w:eastAsiaTheme="minorEastAsia" w:hAnsiTheme="minorHAnsi"/>
              <w:noProof/>
              <w:sz w:val="22"/>
              <w:lang w:eastAsia="en-AU"/>
            </w:rPr>
          </w:pPr>
          <w:hyperlink w:anchor="_Toc106747496" w:history="1">
            <w:r w:rsidRPr="00EB24C0">
              <w:rPr>
                <w:rStyle w:val="Hyperlink"/>
                <w:noProof/>
              </w:rPr>
              <w:t>5.0 CONCLUSION</w:t>
            </w:r>
            <w:r>
              <w:rPr>
                <w:noProof/>
                <w:webHidden/>
              </w:rPr>
              <w:tab/>
            </w:r>
            <w:r>
              <w:rPr>
                <w:noProof/>
                <w:webHidden/>
              </w:rPr>
              <w:fldChar w:fldCharType="begin"/>
            </w:r>
            <w:r>
              <w:rPr>
                <w:noProof/>
                <w:webHidden/>
              </w:rPr>
              <w:instrText xml:space="preserve"> PAGEREF _Toc106747496 \h </w:instrText>
            </w:r>
            <w:r>
              <w:rPr>
                <w:noProof/>
                <w:webHidden/>
              </w:rPr>
            </w:r>
            <w:r>
              <w:rPr>
                <w:noProof/>
                <w:webHidden/>
              </w:rPr>
              <w:fldChar w:fldCharType="separate"/>
            </w:r>
            <w:r>
              <w:rPr>
                <w:noProof/>
                <w:webHidden/>
              </w:rPr>
              <w:t>19</w:t>
            </w:r>
            <w:r>
              <w:rPr>
                <w:noProof/>
                <w:webHidden/>
              </w:rPr>
              <w:fldChar w:fldCharType="end"/>
            </w:r>
          </w:hyperlink>
        </w:p>
        <w:p w14:paraId="559BBE2B" w14:textId="2A2E3C87" w:rsidR="00040C9A" w:rsidRDefault="00040C9A">
          <w:pPr>
            <w:pStyle w:val="TOC1"/>
            <w:tabs>
              <w:tab w:val="right" w:leader="dot" w:pos="8608"/>
            </w:tabs>
            <w:rPr>
              <w:rFonts w:asciiTheme="minorHAnsi" w:eastAsiaTheme="minorEastAsia" w:hAnsiTheme="minorHAnsi"/>
              <w:noProof/>
              <w:sz w:val="22"/>
              <w:lang w:eastAsia="en-AU"/>
            </w:rPr>
          </w:pPr>
          <w:hyperlink w:anchor="_Toc106747497" w:history="1">
            <w:r w:rsidRPr="00EB24C0">
              <w:rPr>
                <w:rStyle w:val="Hyperlink"/>
                <w:noProof/>
              </w:rPr>
              <w:t>REFERENCES</w:t>
            </w:r>
            <w:r>
              <w:rPr>
                <w:noProof/>
                <w:webHidden/>
              </w:rPr>
              <w:tab/>
            </w:r>
            <w:r>
              <w:rPr>
                <w:noProof/>
                <w:webHidden/>
              </w:rPr>
              <w:fldChar w:fldCharType="begin"/>
            </w:r>
            <w:r>
              <w:rPr>
                <w:noProof/>
                <w:webHidden/>
              </w:rPr>
              <w:instrText xml:space="preserve"> PAGEREF _Toc106747497 \h </w:instrText>
            </w:r>
            <w:r>
              <w:rPr>
                <w:noProof/>
                <w:webHidden/>
              </w:rPr>
            </w:r>
            <w:r>
              <w:rPr>
                <w:noProof/>
                <w:webHidden/>
              </w:rPr>
              <w:fldChar w:fldCharType="separate"/>
            </w:r>
            <w:r>
              <w:rPr>
                <w:noProof/>
                <w:webHidden/>
              </w:rPr>
              <w:t>20</w:t>
            </w:r>
            <w:r>
              <w:rPr>
                <w:noProof/>
                <w:webHidden/>
              </w:rPr>
              <w:fldChar w:fldCharType="end"/>
            </w:r>
          </w:hyperlink>
        </w:p>
        <w:p w14:paraId="01BDE77A" w14:textId="52DB5428" w:rsidR="008E2469" w:rsidRPr="00025ABB" w:rsidRDefault="008E2469" w:rsidP="008E2469">
          <w:pPr>
            <w:ind w:firstLine="0"/>
            <w:rPr>
              <w:b/>
              <w:bCs/>
              <w:noProof/>
              <w:sz w:val="20"/>
              <w:szCs w:val="20"/>
            </w:rPr>
          </w:pPr>
          <w:r w:rsidRPr="00025ABB">
            <w:rPr>
              <w:b/>
              <w:bCs/>
              <w:noProof/>
              <w:sz w:val="20"/>
              <w:szCs w:val="20"/>
            </w:rPr>
            <w:fldChar w:fldCharType="end"/>
          </w:r>
        </w:p>
        <w:p w14:paraId="473F4A94" w14:textId="645C342E" w:rsidR="001426CD" w:rsidRPr="00025ABB" w:rsidRDefault="001426CD">
          <w:pPr>
            <w:pStyle w:val="TableofFigures"/>
            <w:tabs>
              <w:tab w:val="right" w:leader="dot" w:pos="8608"/>
            </w:tabs>
            <w:rPr>
              <w:noProof/>
              <w:sz w:val="20"/>
              <w:szCs w:val="20"/>
            </w:rPr>
          </w:pPr>
          <w:r w:rsidRPr="00025ABB">
            <w:rPr>
              <w:sz w:val="20"/>
              <w:szCs w:val="20"/>
            </w:rPr>
            <w:fldChar w:fldCharType="begin"/>
          </w:r>
          <w:r w:rsidRPr="00025ABB">
            <w:rPr>
              <w:sz w:val="20"/>
              <w:szCs w:val="20"/>
            </w:rPr>
            <w:instrText xml:space="preserve"> TOC \h \z \c "Figure" </w:instrText>
          </w:r>
          <w:r w:rsidRPr="00025ABB">
            <w:rPr>
              <w:sz w:val="20"/>
              <w:szCs w:val="20"/>
            </w:rPr>
            <w:fldChar w:fldCharType="separate"/>
          </w:r>
          <w:hyperlink w:anchor="_Toc106716437" w:history="1">
            <w:r w:rsidRPr="00025ABB">
              <w:rPr>
                <w:rStyle w:val="Hyperlink"/>
                <w:noProof/>
                <w:sz w:val="20"/>
                <w:szCs w:val="20"/>
              </w:rPr>
              <w:t>Figure 3.1: Scatter Plot Share of Equity Issuances vs Returns</w:t>
            </w:r>
            <w:r w:rsidRPr="00025ABB">
              <w:rPr>
                <w:noProof/>
                <w:webHidden/>
                <w:sz w:val="20"/>
                <w:szCs w:val="20"/>
              </w:rPr>
              <w:tab/>
            </w:r>
            <w:r w:rsidRPr="00025ABB">
              <w:rPr>
                <w:noProof/>
                <w:webHidden/>
                <w:sz w:val="20"/>
                <w:szCs w:val="20"/>
              </w:rPr>
              <w:fldChar w:fldCharType="begin"/>
            </w:r>
            <w:r w:rsidRPr="00025ABB">
              <w:rPr>
                <w:noProof/>
                <w:webHidden/>
                <w:sz w:val="20"/>
                <w:szCs w:val="20"/>
              </w:rPr>
              <w:instrText xml:space="preserve"> PAGEREF _Toc106716437 \h </w:instrText>
            </w:r>
            <w:r w:rsidRPr="00025ABB">
              <w:rPr>
                <w:noProof/>
                <w:webHidden/>
                <w:sz w:val="20"/>
                <w:szCs w:val="20"/>
              </w:rPr>
            </w:r>
            <w:r w:rsidRPr="00025ABB">
              <w:rPr>
                <w:noProof/>
                <w:webHidden/>
                <w:sz w:val="20"/>
                <w:szCs w:val="20"/>
              </w:rPr>
              <w:fldChar w:fldCharType="separate"/>
            </w:r>
            <w:r w:rsidRPr="00025ABB">
              <w:rPr>
                <w:noProof/>
                <w:webHidden/>
                <w:sz w:val="20"/>
                <w:szCs w:val="20"/>
              </w:rPr>
              <w:t>11</w:t>
            </w:r>
            <w:r w:rsidRPr="00025ABB">
              <w:rPr>
                <w:noProof/>
                <w:webHidden/>
                <w:sz w:val="20"/>
                <w:szCs w:val="20"/>
              </w:rPr>
              <w:fldChar w:fldCharType="end"/>
            </w:r>
          </w:hyperlink>
        </w:p>
        <w:p w14:paraId="621CF4C4" w14:textId="3B7FFA2F" w:rsidR="001426CD" w:rsidRPr="00025ABB" w:rsidRDefault="001426CD">
          <w:pPr>
            <w:pStyle w:val="TableofFigures"/>
            <w:tabs>
              <w:tab w:val="right" w:leader="dot" w:pos="8608"/>
            </w:tabs>
            <w:rPr>
              <w:noProof/>
              <w:sz w:val="20"/>
              <w:szCs w:val="20"/>
            </w:rPr>
          </w:pPr>
          <w:hyperlink w:anchor="_Toc106716438" w:history="1">
            <w:r w:rsidRPr="00025ABB">
              <w:rPr>
                <w:rStyle w:val="Hyperlink"/>
                <w:noProof/>
                <w:sz w:val="20"/>
                <w:szCs w:val="20"/>
              </w:rPr>
              <w:t>Figure 3.2: Share of Equity Issuances Line Chart</w:t>
            </w:r>
            <w:r w:rsidRPr="00025ABB">
              <w:rPr>
                <w:noProof/>
                <w:webHidden/>
                <w:sz w:val="20"/>
                <w:szCs w:val="20"/>
              </w:rPr>
              <w:tab/>
            </w:r>
            <w:r w:rsidRPr="00025ABB">
              <w:rPr>
                <w:noProof/>
                <w:webHidden/>
                <w:sz w:val="20"/>
                <w:szCs w:val="20"/>
              </w:rPr>
              <w:fldChar w:fldCharType="begin"/>
            </w:r>
            <w:r w:rsidRPr="00025ABB">
              <w:rPr>
                <w:noProof/>
                <w:webHidden/>
                <w:sz w:val="20"/>
                <w:szCs w:val="20"/>
              </w:rPr>
              <w:instrText xml:space="preserve"> PAGEREF _Toc106716438 \h </w:instrText>
            </w:r>
            <w:r w:rsidRPr="00025ABB">
              <w:rPr>
                <w:noProof/>
                <w:webHidden/>
                <w:sz w:val="20"/>
                <w:szCs w:val="20"/>
              </w:rPr>
            </w:r>
            <w:r w:rsidRPr="00025ABB">
              <w:rPr>
                <w:noProof/>
                <w:webHidden/>
                <w:sz w:val="20"/>
                <w:szCs w:val="20"/>
              </w:rPr>
              <w:fldChar w:fldCharType="separate"/>
            </w:r>
            <w:r w:rsidRPr="00025ABB">
              <w:rPr>
                <w:noProof/>
                <w:webHidden/>
                <w:sz w:val="20"/>
                <w:szCs w:val="20"/>
              </w:rPr>
              <w:t>12</w:t>
            </w:r>
            <w:r w:rsidRPr="00025ABB">
              <w:rPr>
                <w:noProof/>
                <w:webHidden/>
                <w:sz w:val="20"/>
                <w:szCs w:val="20"/>
              </w:rPr>
              <w:fldChar w:fldCharType="end"/>
            </w:r>
          </w:hyperlink>
        </w:p>
        <w:p w14:paraId="0BE6FDB7" w14:textId="4B2C8772" w:rsidR="001426CD" w:rsidRPr="00025ABB" w:rsidRDefault="001426CD">
          <w:pPr>
            <w:pStyle w:val="TableofFigures"/>
            <w:tabs>
              <w:tab w:val="right" w:leader="dot" w:pos="8608"/>
            </w:tabs>
            <w:rPr>
              <w:noProof/>
              <w:sz w:val="20"/>
              <w:szCs w:val="20"/>
            </w:rPr>
          </w:pPr>
          <w:hyperlink w:anchor="_Toc106716439" w:history="1">
            <w:r w:rsidRPr="00025ABB">
              <w:rPr>
                <w:rStyle w:val="Hyperlink"/>
                <w:noProof/>
                <w:sz w:val="20"/>
                <w:szCs w:val="20"/>
              </w:rPr>
              <w:t>Figure 3.3: Relationship Between Trade Volume and VIX</w:t>
            </w:r>
            <w:r w:rsidRPr="00025ABB">
              <w:rPr>
                <w:noProof/>
                <w:webHidden/>
                <w:sz w:val="20"/>
                <w:szCs w:val="20"/>
              </w:rPr>
              <w:tab/>
            </w:r>
            <w:r w:rsidRPr="00025ABB">
              <w:rPr>
                <w:noProof/>
                <w:webHidden/>
                <w:sz w:val="20"/>
                <w:szCs w:val="20"/>
              </w:rPr>
              <w:fldChar w:fldCharType="begin"/>
            </w:r>
            <w:r w:rsidRPr="00025ABB">
              <w:rPr>
                <w:noProof/>
                <w:webHidden/>
                <w:sz w:val="20"/>
                <w:szCs w:val="20"/>
              </w:rPr>
              <w:instrText xml:space="preserve"> PAGEREF _Toc106716439 \h </w:instrText>
            </w:r>
            <w:r w:rsidRPr="00025ABB">
              <w:rPr>
                <w:noProof/>
                <w:webHidden/>
                <w:sz w:val="20"/>
                <w:szCs w:val="20"/>
              </w:rPr>
            </w:r>
            <w:r w:rsidRPr="00025ABB">
              <w:rPr>
                <w:noProof/>
                <w:webHidden/>
                <w:sz w:val="20"/>
                <w:szCs w:val="20"/>
              </w:rPr>
              <w:fldChar w:fldCharType="separate"/>
            </w:r>
            <w:r w:rsidRPr="00025ABB">
              <w:rPr>
                <w:noProof/>
                <w:webHidden/>
                <w:sz w:val="20"/>
                <w:szCs w:val="20"/>
              </w:rPr>
              <w:t>13</w:t>
            </w:r>
            <w:r w:rsidRPr="00025ABB">
              <w:rPr>
                <w:noProof/>
                <w:webHidden/>
                <w:sz w:val="20"/>
                <w:szCs w:val="20"/>
              </w:rPr>
              <w:fldChar w:fldCharType="end"/>
            </w:r>
          </w:hyperlink>
        </w:p>
        <w:p w14:paraId="37A00848" w14:textId="7E3331F2" w:rsidR="001426CD" w:rsidRPr="00025ABB" w:rsidRDefault="001426CD">
          <w:pPr>
            <w:pStyle w:val="TableofFigures"/>
            <w:tabs>
              <w:tab w:val="right" w:leader="dot" w:pos="8608"/>
            </w:tabs>
            <w:rPr>
              <w:noProof/>
              <w:sz w:val="20"/>
              <w:szCs w:val="20"/>
            </w:rPr>
          </w:pPr>
          <w:hyperlink w:anchor="_Toc106716440" w:history="1">
            <w:r w:rsidRPr="00025ABB">
              <w:rPr>
                <w:rStyle w:val="Hyperlink"/>
                <w:noProof/>
                <w:sz w:val="20"/>
                <w:szCs w:val="20"/>
              </w:rPr>
              <w:t>Figure 3.4: Plot of first log difference of VIX Index</w:t>
            </w:r>
            <w:r w:rsidRPr="00025ABB">
              <w:rPr>
                <w:noProof/>
                <w:webHidden/>
                <w:sz w:val="20"/>
                <w:szCs w:val="20"/>
              </w:rPr>
              <w:tab/>
            </w:r>
            <w:r w:rsidRPr="00025ABB">
              <w:rPr>
                <w:noProof/>
                <w:webHidden/>
                <w:sz w:val="20"/>
                <w:szCs w:val="20"/>
              </w:rPr>
              <w:fldChar w:fldCharType="begin"/>
            </w:r>
            <w:r w:rsidRPr="00025ABB">
              <w:rPr>
                <w:noProof/>
                <w:webHidden/>
                <w:sz w:val="20"/>
                <w:szCs w:val="20"/>
              </w:rPr>
              <w:instrText xml:space="preserve"> PAGEREF _Toc106716440 \h </w:instrText>
            </w:r>
            <w:r w:rsidRPr="00025ABB">
              <w:rPr>
                <w:noProof/>
                <w:webHidden/>
                <w:sz w:val="20"/>
                <w:szCs w:val="20"/>
              </w:rPr>
            </w:r>
            <w:r w:rsidRPr="00025ABB">
              <w:rPr>
                <w:noProof/>
                <w:webHidden/>
                <w:sz w:val="20"/>
                <w:szCs w:val="20"/>
              </w:rPr>
              <w:fldChar w:fldCharType="separate"/>
            </w:r>
            <w:r w:rsidRPr="00025ABB">
              <w:rPr>
                <w:noProof/>
                <w:webHidden/>
                <w:sz w:val="20"/>
                <w:szCs w:val="20"/>
              </w:rPr>
              <w:t>18</w:t>
            </w:r>
            <w:r w:rsidRPr="00025ABB">
              <w:rPr>
                <w:noProof/>
                <w:webHidden/>
                <w:sz w:val="20"/>
                <w:szCs w:val="20"/>
              </w:rPr>
              <w:fldChar w:fldCharType="end"/>
            </w:r>
          </w:hyperlink>
        </w:p>
        <w:p w14:paraId="116A91D8" w14:textId="3F219A70" w:rsidR="001426CD" w:rsidRPr="00025ABB" w:rsidRDefault="001426CD">
          <w:pPr>
            <w:pStyle w:val="TableofFigures"/>
            <w:tabs>
              <w:tab w:val="right" w:leader="dot" w:pos="8608"/>
            </w:tabs>
            <w:rPr>
              <w:noProof/>
              <w:sz w:val="20"/>
              <w:szCs w:val="20"/>
            </w:rPr>
          </w:pPr>
          <w:hyperlink w:anchor="_Toc106716441" w:history="1">
            <w:r w:rsidRPr="00025ABB">
              <w:rPr>
                <w:rStyle w:val="Hyperlink"/>
                <w:noProof/>
                <w:sz w:val="20"/>
                <w:szCs w:val="20"/>
              </w:rPr>
              <w:t>Figure 3.5: Plot of S&amp;P500 Returns</w:t>
            </w:r>
            <w:r w:rsidRPr="00025ABB">
              <w:rPr>
                <w:noProof/>
                <w:webHidden/>
                <w:sz w:val="20"/>
                <w:szCs w:val="20"/>
              </w:rPr>
              <w:tab/>
            </w:r>
            <w:r w:rsidRPr="00025ABB">
              <w:rPr>
                <w:noProof/>
                <w:webHidden/>
                <w:sz w:val="20"/>
                <w:szCs w:val="20"/>
              </w:rPr>
              <w:fldChar w:fldCharType="begin"/>
            </w:r>
            <w:r w:rsidRPr="00025ABB">
              <w:rPr>
                <w:noProof/>
                <w:webHidden/>
                <w:sz w:val="20"/>
                <w:szCs w:val="20"/>
              </w:rPr>
              <w:instrText xml:space="preserve"> PAGEREF _Toc106716441 \h </w:instrText>
            </w:r>
            <w:r w:rsidRPr="00025ABB">
              <w:rPr>
                <w:noProof/>
                <w:webHidden/>
                <w:sz w:val="20"/>
                <w:szCs w:val="20"/>
              </w:rPr>
            </w:r>
            <w:r w:rsidRPr="00025ABB">
              <w:rPr>
                <w:noProof/>
                <w:webHidden/>
                <w:sz w:val="20"/>
                <w:szCs w:val="20"/>
              </w:rPr>
              <w:fldChar w:fldCharType="separate"/>
            </w:r>
            <w:r w:rsidRPr="00025ABB">
              <w:rPr>
                <w:noProof/>
                <w:webHidden/>
                <w:sz w:val="20"/>
                <w:szCs w:val="20"/>
              </w:rPr>
              <w:t>19</w:t>
            </w:r>
            <w:r w:rsidRPr="00025ABB">
              <w:rPr>
                <w:noProof/>
                <w:webHidden/>
                <w:sz w:val="20"/>
                <w:szCs w:val="20"/>
              </w:rPr>
              <w:fldChar w:fldCharType="end"/>
            </w:r>
          </w:hyperlink>
        </w:p>
        <w:p w14:paraId="2A6AA551" w14:textId="0CFAFD0F" w:rsidR="00E805F2" w:rsidRPr="00025ABB" w:rsidRDefault="001426CD" w:rsidP="00025ABB">
          <w:pPr>
            <w:rPr>
              <w:sz w:val="20"/>
              <w:szCs w:val="20"/>
            </w:rPr>
          </w:pPr>
          <w:r w:rsidRPr="00025ABB">
            <w:rPr>
              <w:sz w:val="20"/>
              <w:szCs w:val="20"/>
            </w:rPr>
            <w:fldChar w:fldCharType="end"/>
          </w:r>
          <w:r w:rsidRPr="00025ABB">
            <w:rPr>
              <w:sz w:val="20"/>
              <w:szCs w:val="20"/>
            </w:rPr>
            <w:fldChar w:fldCharType="begin"/>
          </w:r>
          <w:r w:rsidRPr="00025ABB">
            <w:rPr>
              <w:sz w:val="20"/>
              <w:szCs w:val="20"/>
            </w:rPr>
            <w:instrText xml:space="preserve"> TOC \h \z \c "Table" </w:instrText>
          </w:r>
          <w:r w:rsidRPr="00025ABB">
            <w:rPr>
              <w:sz w:val="20"/>
              <w:szCs w:val="20"/>
            </w:rPr>
            <w:fldChar w:fldCharType="separate"/>
          </w:r>
          <w:hyperlink w:anchor="_Toc106716790" w:history="1">
            <w:r w:rsidR="00E805F2" w:rsidRPr="00025ABB">
              <w:rPr>
                <w:rStyle w:val="Hyperlink"/>
                <w:noProof/>
                <w:sz w:val="20"/>
                <w:szCs w:val="20"/>
              </w:rPr>
              <w:t>Table 3.1: Showing Serial Correlation Test</w:t>
            </w:r>
            <w:r w:rsidR="00E805F2" w:rsidRPr="00025ABB">
              <w:rPr>
                <w:noProof/>
                <w:webHidden/>
                <w:sz w:val="20"/>
                <w:szCs w:val="20"/>
              </w:rPr>
              <w:tab/>
            </w:r>
            <w:r w:rsidR="00E805F2" w:rsidRPr="00025ABB">
              <w:rPr>
                <w:noProof/>
                <w:webHidden/>
                <w:sz w:val="20"/>
                <w:szCs w:val="20"/>
              </w:rPr>
              <w:fldChar w:fldCharType="begin"/>
            </w:r>
            <w:r w:rsidR="00E805F2" w:rsidRPr="00025ABB">
              <w:rPr>
                <w:noProof/>
                <w:webHidden/>
                <w:sz w:val="20"/>
                <w:szCs w:val="20"/>
              </w:rPr>
              <w:instrText xml:space="preserve"> PAGEREF _Toc106716790 \h </w:instrText>
            </w:r>
            <w:r w:rsidR="00E805F2" w:rsidRPr="00025ABB">
              <w:rPr>
                <w:noProof/>
                <w:webHidden/>
                <w:sz w:val="20"/>
                <w:szCs w:val="20"/>
              </w:rPr>
            </w:r>
            <w:r w:rsidR="00E805F2" w:rsidRPr="00025ABB">
              <w:rPr>
                <w:noProof/>
                <w:webHidden/>
                <w:sz w:val="20"/>
                <w:szCs w:val="20"/>
              </w:rPr>
              <w:fldChar w:fldCharType="separate"/>
            </w:r>
            <w:r w:rsidR="00E805F2" w:rsidRPr="00025ABB">
              <w:rPr>
                <w:noProof/>
                <w:webHidden/>
                <w:sz w:val="20"/>
                <w:szCs w:val="20"/>
              </w:rPr>
              <w:t>16</w:t>
            </w:r>
            <w:r w:rsidR="00E805F2" w:rsidRPr="00025ABB">
              <w:rPr>
                <w:noProof/>
                <w:webHidden/>
                <w:sz w:val="20"/>
                <w:szCs w:val="20"/>
              </w:rPr>
              <w:fldChar w:fldCharType="end"/>
            </w:r>
          </w:hyperlink>
        </w:p>
        <w:p w14:paraId="7BD666F0" w14:textId="5854D098" w:rsidR="00DE51DE" w:rsidRPr="00DE51DE" w:rsidRDefault="001426CD" w:rsidP="00DE51DE">
          <w:pPr>
            <w:ind w:firstLine="0"/>
            <w:rPr>
              <w:sz w:val="22"/>
              <w:szCs w:val="20"/>
            </w:rPr>
          </w:pPr>
          <w:r w:rsidRPr="00025ABB">
            <w:rPr>
              <w:sz w:val="20"/>
              <w:szCs w:val="20"/>
            </w:rPr>
            <w:fldChar w:fldCharType="end"/>
          </w:r>
        </w:p>
      </w:sdtContent>
    </w:sdt>
    <w:p w14:paraId="504C7C3C" w14:textId="158B3312" w:rsidR="00DE51DE" w:rsidRDefault="00DE51DE" w:rsidP="00DE51DE"/>
    <w:p w14:paraId="1833084B" w14:textId="78D1E08C" w:rsidR="00DE51DE" w:rsidRDefault="00DE51DE" w:rsidP="00DE51DE"/>
    <w:p w14:paraId="26A0655E" w14:textId="725D84D0" w:rsidR="00DE51DE" w:rsidRDefault="00DE51DE" w:rsidP="00DE51DE"/>
    <w:p w14:paraId="08BD0C36" w14:textId="701BF509" w:rsidR="00DE51DE" w:rsidRDefault="00DE51DE" w:rsidP="00DE51DE"/>
    <w:p w14:paraId="7B94585F" w14:textId="46979E97" w:rsidR="001426CD" w:rsidRDefault="001426CD" w:rsidP="00DE51DE"/>
    <w:p w14:paraId="41ABE44B" w14:textId="0F18B8E3" w:rsidR="001426CD" w:rsidRDefault="001426CD" w:rsidP="00DE51DE"/>
    <w:p w14:paraId="42799F9A" w14:textId="3BF1CDB0" w:rsidR="001426CD" w:rsidRDefault="001426CD" w:rsidP="00DE51DE"/>
    <w:p w14:paraId="466C9D92" w14:textId="2AA0881B" w:rsidR="001426CD" w:rsidRDefault="001426CD" w:rsidP="00DE51DE"/>
    <w:p w14:paraId="6B923EBC" w14:textId="7434F75C" w:rsidR="001426CD" w:rsidRDefault="001426CD" w:rsidP="00DE51DE"/>
    <w:p w14:paraId="2F027CAF" w14:textId="19640720" w:rsidR="001426CD" w:rsidRDefault="001426CD" w:rsidP="00DE51DE"/>
    <w:p w14:paraId="2D72186A" w14:textId="52A994D6" w:rsidR="001426CD" w:rsidRDefault="001426CD" w:rsidP="00DE51DE"/>
    <w:p w14:paraId="4EBFB367" w14:textId="7D1B0BD9" w:rsidR="001426CD" w:rsidRDefault="001426CD" w:rsidP="00DE51DE"/>
    <w:p w14:paraId="11A2822A" w14:textId="6F04D67C" w:rsidR="001426CD" w:rsidRDefault="001426CD" w:rsidP="00DE51DE"/>
    <w:p w14:paraId="27A5513A" w14:textId="0A256661" w:rsidR="001426CD" w:rsidRDefault="001426CD" w:rsidP="00DE51DE"/>
    <w:p w14:paraId="57D54EFC" w14:textId="148984BC" w:rsidR="001426CD" w:rsidRDefault="001426CD" w:rsidP="00DE51DE"/>
    <w:p w14:paraId="7AB5E321" w14:textId="417E27E8" w:rsidR="001426CD" w:rsidRDefault="001426CD" w:rsidP="00DE51DE"/>
    <w:p w14:paraId="1FCDBDE2" w14:textId="042862CB" w:rsidR="001426CD" w:rsidRDefault="001426CD" w:rsidP="00DE51DE"/>
    <w:p w14:paraId="1C62C8A9" w14:textId="0232EB7D" w:rsidR="001426CD" w:rsidRDefault="001426CD" w:rsidP="00DE51DE"/>
    <w:p w14:paraId="7680C33E" w14:textId="4CC47468" w:rsidR="001426CD" w:rsidRDefault="001426CD" w:rsidP="00DE51DE"/>
    <w:p w14:paraId="27B2A9F3" w14:textId="16E0B222" w:rsidR="001426CD" w:rsidRDefault="001426CD" w:rsidP="00DE51DE"/>
    <w:p w14:paraId="451E809E" w14:textId="647C45F0" w:rsidR="001426CD" w:rsidRDefault="001426CD" w:rsidP="00DE51DE"/>
    <w:p w14:paraId="709301A3" w14:textId="77777777" w:rsidR="001426CD" w:rsidRDefault="001426CD" w:rsidP="00DE51DE"/>
    <w:p w14:paraId="3D8E17F4" w14:textId="77777777" w:rsidR="009456E3" w:rsidRDefault="009456E3" w:rsidP="00DE51DE">
      <w:pPr>
        <w:pStyle w:val="Heading1"/>
        <w:numPr>
          <w:ilvl w:val="0"/>
          <w:numId w:val="3"/>
        </w:numPr>
        <w:rPr>
          <w:sz w:val="36"/>
          <w:szCs w:val="28"/>
        </w:rPr>
      </w:pPr>
      <w:r>
        <w:rPr>
          <w:sz w:val="36"/>
          <w:szCs w:val="28"/>
        </w:rPr>
        <w:lastRenderedPageBreak/>
        <w:br w:type="page"/>
      </w:r>
    </w:p>
    <w:p w14:paraId="4C9F0695" w14:textId="77777777" w:rsidR="009456E3" w:rsidRDefault="009456E3" w:rsidP="00DE51DE">
      <w:pPr>
        <w:pStyle w:val="Heading1"/>
        <w:numPr>
          <w:ilvl w:val="0"/>
          <w:numId w:val="3"/>
        </w:numPr>
        <w:rPr>
          <w:sz w:val="36"/>
          <w:szCs w:val="28"/>
        </w:rPr>
        <w:sectPr w:rsidR="009456E3" w:rsidSect="009456E3">
          <w:footerReference w:type="default" r:id="rId8"/>
          <w:pgSz w:w="11906" w:h="16838"/>
          <w:pgMar w:top="1191" w:right="1474" w:bottom="1191" w:left="1814" w:header="709" w:footer="709" w:gutter="0"/>
          <w:pgNumType w:fmt="lowerRoman"/>
          <w:cols w:space="708"/>
          <w:docGrid w:linePitch="360"/>
        </w:sectPr>
      </w:pPr>
    </w:p>
    <w:p w14:paraId="0873828E" w14:textId="2C58777C" w:rsidR="00DE51DE" w:rsidRPr="00DE51DE" w:rsidRDefault="00DE51DE" w:rsidP="001326C0">
      <w:pPr>
        <w:pStyle w:val="Heading1"/>
        <w:numPr>
          <w:ilvl w:val="0"/>
          <w:numId w:val="4"/>
        </w:numPr>
        <w:rPr>
          <w:sz w:val="36"/>
          <w:szCs w:val="28"/>
        </w:rPr>
      </w:pPr>
      <w:bookmarkStart w:id="2" w:name="_Toc106747476"/>
      <w:r w:rsidRPr="00471EEE">
        <w:rPr>
          <w:sz w:val="36"/>
          <w:szCs w:val="28"/>
        </w:rPr>
        <w:lastRenderedPageBreak/>
        <w:t>INTRODUCTION</w:t>
      </w:r>
      <w:bookmarkEnd w:id="2"/>
    </w:p>
    <w:p w14:paraId="04E8001A" w14:textId="0DBE58CF" w:rsidR="00D17241" w:rsidRPr="00471EEE" w:rsidRDefault="00D17241" w:rsidP="005217A4">
      <w:pPr>
        <w:rPr>
          <w:sz w:val="22"/>
          <w:szCs w:val="20"/>
        </w:rPr>
      </w:pPr>
      <w:r w:rsidRPr="00471EEE">
        <w:rPr>
          <w:sz w:val="22"/>
          <w:szCs w:val="20"/>
        </w:rPr>
        <w:t>On March 10 2020, the WHO officially declared that the world was in a state of a global pandemic</w:t>
      </w:r>
      <w:r w:rsidR="00AF0582">
        <w:rPr>
          <w:sz w:val="22"/>
          <w:szCs w:val="20"/>
        </w:rPr>
        <w:t xml:space="preserve"> (REGULY 2020)</w:t>
      </w:r>
      <w:r w:rsidRPr="00471EEE">
        <w:rPr>
          <w:sz w:val="22"/>
          <w:szCs w:val="20"/>
        </w:rPr>
        <w:t xml:space="preserve">. Over the next two years there would be fluctuations in the stock market due to global policies adopted in reaction to the covid -19 pandemic. </w:t>
      </w:r>
      <w:r w:rsidR="007A579C">
        <w:rPr>
          <w:sz w:val="22"/>
          <w:szCs w:val="20"/>
        </w:rPr>
        <w:t>Two</w:t>
      </w:r>
      <w:r w:rsidRPr="00471EEE">
        <w:rPr>
          <w:sz w:val="22"/>
          <w:szCs w:val="20"/>
        </w:rPr>
        <w:t xml:space="preserve"> and a half years in, as the effects of pandemic measures continue to persist, and most countries having not yet officially declared endemic status, we faced a new crisis on the 24th of February 2022 when Russia invaded Ukraine, pushing commodity prices higher and causing massive inflation in many parts of the world</w:t>
      </w:r>
      <w:r w:rsidR="00BB7426">
        <w:rPr>
          <w:sz w:val="22"/>
          <w:szCs w:val="20"/>
        </w:rPr>
        <w:t xml:space="preserve"> (</w:t>
      </w:r>
      <w:r w:rsidR="00BB7426" w:rsidRPr="00BB7426">
        <w:rPr>
          <w:sz w:val="22"/>
          <w:szCs w:val="20"/>
        </w:rPr>
        <w:t>MCNEILL</w:t>
      </w:r>
      <w:r w:rsidR="00BB7426">
        <w:rPr>
          <w:sz w:val="22"/>
          <w:szCs w:val="20"/>
        </w:rPr>
        <w:t xml:space="preserve"> 2022)</w:t>
      </w:r>
      <w:r w:rsidRPr="00471EEE">
        <w:rPr>
          <w:sz w:val="22"/>
          <w:szCs w:val="20"/>
        </w:rPr>
        <w:t>. The two events offer an opportunity to look at the relationship between volatility of the market and its effects on stock returns.</w:t>
      </w:r>
    </w:p>
    <w:p w14:paraId="67A4130B" w14:textId="4FB3CFB8" w:rsidR="00F964DF" w:rsidRPr="00471EEE" w:rsidRDefault="0065043F" w:rsidP="005217A4">
      <w:pPr>
        <w:rPr>
          <w:sz w:val="22"/>
          <w:szCs w:val="20"/>
        </w:rPr>
      </w:pPr>
      <w:r w:rsidRPr="00471EEE">
        <w:rPr>
          <w:sz w:val="22"/>
          <w:szCs w:val="20"/>
        </w:rPr>
        <w:t>To our knowledge, t</w:t>
      </w:r>
      <w:r w:rsidR="00F964DF" w:rsidRPr="00471EEE">
        <w:rPr>
          <w:sz w:val="22"/>
          <w:szCs w:val="20"/>
        </w:rPr>
        <w:t>here has been very little research aimed at observing the hedging properties of VIX by looking at the spill over effects of the index on S&amp;P500 during the recent two crises. It may be intuitive to suggest that market factors that have been highlighted to affect implied volatility in VIX may also affect S&amp;P500 returns. Our research aims to explore this idea in hopes of finding an opposing relationship in their reactions and whether the interaction between VIX and S&amp;P500 returns can remain persistent enough to provide a predictable relationship in the case of the Russia-Ukraine conflict and the COVID-19 pandemic</w:t>
      </w:r>
      <w:r w:rsidR="004711E2">
        <w:rPr>
          <w:sz w:val="22"/>
          <w:szCs w:val="20"/>
        </w:rPr>
        <w:t xml:space="preserve"> that can provide hedging potential</w:t>
      </w:r>
      <w:r w:rsidR="00F964DF" w:rsidRPr="00471EEE">
        <w:rPr>
          <w:sz w:val="22"/>
          <w:szCs w:val="20"/>
        </w:rPr>
        <w:t>.</w:t>
      </w:r>
    </w:p>
    <w:p w14:paraId="6F7E0532" w14:textId="7F8A2D97" w:rsidR="00245657" w:rsidRPr="00471EEE" w:rsidRDefault="00C61756" w:rsidP="00C61756">
      <w:pPr>
        <w:pStyle w:val="Heading1"/>
        <w:rPr>
          <w:sz w:val="36"/>
          <w:szCs w:val="28"/>
        </w:rPr>
      </w:pPr>
      <w:bookmarkStart w:id="3" w:name="_Toc106747477"/>
      <w:r w:rsidRPr="00471EEE">
        <w:rPr>
          <w:sz w:val="36"/>
          <w:szCs w:val="28"/>
        </w:rPr>
        <w:t>2.0 LITERATURE REVIEW</w:t>
      </w:r>
      <w:bookmarkEnd w:id="3"/>
    </w:p>
    <w:p w14:paraId="1A487024" w14:textId="52ADF94A" w:rsidR="004636D6" w:rsidRPr="00471EEE" w:rsidRDefault="00761FF4" w:rsidP="00881D79">
      <w:pPr>
        <w:rPr>
          <w:sz w:val="22"/>
          <w:szCs w:val="20"/>
        </w:rPr>
      </w:pPr>
      <w:r w:rsidRPr="00471EEE">
        <w:rPr>
          <w:sz w:val="22"/>
          <w:szCs w:val="20"/>
        </w:rPr>
        <w:t xml:space="preserve">Smales (2017) </w:t>
      </w:r>
      <w:r w:rsidR="00450448" w:rsidRPr="00471EEE">
        <w:rPr>
          <w:sz w:val="22"/>
          <w:szCs w:val="20"/>
        </w:rPr>
        <w:t>believes</w:t>
      </w:r>
      <w:r w:rsidR="009834BB" w:rsidRPr="00471EEE">
        <w:rPr>
          <w:sz w:val="22"/>
          <w:szCs w:val="20"/>
        </w:rPr>
        <w:t xml:space="preserve"> implied volatility (VIX) </w:t>
      </w:r>
      <w:r w:rsidR="00B8487B" w:rsidRPr="00471EEE">
        <w:rPr>
          <w:sz w:val="22"/>
          <w:szCs w:val="20"/>
        </w:rPr>
        <w:t xml:space="preserve">to be </w:t>
      </w:r>
      <w:r w:rsidR="009834BB" w:rsidRPr="00471EEE">
        <w:rPr>
          <w:sz w:val="22"/>
          <w:szCs w:val="20"/>
        </w:rPr>
        <w:t xml:space="preserve">the most preferred measure of market sentiment and contains properties that are valuable in explaining what drives </w:t>
      </w:r>
      <w:r w:rsidR="00527408" w:rsidRPr="00471EEE">
        <w:rPr>
          <w:sz w:val="22"/>
          <w:szCs w:val="20"/>
        </w:rPr>
        <w:t>stock returns both in a size/firm value dimension as well as by industry</w:t>
      </w:r>
      <w:r w:rsidR="00765083" w:rsidRPr="00471EEE">
        <w:rPr>
          <w:sz w:val="22"/>
          <w:szCs w:val="20"/>
        </w:rPr>
        <w:t xml:space="preserve">, </w:t>
      </w:r>
      <w:r w:rsidR="00B8487B" w:rsidRPr="00471EEE">
        <w:rPr>
          <w:sz w:val="22"/>
          <w:szCs w:val="20"/>
        </w:rPr>
        <w:t>demonstrating</w:t>
      </w:r>
      <w:r w:rsidR="00765083" w:rsidRPr="00471EEE">
        <w:rPr>
          <w:sz w:val="22"/>
          <w:szCs w:val="20"/>
        </w:rPr>
        <w:t xml:space="preserve"> a causal link between VIX and returns. </w:t>
      </w:r>
      <w:r w:rsidR="0041548B">
        <w:rPr>
          <w:sz w:val="22"/>
          <w:szCs w:val="20"/>
        </w:rPr>
        <w:t>Chen</w:t>
      </w:r>
      <w:r w:rsidR="004F57DB" w:rsidRPr="00471EEE">
        <w:rPr>
          <w:sz w:val="22"/>
          <w:szCs w:val="20"/>
        </w:rPr>
        <w:t xml:space="preserve"> </w:t>
      </w:r>
      <w:r w:rsidR="000D6614" w:rsidRPr="00471EEE">
        <w:rPr>
          <w:sz w:val="22"/>
          <w:szCs w:val="20"/>
        </w:rPr>
        <w:t>and Huang</w:t>
      </w:r>
      <w:r w:rsidR="004F57DB" w:rsidRPr="00471EEE">
        <w:rPr>
          <w:sz w:val="22"/>
          <w:szCs w:val="20"/>
        </w:rPr>
        <w:t xml:space="preserve"> (2021) shows that investor sentiment and VIX shows strong predictive power with regards to crude oil assets but are almost </w:t>
      </w:r>
      <w:r w:rsidR="00B559E1" w:rsidRPr="00471EEE">
        <w:rPr>
          <w:sz w:val="22"/>
          <w:szCs w:val="20"/>
        </w:rPr>
        <w:t>entirely in</w:t>
      </w:r>
      <w:r w:rsidR="004F57DB" w:rsidRPr="00471EEE">
        <w:rPr>
          <w:sz w:val="22"/>
          <w:szCs w:val="20"/>
        </w:rPr>
        <w:t xml:space="preserve">significant in predicting natural gas spot and futures contract pricing. </w:t>
      </w:r>
      <w:r w:rsidR="007E03AB" w:rsidRPr="00471EEE">
        <w:rPr>
          <w:sz w:val="22"/>
          <w:szCs w:val="20"/>
        </w:rPr>
        <w:t>The study focuses on the linkages between US VIX and other global volatility indexes among the G7 and BRIC countries</w:t>
      </w:r>
      <w:r w:rsidR="00AA5B0A" w:rsidRPr="00471EEE">
        <w:rPr>
          <w:sz w:val="22"/>
          <w:szCs w:val="20"/>
        </w:rPr>
        <w:t xml:space="preserve"> during the GFC and the COVID-19 pandemic and determines that the fear in the stock market spreads across multiple markets with the greatest impact coming from US news in the GFC whereas during COVID-19, that impact is largely spread out among European countries. </w:t>
      </w:r>
      <w:r w:rsidR="000E1C7A" w:rsidRPr="00471EEE">
        <w:rPr>
          <w:sz w:val="22"/>
          <w:szCs w:val="20"/>
        </w:rPr>
        <w:t>Our study</w:t>
      </w:r>
      <w:r w:rsidR="001D69C9" w:rsidRPr="00471EEE">
        <w:rPr>
          <w:sz w:val="22"/>
          <w:szCs w:val="20"/>
        </w:rPr>
        <w:t xml:space="preserve"> focuses</w:t>
      </w:r>
      <w:r w:rsidR="0027327C" w:rsidRPr="00471EEE">
        <w:rPr>
          <w:sz w:val="22"/>
          <w:szCs w:val="20"/>
        </w:rPr>
        <w:t xml:space="preserve"> on the </w:t>
      </w:r>
      <w:r w:rsidR="007704A8" w:rsidRPr="00471EEE">
        <w:rPr>
          <w:sz w:val="22"/>
          <w:szCs w:val="20"/>
        </w:rPr>
        <w:t>implications of the linkages between the VIX index and the US S&amp;P500 returns and whether they remain persistent throughout the course of the two crises mentioned in the introduction.</w:t>
      </w:r>
      <w:r w:rsidR="00F90DF5" w:rsidRPr="00471EEE">
        <w:rPr>
          <w:sz w:val="22"/>
          <w:szCs w:val="20"/>
        </w:rPr>
        <w:t xml:space="preserve"> </w:t>
      </w:r>
      <w:r w:rsidR="00BF20D6" w:rsidRPr="00471EEE">
        <w:rPr>
          <w:sz w:val="22"/>
          <w:szCs w:val="20"/>
        </w:rPr>
        <w:t>It narrows the scope from spill over effects between international market implied volatilit</w:t>
      </w:r>
      <w:r w:rsidR="009B31CE" w:rsidRPr="00471EEE">
        <w:rPr>
          <w:sz w:val="22"/>
          <w:szCs w:val="20"/>
        </w:rPr>
        <w:t>y</w:t>
      </w:r>
      <w:r w:rsidR="00BF20D6" w:rsidRPr="00471EEE">
        <w:rPr>
          <w:sz w:val="22"/>
          <w:szCs w:val="20"/>
        </w:rPr>
        <w:t xml:space="preserve"> indexes to spill over effects between US VIX index and S&amp;P500 market returns. </w:t>
      </w:r>
    </w:p>
    <w:p w14:paraId="1F037FEF" w14:textId="666A52D4" w:rsidR="00F602D8" w:rsidRPr="00471EEE" w:rsidRDefault="00727D95" w:rsidP="005217A4">
      <w:pPr>
        <w:rPr>
          <w:sz w:val="22"/>
          <w:szCs w:val="20"/>
        </w:rPr>
      </w:pPr>
      <w:r w:rsidRPr="00471EEE">
        <w:rPr>
          <w:sz w:val="22"/>
          <w:szCs w:val="20"/>
        </w:rPr>
        <w:lastRenderedPageBreak/>
        <w:t xml:space="preserve">Dima et al. </w:t>
      </w:r>
      <w:r w:rsidR="00F602D8" w:rsidRPr="00471EEE">
        <w:rPr>
          <w:sz w:val="22"/>
          <w:szCs w:val="20"/>
        </w:rPr>
        <w:t>(202</w:t>
      </w:r>
      <w:r w:rsidRPr="00471EEE">
        <w:rPr>
          <w:sz w:val="22"/>
          <w:szCs w:val="20"/>
        </w:rPr>
        <w:t>1</w:t>
      </w:r>
      <w:r w:rsidR="00F602D8" w:rsidRPr="00471EEE">
        <w:rPr>
          <w:sz w:val="22"/>
          <w:szCs w:val="20"/>
        </w:rPr>
        <w:t>) show that during period</w:t>
      </w:r>
      <w:r w:rsidR="008E34E7" w:rsidRPr="00471EEE">
        <w:rPr>
          <w:sz w:val="22"/>
          <w:szCs w:val="20"/>
        </w:rPr>
        <w:t>s</w:t>
      </w:r>
      <w:r w:rsidR="00F602D8" w:rsidRPr="00471EEE">
        <w:rPr>
          <w:sz w:val="22"/>
          <w:szCs w:val="20"/>
        </w:rPr>
        <w:t xml:space="preserve"> of high uncertainty</w:t>
      </w:r>
      <w:r w:rsidR="00572A7E" w:rsidRPr="00471EEE">
        <w:rPr>
          <w:sz w:val="22"/>
          <w:szCs w:val="20"/>
        </w:rPr>
        <w:t xml:space="preserve"> in the</w:t>
      </w:r>
      <w:r w:rsidR="008E34E7" w:rsidRPr="00471EEE">
        <w:rPr>
          <w:sz w:val="22"/>
          <w:szCs w:val="20"/>
        </w:rPr>
        <w:t xml:space="preserve"> early onset of the</w:t>
      </w:r>
      <w:r w:rsidR="00572A7E" w:rsidRPr="00471EEE">
        <w:rPr>
          <w:sz w:val="22"/>
          <w:szCs w:val="20"/>
        </w:rPr>
        <w:t xml:space="preserve"> 2020 pandemic period</w:t>
      </w:r>
      <w:r w:rsidR="00F602D8" w:rsidRPr="00471EEE">
        <w:rPr>
          <w:sz w:val="22"/>
          <w:szCs w:val="20"/>
        </w:rPr>
        <w:t>, investors generally switch</w:t>
      </w:r>
      <w:r w:rsidR="002D0BE0" w:rsidRPr="00471EEE">
        <w:rPr>
          <w:sz w:val="22"/>
          <w:szCs w:val="20"/>
        </w:rPr>
        <w:t>ed</w:t>
      </w:r>
      <w:r w:rsidR="00F602D8" w:rsidRPr="00471EEE">
        <w:rPr>
          <w:sz w:val="22"/>
          <w:szCs w:val="20"/>
        </w:rPr>
        <w:t xml:space="preserve"> to financial assets that insulate them from volatility</w:t>
      </w:r>
      <w:r w:rsidR="00B877DF" w:rsidRPr="00471EEE">
        <w:rPr>
          <w:sz w:val="22"/>
          <w:szCs w:val="20"/>
        </w:rPr>
        <w:t>,</w:t>
      </w:r>
      <w:r w:rsidR="00F602D8" w:rsidRPr="00471EEE">
        <w:rPr>
          <w:sz w:val="22"/>
          <w:szCs w:val="20"/>
        </w:rPr>
        <w:t xml:space="preserve"> s</w:t>
      </w:r>
      <w:r w:rsidR="00572A7E" w:rsidRPr="00471EEE">
        <w:rPr>
          <w:sz w:val="22"/>
          <w:szCs w:val="20"/>
        </w:rPr>
        <w:t>o</w:t>
      </w:r>
      <w:r w:rsidR="00F602D8" w:rsidRPr="00471EEE">
        <w:rPr>
          <w:sz w:val="22"/>
          <w:szCs w:val="20"/>
        </w:rPr>
        <w:t>m</w:t>
      </w:r>
      <w:r w:rsidR="00572A7E" w:rsidRPr="00471EEE">
        <w:rPr>
          <w:sz w:val="22"/>
          <w:szCs w:val="20"/>
        </w:rPr>
        <w:t>e</w:t>
      </w:r>
      <w:r w:rsidR="00F602D8" w:rsidRPr="00471EEE">
        <w:rPr>
          <w:sz w:val="22"/>
          <w:szCs w:val="20"/>
        </w:rPr>
        <w:t xml:space="preserve"> of which are connected to </w:t>
      </w:r>
      <w:r w:rsidR="00B877DF" w:rsidRPr="00471EEE">
        <w:rPr>
          <w:sz w:val="22"/>
          <w:szCs w:val="20"/>
        </w:rPr>
        <w:t xml:space="preserve">the </w:t>
      </w:r>
      <w:r w:rsidR="00F602D8" w:rsidRPr="00471EEE">
        <w:rPr>
          <w:sz w:val="22"/>
          <w:szCs w:val="20"/>
        </w:rPr>
        <w:t>VIX. The research finds that sentiment adjusts</w:t>
      </w:r>
      <w:r w:rsidR="00572A7E" w:rsidRPr="00471EEE">
        <w:rPr>
          <w:sz w:val="22"/>
          <w:szCs w:val="20"/>
        </w:rPr>
        <w:t xml:space="preserve"> </w:t>
      </w:r>
      <w:r w:rsidR="00F602D8" w:rsidRPr="00471EEE">
        <w:rPr>
          <w:sz w:val="22"/>
          <w:szCs w:val="20"/>
        </w:rPr>
        <w:t>as investors</w:t>
      </w:r>
      <w:r w:rsidR="00572A7E" w:rsidRPr="00471EEE">
        <w:rPr>
          <w:sz w:val="22"/>
          <w:szCs w:val="20"/>
        </w:rPr>
        <w:t xml:space="preserve"> move</w:t>
      </w:r>
      <w:r w:rsidR="00F602D8" w:rsidRPr="00471EEE">
        <w:rPr>
          <w:sz w:val="22"/>
          <w:szCs w:val="20"/>
        </w:rPr>
        <w:t xml:space="preserve"> to</w:t>
      </w:r>
      <w:r w:rsidR="00572A7E" w:rsidRPr="00471EEE">
        <w:rPr>
          <w:sz w:val="22"/>
          <w:szCs w:val="20"/>
        </w:rPr>
        <w:t xml:space="preserve"> maximise their own self-interest which is largely the case regardless of a shock, leading to no real fundamental changes in investor decisions as per the data in the study.</w:t>
      </w:r>
      <w:r w:rsidRPr="00471EEE">
        <w:rPr>
          <w:sz w:val="22"/>
          <w:szCs w:val="20"/>
        </w:rPr>
        <w:t xml:space="preserve"> What was interesting was that </w:t>
      </w:r>
      <w:r w:rsidR="000802B0" w:rsidRPr="00471EEE">
        <w:rPr>
          <w:sz w:val="22"/>
          <w:szCs w:val="20"/>
        </w:rPr>
        <w:t xml:space="preserve">the study found that </w:t>
      </w:r>
      <w:r w:rsidRPr="00471EEE">
        <w:rPr>
          <w:sz w:val="22"/>
          <w:szCs w:val="20"/>
        </w:rPr>
        <w:t xml:space="preserve">different crises could not necessarily be used to predict changes in market efficiency </w:t>
      </w:r>
      <w:r w:rsidR="00127C94" w:rsidRPr="00471EEE">
        <w:rPr>
          <w:sz w:val="22"/>
          <w:szCs w:val="20"/>
        </w:rPr>
        <w:t xml:space="preserve">for other crises </w:t>
      </w:r>
      <w:r w:rsidR="00035757" w:rsidRPr="00471EEE">
        <w:rPr>
          <w:sz w:val="22"/>
          <w:szCs w:val="20"/>
        </w:rPr>
        <w:t xml:space="preserve">because </w:t>
      </w:r>
      <w:r w:rsidRPr="00471EEE">
        <w:rPr>
          <w:sz w:val="22"/>
          <w:szCs w:val="20"/>
        </w:rPr>
        <w:t xml:space="preserve">the impact depending on the determinants of </w:t>
      </w:r>
      <w:r w:rsidR="00035757" w:rsidRPr="00471EEE">
        <w:rPr>
          <w:sz w:val="22"/>
          <w:szCs w:val="20"/>
        </w:rPr>
        <w:t xml:space="preserve">the </w:t>
      </w:r>
      <w:r w:rsidRPr="00471EEE">
        <w:rPr>
          <w:sz w:val="22"/>
          <w:szCs w:val="20"/>
        </w:rPr>
        <w:t xml:space="preserve">financial instability were non-uniform. </w:t>
      </w:r>
      <w:r w:rsidR="000E1C7A" w:rsidRPr="00471EEE">
        <w:rPr>
          <w:sz w:val="22"/>
          <w:szCs w:val="20"/>
        </w:rPr>
        <w:t xml:space="preserve">Our </w:t>
      </w:r>
      <w:r w:rsidR="00195D79" w:rsidRPr="00471EEE">
        <w:rPr>
          <w:sz w:val="22"/>
          <w:szCs w:val="20"/>
        </w:rPr>
        <w:t>present</w:t>
      </w:r>
      <w:r w:rsidR="008A5AAB" w:rsidRPr="00471EEE">
        <w:rPr>
          <w:sz w:val="22"/>
          <w:szCs w:val="20"/>
        </w:rPr>
        <w:t xml:space="preserve"> </w:t>
      </w:r>
      <w:r w:rsidR="000E1C7A" w:rsidRPr="00471EEE">
        <w:rPr>
          <w:sz w:val="22"/>
          <w:szCs w:val="20"/>
        </w:rPr>
        <w:t xml:space="preserve">research </w:t>
      </w:r>
      <w:r w:rsidR="008A5AAB" w:rsidRPr="00471EEE">
        <w:rPr>
          <w:sz w:val="22"/>
          <w:szCs w:val="20"/>
        </w:rPr>
        <w:t xml:space="preserve">paper </w:t>
      </w:r>
      <w:r w:rsidR="00195D79" w:rsidRPr="00471EEE">
        <w:rPr>
          <w:sz w:val="22"/>
          <w:szCs w:val="20"/>
        </w:rPr>
        <w:t xml:space="preserve">extends the study to the Russia-Ukraine conflict </w:t>
      </w:r>
      <w:r w:rsidR="00412663" w:rsidRPr="00471EEE">
        <w:rPr>
          <w:sz w:val="22"/>
          <w:szCs w:val="20"/>
        </w:rPr>
        <w:t>and computes a hedge ratio using the GARCH family models.</w:t>
      </w:r>
    </w:p>
    <w:p w14:paraId="1CFDF4FC" w14:textId="409F41B4" w:rsidR="00A43B9D" w:rsidRPr="00471EEE" w:rsidRDefault="000242CD" w:rsidP="00D9291C">
      <w:pPr>
        <w:rPr>
          <w:sz w:val="22"/>
          <w:szCs w:val="20"/>
        </w:rPr>
      </w:pPr>
      <w:r w:rsidRPr="00471EEE">
        <w:rPr>
          <w:sz w:val="22"/>
          <w:szCs w:val="20"/>
        </w:rPr>
        <w:t>Chen</w:t>
      </w:r>
      <w:r w:rsidR="00892CA0" w:rsidRPr="00471EEE">
        <w:rPr>
          <w:sz w:val="22"/>
          <w:szCs w:val="20"/>
        </w:rPr>
        <w:t>g</w:t>
      </w:r>
      <w:r w:rsidRPr="00471EEE">
        <w:rPr>
          <w:sz w:val="22"/>
          <w:szCs w:val="20"/>
        </w:rPr>
        <w:t xml:space="preserve"> (2020) points out the puzzle that was the slow rise in VIX futures prices until up to a month after US border closures in mid-April 2020 with price forecasts remaining higher than actual prices throughout the period. This</w:t>
      </w:r>
      <w:r w:rsidR="00351FFD" w:rsidRPr="00471EEE">
        <w:rPr>
          <w:sz w:val="22"/>
          <w:szCs w:val="20"/>
        </w:rPr>
        <w:t xml:space="preserve"> gives some explanation to Dima et al. (2020) finding that investor decisions may have switched to maximise their own self-interest but the response was initially slow. </w:t>
      </w:r>
      <w:r w:rsidRPr="00471EEE">
        <w:rPr>
          <w:sz w:val="22"/>
          <w:szCs w:val="20"/>
        </w:rPr>
        <w:t xml:space="preserve">He notes however that trading strategies based on </w:t>
      </w:r>
      <w:r w:rsidR="000269A6" w:rsidRPr="00471EEE">
        <w:rPr>
          <w:sz w:val="22"/>
          <w:szCs w:val="20"/>
        </w:rPr>
        <w:t>the</w:t>
      </w:r>
      <w:r w:rsidRPr="00471EEE">
        <w:rPr>
          <w:sz w:val="22"/>
          <w:szCs w:val="20"/>
        </w:rPr>
        <w:t xml:space="preserve"> forecasts gained profits when the market volatility and crash inevitably came to reflect the unfavourable market forces </w:t>
      </w:r>
      <w:r w:rsidR="000269A6" w:rsidRPr="00471EEE">
        <w:rPr>
          <w:sz w:val="22"/>
          <w:szCs w:val="20"/>
        </w:rPr>
        <w:t xml:space="preserve">brewing </w:t>
      </w:r>
      <w:r w:rsidRPr="00471EEE">
        <w:rPr>
          <w:sz w:val="22"/>
          <w:szCs w:val="20"/>
        </w:rPr>
        <w:t xml:space="preserve">at the time. </w:t>
      </w:r>
      <w:r w:rsidR="00127C94" w:rsidRPr="00471EEE">
        <w:rPr>
          <w:sz w:val="22"/>
          <w:szCs w:val="20"/>
        </w:rPr>
        <w:t xml:space="preserve">The </w:t>
      </w:r>
      <w:r w:rsidR="004B667E" w:rsidRPr="00471EEE">
        <w:rPr>
          <w:sz w:val="22"/>
          <w:szCs w:val="20"/>
        </w:rPr>
        <w:t xml:space="preserve">research </w:t>
      </w:r>
      <w:r w:rsidR="00127C94" w:rsidRPr="00471EEE">
        <w:rPr>
          <w:sz w:val="22"/>
          <w:szCs w:val="20"/>
        </w:rPr>
        <w:t>focuses on the lag response of investor behaviour to the news of the</w:t>
      </w:r>
      <w:r w:rsidR="0067291D" w:rsidRPr="00471EEE">
        <w:rPr>
          <w:sz w:val="22"/>
          <w:szCs w:val="20"/>
        </w:rPr>
        <w:t xml:space="preserve"> early</w:t>
      </w:r>
      <w:r w:rsidR="00127C94" w:rsidRPr="00471EEE">
        <w:rPr>
          <w:sz w:val="22"/>
          <w:szCs w:val="20"/>
        </w:rPr>
        <w:t xml:space="preserve"> border closures. </w:t>
      </w:r>
      <w:r w:rsidR="00690AE3" w:rsidRPr="00471EEE">
        <w:rPr>
          <w:sz w:val="22"/>
          <w:szCs w:val="20"/>
        </w:rPr>
        <w:t>Our study</w:t>
      </w:r>
      <w:r w:rsidR="00A43B9D" w:rsidRPr="00471EEE">
        <w:rPr>
          <w:sz w:val="22"/>
          <w:szCs w:val="20"/>
        </w:rPr>
        <w:t xml:space="preserve"> extends the timeline from the early onset to the Russia Ukraine crisis while specifically looking into the interaction between VIX and returns during the lockdown and whether there is a difference in sentiment and interaction between VIX and S&amp;</w:t>
      </w:r>
      <w:r w:rsidR="00AD1B42" w:rsidRPr="00471EEE">
        <w:rPr>
          <w:sz w:val="22"/>
          <w:szCs w:val="20"/>
        </w:rPr>
        <w:t>P</w:t>
      </w:r>
      <w:r w:rsidR="00A43B9D" w:rsidRPr="00471EEE">
        <w:rPr>
          <w:sz w:val="22"/>
          <w:szCs w:val="20"/>
        </w:rPr>
        <w:t>500 returns in the pre-lockdown, during lockdown and post lockdown</w:t>
      </w:r>
      <w:r w:rsidR="003C3BEF" w:rsidRPr="00471EEE">
        <w:rPr>
          <w:sz w:val="22"/>
          <w:szCs w:val="20"/>
        </w:rPr>
        <w:t xml:space="preserve"> phases</w:t>
      </w:r>
      <w:r w:rsidR="00A43B9D" w:rsidRPr="00471EEE">
        <w:rPr>
          <w:sz w:val="22"/>
          <w:szCs w:val="20"/>
        </w:rPr>
        <w:t>.</w:t>
      </w:r>
    </w:p>
    <w:p w14:paraId="604C166B" w14:textId="36CBB417" w:rsidR="000242CD" w:rsidRPr="00471EEE" w:rsidRDefault="000242CD" w:rsidP="00BC310F">
      <w:pPr>
        <w:rPr>
          <w:sz w:val="22"/>
          <w:szCs w:val="20"/>
        </w:rPr>
      </w:pPr>
      <w:r w:rsidRPr="00471EEE">
        <w:rPr>
          <w:sz w:val="22"/>
          <w:szCs w:val="20"/>
        </w:rPr>
        <w:t>Wang et al. (2021) find that the USD and VIX negatively impact S&amp;P500 returns but that the Equity Market Volatility (EMV) market tracker, a tracker that links economic, political, and national security news to the VIX index has a positive association with stock market returns.</w:t>
      </w:r>
      <w:r w:rsidR="00446C00" w:rsidRPr="00471EEE">
        <w:rPr>
          <w:sz w:val="22"/>
          <w:szCs w:val="20"/>
        </w:rPr>
        <w:t xml:space="preserve"> </w:t>
      </w:r>
      <w:r w:rsidR="002B724C" w:rsidRPr="00471EEE">
        <w:rPr>
          <w:sz w:val="22"/>
          <w:szCs w:val="20"/>
        </w:rPr>
        <w:t xml:space="preserve">The authors use </w:t>
      </w:r>
      <w:r w:rsidR="00BC310F" w:rsidRPr="00471EEE">
        <w:rPr>
          <w:sz w:val="22"/>
          <w:szCs w:val="20"/>
        </w:rPr>
        <w:t>linear based models in (OLS) and least angles regression (LARS) to create a pricing model to predict stock prices</w:t>
      </w:r>
      <w:r w:rsidR="00E83D63" w:rsidRPr="00471EEE">
        <w:rPr>
          <w:sz w:val="22"/>
          <w:szCs w:val="20"/>
        </w:rPr>
        <w:t>. The determinants of return</w:t>
      </w:r>
      <w:r w:rsidR="002C274E" w:rsidRPr="00471EEE">
        <w:rPr>
          <w:sz w:val="22"/>
          <w:szCs w:val="20"/>
        </w:rPr>
        <w:t>s</w:t>
      </w:r>
      <w:r w:rsidR="00E83D63" w:rsidRPr="00471EEE">
        <w:rPr>
          <w:sz w:val="22"/>
          <w:szCs w:val="20"/>
        </w:rPr>
        <w:t xml:space="preserve"> used are the gold log </w:t>
      </w:r>
      <w:r w:rsidR="002C274E" w:rsidRPr="00471EEE">
        <w:rPr>
          <w:sz w:val="22"/>
          <w:szCs w:val="20"/>
        </w:rPr>
        <w:t>returns, Brent</w:t>
      </w:r>
      <w:r w:rsidR="00E83D63" w:rsidRPr="00471EEE">
        <w:rPr>
          <w:sz w:val="22"/>
          <w:szCs w:val="20"/>
        </w:rPr>
        <w:t xml:space="preserve"> crude oil log returns, trade weighted USD index log returns</w:t>
      </w:r>
      <w:r w:rsidR="002C274E" w:rsidRPr="00471EEE">
        <w:rPr>
          <w:sz w:val="22"/>
          <w:szCs w:val="20"/>
        </w:rPr>
        <w:t xml:space="preserve">, volatility index (VIX) and text mining tools to incorporate the newspaper based EMV into their model. </w:t>
      </w:r>
      <w:r w:rsidR="004E6A14" w:rsidRPr="00471EEE">
        <w:rPr>
          <w:sz w:val="22"/>
          <w:szCs w:val="20"/>
        </w:rPr>
        <w:t>Our study</w:t>
      </w:r>
      <w:r w:rsidR="002C274E" w:rsidRPr="00471EEE">
        <w:rPr>
          <w:sz w:val="22"/>
          <w:szCs w:val="20"/>
        </w:rPr>
        <w:t xml:space="preserve"> uses the Baker and Wurgler </w:t>
      </w:r>
      <w:r w:rsidR="00A3449E" w:rsidRPr="00471EEE">
        <w:rPr>
          <w:sz w:val="22"/>
          <w:szCs w:val="20"/>
        </w:rPr>
        <w:t xml:space="preserve">(2006) </w:t>
      </w:r>
      <w:r w:rsidR="002C274E" w:rsidRPr="00471EEE">
        <w:rPr>
          <w:sz w:val="22"/>
          <w:szCs w:val="20"/>
        </w:rPr>
        <w:t xml:space="preserve">proposed sentiment </w:t>
      </w:r>
      <w:r w:rsidR="00A3449E" w:rsidRPr="00471EEE">
        <w:rPr>
          <w:sz w:val="22"/>
          <w:szCs w:val="20"/>
        </w:rPr>
        <w:t xml:space="preserve">proxies and uses OLS as well as LASSO regression to determine the multivariate significance of the lockdown period specifically. We also extend the research to investigate the significance of the proxies using </w:t>
      </w:r>
      <w:r w:rsidR="00072ADF" w:rsidRPr="00471EEE">
        <w:rPr>
          <w:sz w:val="22"/>
          <w:szCs w:val="20"/>
        </w:rPr>
        <w:t xml:space="preserve">VAR </w:t>
      </w:r>
      <w:r w:rsidR="00A3449E" w:rsidRPr="00471EEE">
        <w:rPr>
          <w:sz w:val="22"/>
          <w:szCs w:val="20"/>
        </w:rPr>
        <w:t>impulse response functions post lockdown and into the Russia Ukraine conflict.</w:t>
      </w:r>
    </w:p>
    <w:p w14:paraId="375F9EA5" w14:textId="2BDBC33F" w:rsidR="008A5AAB" w:rsidRPr="00471EEE" w:rsidRDefault="005405B5" w:rsidP="005217A4">
      <w:pPr>
        <w:rPr>
          <w:sz w:val="22"/>
          <w:szCs w:val="20"/>
        </w:rPr>
      </w:pPr>
      <w:r w:rsidRPr="00471EEE">
        <w:rPr>
          <w:sz w:val="22"/>
          <w:szCs w:val="20"/>
        </w:rPr>
        <w:t>Vera-Valdes (2021) find</w:t>
      </w:r>
      <w:r w:rsidR="00A573E8" w:rsidRPr="00471EEE">
        <w:rPr>
          <w:sz w:val="22"/>
          <w:szCs w:val="20"/>
        </w:rPr>
        <w:t>s</w:t>
      </w:r>
      <w:r w:rsidRPr="00471EEE">
        <w:rPr>
          <w:sz w:val="22"/>
          <w:szCs w:val="20"/>
        </w:rPr>
        <w:t xml:space="preserve"> that several measures of volatility became non-stationary due to a persistence </w:t>
      </w:r>
      <w:r w:rsidR="00F07E1B" w:rsidRPr="00471EEE">
        <w:rPr>
          <w:sz w:val="22"/>
          <w:szCs w:val="20"/>
        </w:rPr>
        <w:t xml:space="preserve">of </w:t>
      </w:r>
      <w:r w:rsidR="00E41188" w:rsidRPr="00471EEE">
        <w:rPr>
          <w:sz w:val="22"/>
          <w:szCs w:val="20"/>
        </w:rPr>
        <w:t>long-term</w:t>
      </w:r>
      <w:r w:rsidR="00F07E1B" w:rsidRPr="00471EEE">
        <w:rPr>
          <w:sz w:val="22"/>
          <w:szCs w:val="20"/>
        </w:rPr>
        <w:t xml:space="preserve"> </w:t>
      </w:r>
      <w:r w:rsidR="00A573E8" w:rsidRPr="00471EEE">
        <w:rPr>
          <w:sz w:val="22"/>
          <w:szCs w:val="20"/>
        </w:rPr>
        <w:t xml:space="preserve">effects on financial volatility as a result of the COVID-19 </w:t>
      </w:r>
      <w:r w:rsidR="00A573E8" w:rsidRPr="00471EEE">
        <w:rPr>
          <w:sz w:val="22"/>
          <w:szCs w:val="20"/>
        </w:rPr>
        <w:lastRenderedPageBreak/>
        <w:t>pandemic</w:t>
      </w:r>
      <w:r w:rsidR="00E41188" w:rsidRPr="00471EEE">
        <w:rPr>
          <w:sz w:val="22"/>
          <w:szCs w:val="20"/>
        </w:rPr>
        <w:t xml:space="preserve"> across several international markets. The experiment</w:t>
      </w:r>
      <w:r w:rsidR="007968EA" w:rsidRPr="00471EEE">
        <w:rPr>
          <w:sz w:val="22"/>
          <w:szCs w:val="20"/>
        </w:rPr>
        <w:t xml:space="preserve"> yielded significant long memory parameters as it pertained to VIX</w:t>
      </w:r>
      <w:r w:rsidR="00E40EAB" w:rsidRPr="00471EEE">
        <w:rPr>
          <w:sz w:val="22"/>
          <w:szCs w:val="20"/>
        </w:rPr>
        <w:t xml:space="preserve"> and realised volatility</w:t>
      </w:r>
      <w:r w:rsidR="007968EA" w:rsidRPr="00471EEE">
        <w:rPr>
          <w:sz w:val="22"/>
          <w:szCs w:val="20"/>
        </w:rPr>
        <w:t>.</w:t>
      </w:r>
      <w:r w:rsidR="00133194" w:rsidRPr="00471EEE">
        <w:rPr>
          <w:sz w:val="22"/>
          <w:szCs w:val="20"/>
        </w:rPr>
        <w:t xml:space="preserve"> Grima et al. (2021) </w:t>
      </w:r>
      <w:r w:rsidR="00B56AB5" w:rsidRPr="00471EEE">
        <w:rPr>
          <w:sz w:val="22"/>
          <w:szCs w:val="20"/>
        </w:rPr>
        <w:t>find cointegration between VIX and the major stock index</w:t>
      </w:r>
      <w:r w:rsidR="00903864" w:rsidRPr="00471EEE">
        <w:rPr>
          <w:sz w:val="22"/>
          <w:szCs w:val="20"/>
        </w:rPr>
        <w:t>es</w:t>
      </w:r>
      <w:r w:rsidR="00B56AB5" w:rsidRPr="00471EEE">
        <w:rPr>
          <w:sz w:val="22"/>
          <w:szCs w:val="20"/>
        </w:rPr>
        <w:t xml:space="preserve"> in the world as well as between VIX and COVID-19 pandemic deaths. The study concludes that the reporting of new COVID-19 cases had more of a stronger impact on </w:t>
      </w:r>
      <w:r w:rsidR="00D467AC" w:rsidRPr="00471EEE">
        <w:rPr>
          <w:sz w:val="22"/>
          <w:szCs w:val="20"/>
        </w:rPr>
        <w:t xml:space="preserve">VIX </w:t>
      </w:r>
      <w:r w:rsidR="00B56AB5" w:rsidRPr="00471EEE">
        <w:rPr>
          <w:sz w:val="22"/>
          <w:szCs w:val="20"/>
        </w:rPr>
        <w:t xml:space="preserve">in the United States than did actual COVID-19 deaths. </w:t>
      </w:r>
      <w:r w:rsidR="00903864" w:rsidRPr="00471EEE">
        <w:rPr>
          <w:sz w:val="22"/>
          <w:szCs w:val="20"/>
        </w:rPr>
        <w:t>The study focuses on the implications on the COVID-19 reports on deaths</w:t>
      </w:r>
      <w:r w:rsidR="002C274E" w:rsidRPr="00471EEE">
        <w:rPr>
          <w:sz w:val="22"/>
          <w:szCs w:val="20"/>
        </w:rPr>
        <w:t xml:space="preserve">. </w:t>
      </w:r>
      <w:r w:rsidR="00CF143D" w:rsidRPr="00471EEE">
        <w:rPr>
          <w:sz w:val="22"/>
          <w:szCs w:val="20"/>
        </w:rPr>
        <w:t>Our research study</w:t>
      </w:r>
      <w:r w:rsidR="00903864" w:rsidRPr="00471EEE">
        <w:rPr>
          <w:sz w:val="22"/>
          <w:szCs w:val="20"/>
        </w:rPr>
        <w:t xml:space="preserve"> </w:t>
      </w:r>
      <w:r w:rsidR="000D402D" w:rsidRPr="00471EEE">
        <w:rPr>
          <w:sz w:val="22"/>
          <w:szCs w:val="20"/>
        </w:rPr>
        <w:t xml:space="preserve">adds to this research by separating </w:t>
      </w:r>
      <w:r w:rsidR="00903864" w:rsidRPr="00471EEE">
        <w:rPr>
          <w:sz w:val="22"/>
          <w:szCs w:val="20"/>
        </w:rPr>
        <w:t xml:space="preserve">between the impact of the different lockdown </w:t>
      </w:r>
      <w:r w:rsidR="00E13989" w:rsidRPr="00471EEE">
        <w:rPr>
          <w:sz w:val="22"/>
          <w:szCs w:val="20"/>
        </w:rPr>
        <w:t xml:space="preserve">and mandate </w:t>
      </w:r>
      <w:r w:rsidR="00903864" w:rsidRPr="00471EEE">
        <w:rPr>
          <w:sz w:val="22"/>
          <w:szCs w:val="20"/>
        </w:rPr>
        <w:t>phases</w:t>
      </w:r>
      <w:r w:rsidR="000D402D" w:rsidRPr="00471EEE">
        <w:rPr>
          <w:sz w:val="22"/>
          <w:szCs w:val="20"/>
        </w:rPr>
        <w:t xml:space="preserve"> during the pandemic as well as the implications of the Russia Ukraine conflict</w:t>
      </w:r>
      <w:r w:rsidR="00903864" w:rsidRPr="00471EEE">
        <w:rPr>
          <w:sz w:val="22"/>
          <w:szCs w:val="20"/>
        </w:rPr>
        <w:t xml:space="preserve">. </w:t>
      </w:r>
    </w:p>
    <w:p w14:paraId="54CCC88A" w14:textId="7C0F4B28" w:rsidR="007665B4" w:rsidRPr="00471EEE" w:rsidRDefault="007665B4" w:rsidP="005217A4">
      <w:pPr>
        <w:rPr>
          <w:sz w:val="22"/>
          <w:szCs w:val="20"/>
        </w:rPr>
      </w:pPr>
      <w:r w:rsidRPr="00471EEE">
        <w:rPr>
          <w:sz w:val="22"/>
          <w:szCs w:val="20"/>
        </w:rPr>
        <w:t xml:space="preserve">Baek et al. (2020) use Markov Switching </w:t>
      </w:r>
      <w:r w:rsidR="00131B14" w:rsidRPr="00471EEE">
        <w:rPr>
          <w:sz w:val="22"/>
          <w:szCs w:val="20"/>
        </w:rPr>
        <w:t xml:space="preserve">CAPM </w:t>
      </w:r>
      <w:r w:rsidR="00973AB2" w:rsidRPr="00471EEE">
        <w:rPr>
          <w:sz w:val="22"/>
          <w:szCs w:val="20"/>
        </w:rPr>
        <w:t xml:space="preserve">Model and machine learning tools to identify determinants of high volatility. </w:t>
      </w:r>
      <w:r w:rsidR="00A63278" w:rsidRPr="00471EEE">
        <w:rPr>
          <w:sz w:val="22"/>
          <w:szCs w:val="20"/>
        </w:rPr>
        <w:t>With respect to VIX as a measure of volatility, t</w:t>
      </w:r>
      <w:r w:rsidR="00973AB2" w:rsidRPr="00471EEE">
        <w:rPr>
          <w:sz w:val="22"/>
          <w:szCs w:val="20"/>
        </w:rPr>
        <w:t>he</w:t>
      </w:r>
      <w:r w:rsidR="00A63278" w:rsidRPr="00471EEE">
        <w:rPr>
          <w:sz w:val="22"/>
          <w:szCs w:val="20"/>
        </w:rPr>
        <w:t xml:space="preserve"> authors</w:t>
      </w:r>
      <w:r w:rsidR="00973AB2" w:rsidRPr="00471EEE">
        <w:rPr>
          <w:sz w:val="22"/>
          <w:szCs w:val="20"/>
        </w:rPr>
        <w:t xml:space="preserve"> find that the reporting of </w:t>
      </w:r>
      <w:r w:rsidR="00131B14" w:rsidRPr="00471EEE">
        <w:rPr>
          <w:sz w:val="22"/>
          <w:szCs w:val="20"/>
        </w:rPr>
        <w:t xml:space="preserve">COVID-19 deaths was followed by a direct rise in the VIX price while reports of recoveries were followed by a direct decline in the VIX price. The intriguing findings on the impact of news </w:t>
      </w:r>
      <w:r w:rsidR="00A63278" w:rsidRPr="00471EEE">
        <w:rPr>
          <w:sz w:val="22"/>
          <w:szCs w:val="20"/>
        </w:rPr>
        <w:t xml:space="preserve">on investor </w:t>
      </w:r>
      <w:r w:rsidR="00AC3716" w:rsidRPr="00471EEE">
        <w:rPr>
          <w:sz w:val="22"/>
          <w:szCs w:val="20"/>
        </w:rPr>
        <w:t>behaviour</w:t>
      </w:r>
      <w:r w:rsidR="00A63278" w:rsidRPr="00471EEE">
        <w:rPr>
          <w:sz w:val="22"/>
          <w:szCs w:val="20"/>
        </w:rPr>
        <w:t xml:space="preserve"> in their data </w:t>
      </w:r>
      <w:r w:rsidR="00AC3716" w:rsidRPr="00471EEE">
        <w:rPr>
          <w:sz w:val="22"/>
          <w:szCs w:val="20"/>
        </w:rPr>
        <w:t>suggest that</w:t>
      </w:r>
      <w:r w:rsidR="00D5152E" w:rsidRPr="00471EEE">
        <w:rPr>
          <w:sz w:val="22"/>
          <w:szCs w:val="20"/>
        </w:rPr>
        <w:t xml:space="preserve"> the significance o</w:t>
      </w:r>
      <w:r w:rsidR="00AC3716" w:rsidRPr="00471EEE">
        <w:rPr>
          <w:sz w:val="22"/>
          <w:szCs w:val="20"/>
        </w:rPr>
        <w:t>f</w:t>
      </w:r>
      <w:r w:rsidR="00D5152E" w:rsidRPr="00471EEE">
        <w:rPr>
          <w:sz w:val="22"/>
          <w:szCs w:val="20"/>
        </w:rPr>
        <w:t xml:space="preserve"> both positive and negative reporting on </w:t>
      </w:r>
      <w:r w:rsidR="00D9452E" w:rsidRPr="00471EEE">
        <w:rPr>
          <w:sz w:val="22"/>
          <w:szCs w:val="20"/>
        </w:rPr>
        <w:t xml:space="preserve">COVID-19 deaths and recoveries was more impactful in raising total market risk </w:t>
      </w:r>
      <w:r w:rsidR="00AC3716" w:rsidRPr="00471EEE">
        <w:rPr>
          <w:sz w:val="22"/>
          <w:szCs w:val="20"/>
        </w:rPr>
        <w:t>than price fluctuations in the price level of VIX.</w:t>
      </w:r>
      <w:r w:rsidR="00792DE7" w:rsidRPr="00471EEE">
        <w:rPr>
          <w:sz w:val="22"/>
          <w:szCs w:val="20"/>
        </w:rPr>
        <w:t xml:space="preserve"> The data explains the period between the 2nd January 2020 to 30th April 2020. </w:t>
      </w:r>
      <w:r w:rsidR="00093D31" w:rsidRPr="00471EEE">
        <w:rPr>
          <w:sz w:val="22"/>
          <w:szCs w:val="20"/>
        </w:rPr>
        <w:t>Rahman et al. (2021) reiterates this, finding that S&amp;P500 has a positive association with COVID-19 recoveries and number of deaths reported whereas VIX seems to have a negative association using out-of</w:t>
      </w:r>
      <w:r w:rsidR="00B94CA0" w:rsidRPr="00471EEE">
        <w:rPr>
          <w:sz w:val="22"/>
          <w:szCs w:val="20"/>
        </w:rPr>
        <w:t xml:space="preserve">-sample daily data experiment from January 2012 to December 2020. </w:t>
      </w:r>
      <w:r w:rsidR="00C56439" w:rsidRPr="00471EEE">
        <w:rPr>
          <w:sz w:val="22"/>
          <w:szCs w:val="20"/>
        </w:rPr>
        <w:t>Our investigation</w:t>
      </w:r>
      <w:r w:rsidR="00792DE7" w:rsidRPr="00471EEE">
        <w:rPr>
          <w:sz w:val="22"/>
          <w:szCs w:val="20"/>
        </w:rPr>
        <w:t xml:space="preserve"> adds to the literature by exploring the unique impact of the US border closure throughout its duration from 15 March 2020 to 8 November 2021.</w:t>
      </w:r>
    </w:p>
    <w:p w14:paraId="25D807CB" w14:textId="616E54AC" w:rsidR="00E818CC" w:rsidRPr="00471EEE" w:rsidRDefault="00E818CC" w:rsidP="005217A4">
      <w:pPr>
        <w:rPr>
          <w:sz w:val="22"/>
          <w:szCs w:val="20"/>
        </w:rPr>
      </w:pPr>
      <w:r w:rsidRPr="00471EEE">
        <w:rPr>
          <w:sz w:val="22"/>
          <w:szCs w:val="20"/>
        </w:rPr>
        <w:t xml:space="preserve">Sharma and Malik (2022) use the Autoregressive Distributed Lag (ARDL) model on daily data from 23 January 2020 to 24 August 2020 to investigate the long-run and short-run interactions between COVID-19 deaths, VIX, stock returns and brent crude oil prices on BRICS countries. The authors find a mutual two-way granger causality between VIX and stock returns and for the most part, a short-run decline in stock returns with the exception of Russia which experienced long-run effects as oil prices declined. It is well noted to be particularly true in the case of Russia because of its economy being heavily reliant on oil and gas production. </w:t>
      </w:r>
      <w:r w:rsidR="00AF2802" w:rsidRPr="00471EEE">
        <w:rPr>
          <w:sz w:val="22"/>
          <w:szCs w:val="20"/>
        </w:rPr>
        <w:t>Once again, o</w:t>
      </w:r>
      <w:r w:rsidRPr="00471EEE">
        <w:rPr>
          <w:sz w:val="22"/>
          <w:szCs w:val="20"/>
        </w:rPr>
        <w:t>ur investigation</w:t>
      </w:r>
      <w:r w:rsidR="00AF2802" w:rsidRPr="00471EEE">
        <w:rPr>
          <w:sz w:val="22"/>
          <w:szCs w:val="20"/>
        </w:rPr>
        <w:t xml:space="preserve"> focuses on S&amp;P returns and the co-movement of conditional variances between VIX and returns during </w:t>
      </w:r>
      <w:r w:rsidR="00DC12B9" w:rsidRPr="00471EEE">
        <w:rPr>
          <w:sz w:val="22"/>
          <w:szCs w:val="20"/>
        </w:rPr>
        <w:t xml:space="preserve">and </w:t>
      </w:r>
      <w:r w:rsidR="00392F4A" w:rsidRPr="00471EEE">
        <w:rPr>
          <w:sz w:val="22"/>
          <w:szCs w:val="20"/>
        </w:rPr>
        <w:t xml:space="preserve">throughout </w:t>
      </w:r>
      <w:r w:rsidR="00616D23" w:rsidRPr="00471EEE">
        <w:rPr>
          <w:sz w:val="22"/>
          <w:szCs w:val="20"/>
        </w:rPr>
        <w:t>the</w:t>
      </w:r>
      <w:r w:rsidR="00392F4A" w:rsidRPr="00471EEE">
        <w:rPr>
          <w:sz w:val="22"/>
          <w:szCs w:val="20"/>
        </w:rPr>
        <w:t xml:space="preserve"> duration </w:t>
      </w:r>
      <w:r w:rsidR="00616D23" w:rsidRPr="00471EEE">
        <w:rPr>
          <w:sz w:val="22"/>
          <w:szCs w:val="20"/>
        </w:rPr>
        <w:t xml:space="preserve">of the COVID-19 pandemic </w:t>
      </w:r>
      <w:r w:rsidR="00392F4A" w:rsidRPr="00471EEE">
        <w:rPr>
          <w:sz w:val="22"/>
          <w:szCs w:val="20"/>
        </w:rPr>
        <w:t>from 15 March 2020 to 8 November 2021 which marks the period of the border closures in the US.</w:t>
      </w:r>
    </w:p>
    <w:p w14:paraId="0FE198D3" w14:textId="6729A866" w:rsidR="00D61232" w:rsidRPr="00471EEE" w:rsidRDefault="00D61232" w:rsidP="005217A4">
      <w:pPr>
        <w:rPr>
          <w:sz w:val="22"/>
          <w:szCs w:val="20"/>
        </w:rPr>
      </w:pPr>
      <w:r w:rsidRPr="00471EEE">
        <w:rPr>
          <w:sz w:val="22"/>
          <w:szCs w:val="20"/>
        </w:rPr>
        <w:t xml:space="preserve">While most research focuses on the COVID -19 pandemic </w:t>
      </w:r>
      <w:r w:rsidR="00257A8F" w:rsidRPr="00471EEE">
        <w:rPr>
          <w:sz w:val="22"/>
          <w:szCs w:val="20"/>
        </w:rPr>
        <w:t xml:space="preserve">as a period either in its entirety </w:t>
      </w:r>
      <w:r w:rsidRPr="00471EEE">
        <w:rPr>
          <w:sz w:val="22"/>
          <w:szCs w:val="20"/>
        </w:rPr>
        <w:t xml:space="preserve">or based on initial reactions at the onset of the pandemic, we observe that </w:t>
      </w:r>
      <w:r w:rsidR="00257A8F" w:rsidRPr="00471EEE">
        <w:rPr>
          <w:sz w:val="22"/>
          <w:szCs w:val="20"/>
        </w:rPr>
        <w:t>we have not been able to find</w:t>
      </w:r>
      <w:r w:rsidRPr="00471EEE">
        <w:rPr>
          <w:sz w:val="22"/>
          <w:szCs w:val="20"/>
        </w:rPr>
        <w:t xml:space="preserve"> research focusing solely on the COVID-19 lockdown</w:t>
      </w:r>
      <w:r w:rsidR="00257A8F" w:rsidRPr="00471EEE">
        <w:rPr>
          <w:sz w:val="22"/>
          <w:szCs w:val="20"/>
        </w:rPr>
        <w:t xml:space="preserve"> </w:t>
      </w:r>
      <w:r w:rsidR="00393775" w:rsidRPr="00471EEE">
        <w:rPr>
          <w:sz w:val="22"/>
          <w:szCs w:val="20"/>
        </w:rPr>
        <w:t xml:space="preserve">in the US </w:t>
      </w:r>
      <w:r w:rsidR="00257A8F" w:rsidRPr="00471EEE">
        <w:rPr>
          <w:sz w:val="22"/>
          <w:szCs w:val="20"/>
        </w:rPr>
        <w:t xml:space="preserve">that has </w:t>
      </w:r>
      <w:r w:rsidR="00257A8F" w:rsidRPr="00471EEE">
        <w:rPr>
          <w:sz w:val="22"/>
          <w:szCs w:val="20"/>
        </w:rPr>
        <w:lastRenderedPageBreak/>
        <w:t>come and passed</w:t>
      </w:r>
      <w:r w:rsidRPr="00471EEE">
        <w:rPr>
          <w:sz w:val="22"/>
          <w:szCs w:val="20"/>
        </w:rPr>
        <w:t xml:space="preserve">, </w:t>
      </w:r>
      <w:r w:rsidR="00393775" w:rsidRPr="00471EEE">
        <w:rPr>
          <w:sz w:val="22"/>
          <w:szCs w:val="20"/>
        </w:rPr>
        <w:t>more specifically,</w:t>
      </w:r>
      <w:r w:rsidRPr="00471EEE">
        <w:rPr>
          <w:sz w:val="22"/>
          <w:szCs w:val="20"/>
        </w:rPr>
        <w:t xml:space="preserve"> the international border closure period in the US. We also note that </w:t>
      </w:r>
      <w:r w:rsidR="000E1C7A" w:rsidRPr="00471EEE">
        <w:rPr>
          <w:sz w:val="22"/>
          <w:szCs w:val="20"/>
        </w:rPr>
        <w:t>to the best of our knowledge, we were unable to find studies</w:t>
      </w:r>
      <w:r w:rsidRPr="00471EEE">
        <w:rPr>
          <w:sz w:val="22"/>
          <w:szCs w:val="20"/>
        </w:rPr>
        <w:t xml:space="preserve"> using VAR to look at the impact </w:t>
      </w:r>
      <w:r w:rsidR="00063A17" w:rsidRPr="00471EEE">
        <w:rPr>
          <w:sz w:val="22"/>
          <w:szCs w:val="20"/>
        </w:rPr>
        <w:t>of sentiment proxies outlined by Baker and Wurgler (2006) on VIX and S&amp;P500</w:t>
      </w:r>
      <w:r w:rsidR="000E1C7A" w:rsidRPr="00471EEE">
        <w:rPr>
          <w:sz w:val="22"/>
          <w:szCs w:val="20"/>
        </w:rPr>
        <w:t xml:space="preserve"> during the timeline subject to our research</w:t>
      </w:r>
      <w:r w:rsidR="00063A17" w:rsidRPr="00471EEE">
        <w:rPr>
          <w:sz w:val="22"/>
          <w:szCs w:val="20"/>
        </w:rPr>
        <w:t xml:space="preserve">. There are many measures of sentiment, understanding how significant </w:t>
      </w:r>
      <w:r w:rsidR="00393775" w:rsidRPr="00471EEE">
        <w:rPr>
          <w:sz w:val="22"/>
          <w:szCs w:val="20"/>
        </w:rPr>
        <w:t xml:space="preserve">certain </w:t>
      </w:r>
      <w:r w:rsidR="00063A17" w:rsidRPr="00471EEE">
        <w:rPr>
          <w:sz w:val="22"/>
          <w:szCs w:val="20"/>
        </w:rPr>
        <w:t xml:space="preserve">measures </w:t>
      </w:r>
      <w:r w:rsidR="00393775" w:rsidRPr="00471EEE">
        <w:rPr>
          <w:sz w:val="22"/>
          <w:szCs w:val="20"/>
        </w:rPr>
        <w:t>capture the effect</w:t>
      </w:r>
      <w:r w:rsidR="00063A17" w:rsidRPr="00471EEE">
        <w:rPr>
          <w:sz w:val="22"/>
          <w:szCs w:val="20"/>
        </w:rPr>
        <w:t xml:space="preserve"> </w:t>
      </w:r>
      <w:r w:rsidR="00393775" w:rsidRPr="00471EEE">
        <w:rPr>
          <w:sz w:val="22"/>
          <w:szCs w:val="20"/>
        </w:rPr>
        <w:t xml:space="preserve">on </w:t>
      </w:r>
      <w:r w:rsidR="00063A17" w:rsidRPr="00471EEE">
        <w:rPr>
          <w:sz w:val="22"/>
          <w:szCs w:val="20"/>
        </w:rPr>
        <w:t xml:space="preserve">returns and volatility could prove essential in predicting </w:t>
      </w:r>
      <w:r w:rsidR="00393775" w:rsidRPr="00471EEE">
        <w:rPr>
          <w:sz w:val="22"/>
          <w:szCs w:val="20"/>
        </w:rPr>
        <w:t xml:space="preserve">market efficiencies and investor responses. We also note that while papers have loosely alluded to the negative relationship between returns and implied volatility, </w:t>
      </w:r>
      <w:r w:rsidR="00811188" w:rsidRPr="00471EEE">
        <w:rPr>
          <w:sz w:val="22"/>
          <w:szCs w:val="20"/>
        </w:rPr>
        <w:t xml:space="preserve">to the best of our knowledge </w:t>
      </w:r>
      <w:r w:rsidR="00393775" w:rsidRPr="00471EEE">
        <w:rPr>
          <w:sz w:val="22"/>
          <w:szCs w:val="20"/>
        </w:rPr>
        <w:t xml:space="preserve">there has not been research explicitly exploring a minimum hedge ratio and </w:t>
      </w:r>
      <w:r w:rsidR="007C2282" w:rsidRPr="00471EEE">
        <w:rPr>
          <w:sz w:val="22"/>
          <w:szCs w:val="20"/>
        </w:rPr>
        <w:t xml:space="preserve">exploring </w:t>
      </w:r>
      <w:r w:rsidR="00E903BA" w:rsidRPr="00471EEE">
        <w:rPr>
          <w:sz w:val="22"/>
          <w:szCs w:val="20"/>
        </w:rPr>
        <w:t xml:space="preserve">as to whether </w:t>
      </w:r>
      <w:r w:rsidR="003176AA" w:rsidRPr="00471EEE">
        <w:rPr>
          <w:sz w:val="22"/>
          <w:szCs w:val="20"/>
        </w:rPr>
        <w:t xml:space="preserve">or not </w:t>
      </w:r>
      <w:r w:rsidR="00E903BA" w:rsidRPr="00471EEE">
        <w:rPr>
          <w:sz w:val="22"/>
          <w:szCs w:val="20"/>
        </w:rPr>
        <w:t>that relationship remained consistent throughout the pandemic period</w:t>
      </w:r>
      <w:r w:rsidR="00FE40CA" w:rsidRPr="00471EEE">
        <w:rPr>
          <w:sz w:val="22"/>
          <w:szCs w:val="20"/>
        </w:rPr>
        <w:t xml:space="preserve"> and also the period months following the start of the Russia-Ukraine conflict</w:t>
      </w:r>
      <w:r w:rsidR="00E903BA" w:rsidRPr="00471EEE">
        <w:rPr>
          <w:sz w:val="22"/>
          <w:szCs w:val="20"/>
        </w:rPr>
        <w:t>.</w:t>
      </w:r>
    </w:p>
    <w:p w14:paraId="466CE8E6" w14:textId="38413C92" w:rsidR="00AE4249" w:rsidRPr="00471EEE" w:rsidRDefault="007C03A5" w:rsidP="005217A4">
      <w:pPr>
        <w:rPr>
          <w:sz w:val="22"/>
          <w:szCs w:val="20"/>
        </w:rPr>
      </w:pPr>
      <w:r w:rsidRPr="00471EEE">
        <w:rPr>
          <w:sz w:val="22"/>
          <w:szCs w:val="20"/>
        </w:rPr>
        <w:t xml:space="preserve">Following the development of healthy treatments aimed at curtailing the impact of COVID-19 on the world at large, before any full recovery </w:t>
      </w:r>
      <w:r w:rsidR="00B80DA2" w:rsidRPr="00471EEE">
        <w:rPr>
          <w:sz w:val="22"/>
          <w:szCs w:val="20"/>
        </w:rPr>
        <w:t xml:space="preserve">and return to normalcy </w:t>
      </w:r>
      <w:r w:rsidRPr="00471EEE">
        <w:rPr>
          <w:sz w:val="22"/>
          <w:szCs w:val="20"/>
        </w:rPr>
        <w:t xml:space="preserve">was even outrightly expressed, the world faced </w:t>
      </w:r>
      <w:r w:rsidR="00EC07B9" w:rsidRPr="00471EEE">
        <w:rPr>
          <w:sz w:val="22"/>
          <w:szCs w:val="20"/>
        </w:rPr>
        <w:t xml:space="preserve">yet </w:t>
      </w:r>
      <w:r w:rsidRPr="00471EEE">
        <w:rPr>
          <w:sz w:val="22"/>
          <w:szCs w:val="20"/>
        </w:rPr>
        <w:t xml:space="preserve">another crisis when Russia invaded Ukraine in February 2022. </w:t>
      </w:r>
      <w:r w:rsidR="00B80DA2" w:rsidRPr="00471EEE">
        <w:rPr>
          <w:sz w:val="22"/>
          <w:szCs w:val="20"/>
        </w:rPr>
        <w:t xml:space="preserve">The result was a barrage of sanctions by the West towards Russia which would inevitably cause S&amp;P500 futures to decline. </w:t>
      </w:r>
      <w:r w:rsidR="00151672">
        <w:rPr>
          <w:sz w:val="22"/>
          <w:szCs w:val="20"/>
        </w:rPr>
        <w:t>D</w:t>
      </w:r>
      <w:r w:rsidR="00B80DA2" w:rsidRPr="00471EEE">
        <w:rPr>
          <w:sz w:val="22"/>
          <w:szCs w:val="20"/>
        </w:rPr>
        <w:t>efensive stock</w:t>
      </w:r>
      <w:r w:rsidR="000E486C" w:rsidRPr="00471EEE">
        <w:rPr>
          <w:sz w:val="22"/>
          <w:szCs w:val="20"/>
        </w:rPr>
        <w:t>s</w:t>
      </w:r>
      <w:r w:rsidR="00B80DA2" w:rsidRPr="00471EEE">
        <w:rPr>
          <w:sz w:val="22"/>
          <w:szCs w:val="20"/>
        </w:rPr>
        <w:t xml:space="preserve"> and stocks in the energy sector would see a </w:t>
      </w:r>
      <w:r w:rsidR="000E486C" w:rsidRPr="00471EEE">
        <w:rPr>
          <w:sz w:val="22"/>
          <w:szCs w:val="20"/>
        </w:rPr>
        <w:t xml:space="preserve">rally as oil prices would increase (Jain and Randewich 2022). Both the DOW and S&amp;P500 saw their first down quarter in two years since the advent of the pandemic. The peace talks between Russia and Ukraine </w:t>
      </w:r>
      <w:r w:rsidR="00EC07B9" w:rsidRPr="00471EEE">
        <w:rPr>
          <w:sz w:val="22"/>
          <w:szCs w:val="20"/>
        </w:rPr>
        <w:t xml:space="preserve">would have an impact on investor sentiment, drawing </w:t>
      </w:r>
      <w:r w:rsidR="009734D4" w:rsidRPr="00471EEE">
        <w:rPr>
          <w:sz w:val="22"/>
          <w:szCs w:val="20"/>
        </w:rPr>
        <w:t xml:space="preserve">market forces into moments of hope to seeing a quick end to the tragic occurrences taking place. </w:t>
      </w:r>
      <w:r w:rsidR="0020584E" w:rsidRPr="00471EEE">
        <w:rPr>
          <w:sz w:val="22"/>
          <w:szCs w:val="20"/>
        </w:rPr>
        <w:t>Much like its movements</w:t>
      </w:r>
      <w:r w:rsidR="00803C49" w:rsidRPr="00471EEE">
        <w:rPr>
          <w:sz w:val="22"/>
          <w:szCs w:val="20"/>
        </w:rPr>
        <w:t xml:space="preserve"> with the COVID-19 pandemic, </w:t>
      </w:r>
      <w:r w:rsidR="0020584E" w:rsidRPr="00471EEE">
        <w:rPr>
          <w:sz w:val="22"/>
          <w:szCs w:val="20"/>
        </w:rPr>
        <w:t>the VIX remained largely confusing in its fluctuation. Only a month later into its conflict, towards the end of March, the VIX Index dropped from</w:t>
      </w:r>
      <w:r w:rsidR="006704E5" w:rsidRPr="00471EEE">
        <w:rPr>
          <w:sz w:val="22"/>
          <w:szCs w:val="20"/>
        </w:rPr>
        <w:t xml:space="preserve"> $</w:t>
      </w:r>
      <w:r w:rsidR="0020584E" w:rsidRPr="00471EEE">
        <w:rPr>
          <w:sz w:val="22"/>
          <w:szCs w:val="20"/>
        </w:rPr>
        <w:t xml:space="preserve">22.3 to </w:t>
      </w:r>
      <w:r w:rsidR="006704E5" w:rsidRPr="00471EEE">
        <w:rPr>
          <w:sz w:val="22"/>
          <w:szCs w:val="20"/>
        </w:rPr>
        <w:t>$</w:t>
      </w:r>
      <w:r w:rsidR="0020584E" w:rsidRPr="00471EEE">
        <w:rPr>
          <w:sz w:val="22"/>
          <w:szCs w:val="20"/>
        </w:rPr>
        <w:t>20</w:t>
      </w:r>
      <w:r w:rsidR="006704E5" w:rsidRPr="00471EEE">
        <w:rPr>
          <w:sz w:val="22"/>
          <w:szCs w:val="20"/>
        </w:rPr>
        <w:t>.1 and crude oil fell to $100.62 from $113.47. This followed President Joe Bidens announcement of the release of strategic petroleum reserves. One can see how the impact of such government interventions can have on market efficiency and make market factors very hard to predict.</w:t>
      </w:r>
      <w:r w:rsidR="00AE1EA7" w:rsidRPr="00471EEE">
        <w:rPr>
          <w:sz w:val="22"/>
          <w:szCs w:val="20"/>
        </w:rPr>
        <w:t xml:space="preserve"> This makes putting a number on what affects </w:t>
      </w:r>
      <w:r w:rsidR="00A61C9E" w:rsidRPr="00471EEE">
        <w:rPr>
          <w:sz w:val="22"/>
          <w:szCs w:val="20"/>
        </w:rPr>
        <w:t>investor</w:t>
      </w:r>
      <w:r w:rsidR="00AE1EA7" w:rsidRPr="00471EEE">
        <w:rPr>
          <w:sz w:val="22"/>
          <w:szCs w:val="20"/>
        </w:rPr>
        <w:t xml:space="preserve"> sentiment</w:t>
      </w:r>
      <w:r w:rsidR="00A61C9E" w:rsidRPr="00471EEE">
        <w:rPr>
          <w:sz w:val="22"/>
          <w:szCs w:val="20"/>
        </w:rPr>
        <w:t xml:space="preserve"> </w:t>
      </w:r>
      <w:r w:rsidR="00AE1EA7" w:rsidRPr="00471EEE">
        <w:rPr>
          <w:sz w:val="22"/>
          <w:szCs w:val="20"/>
        </w:rPr>
        <w:t>can often be</w:t>
      </w:r>
      <w:r w:rsidR="00A61C9E" w:rsidRPr="00471EEE">
        <w:rPr>
          <w:sz w:val="22"/>
          <w:szCs w:val="20"/>
        </w:rPr>
        <w:t xml:space="preserve"> a tedious task given the varying nature of determinants to financial market volatility at any particular time. The slow response to VIX from the pandemic speaks to a lag factor in how investors respond to negative news</w:t>
      </w:r>
      <w:r w:rsidR="009B08BB" w:rsidRPr="00471EEE">
        <w:rPr>
          <w:sz w:val="22"/>
          <w:szCs w:val="20"/>
        </w:rPr>
        <w:t xml:space="preserve"> at least with regard to the pandemic</w:t>
      </w:r>
      <w:r w:rsidR="00D2216C">
        <w:rPr>
          <w:sz w:val="22"/>
          <w:szCs w:val="20"/>
        </w:rPr>
        <w:t xml:space="preserve"> (</w:t>
      </w:r>
      <w:bookmarkStart w:id="4" w:name="_Hlk106720694"/>
      <w:r w:rsidR="00D2216C" w:rsidRPr="00D2216C">
        <w:rPr>
          <w:sz w:val="22"/>
          <w:szCs w:val="20"/>
        </w:rPr>
        <w:t>lplresearch</w:t>
      </w:r>
      <w:r w:rsidR="00D2216C" w:rsidRPr="00D2216C">
        <w:rPr>
          <w:sz w:val="22"/>
          <w:szCs w:val="20"/>
        </w:rPr>
        <w:t xml:space="preserve"> </w:t>
      </w:r>
      <w:r w:rsidR="00D2216C">
        <w:rPr>
          <w:sz w:val="22"/>
          <w:szCs w:val="20"/>
        </w:rPr>
        <w:t>2022</w:t>
      </w:r>
      <w:bookmarkEnd w:id="4"/>
      <w:r w:rsidR="00D2216C">
        <w:rPr>
          <w:sz w:val="22"/>
          <w:szCs w:val="20"/>
        </w:rPr>
        <w:t>)</w:t>
      </w:r>
      <w:r w:rsidR="009B08BB" w:rsidRPr="00471EEE">
        <w:rPr>
          <w:sz w:val="22"/>
          <w:szCs w:val="20"/>
        </w:rPr>
        <w:t xml:space="preserve">. </w:t>
      </w:r>
    </w:p>
    <w:p w14:paraId="642F7A3B" w14:textId="77777777" w:rsidR="00F964DF" w:rsidRPr="00471EEE" w:rsidRDefault="00F964DF" w:rsidP="005217A4">
      <w:pPr>
        <w:rPr>
          <w:sz w:val="22"/>
          <w:szCs w:val="20"/>
        </w:rPr>
      </w:pPr>
    </w:p>
    <w:p w14:paraId="029F959E" w14:textId="0D5B0AC0" w:rsidR="00BD35D3" w:rsidRPr="00471EEE" w:rsidRDefault="00BD35D3" w:rsidP="00BD35D3">
      <w:pPr>
        <w:ind w:firstLine="0"/>
        <w:rPr>
          <w:sz w:val="22"/>
          <w:szCs w:val="20"/>
        </w:rPr>
      </w:pPr>
    </w:p>
    <w:p w14:paraId="78B82351" w14:textId="5C31B881" w:rsidR="00BD35D3" w:rsidRPr="00471EEE" w:rsidRDefault="00245657" w:rsidP="00BD35D3">
      <w:pPr>
        <w:pStyle w:val="Heading1"/>
        <w:ind w:firstLine="0"/>
        <w:rPr>
          <w:sz w:val="36"/>
          <w:szCs w:val="28"/>
        </w:rPr>
      </w:pPr>
      <w:bookmarkStart w:id="5" w:name="_Toc106747478"/>
      <w:r w:rsidRPr="00471EEE">
        <w:rPr>
          <w:sz w:val="36"/>
          <w:szCs w:val="28"/>
        </w:rPr>
        <w:lastRenderedPageBreak/>
        <w:t>3</w:t>
      </w:r>
      <w:r w:rsidR="00BD35D3" w:rsidRPr="00471EEE">
        <w:rPr>
          <w:sz w:val="36"/>
          <w:szCs w:val="28"/>
        </w:rPr>
        <w:t xml:space="preserve">.0 DATA </w:t>
      </w:r>
      <w:r w:rsidR="00B711C3" w:rsidRPr="00471EEE">
        <w:rPr>
          <w:sz w:val="36"/>
          <w:szCs w:val="28"/>
        </w:rPr>
        <w:t>SELECTION</w:t>
      </w:r>
      <w:r w:rsidR="002D1B8D" w:rsidRPr="00471EEE">
        <w:rPr>
          <w:sz w:val="36"/>
          <w:szCs w:val="28"/>
        </w:rPr>
        <w:t>,</w:t>
      </w:r>
      <w:r w:rsidR="00B711C3" w:rsidRPr="00471EEE">
        <w:rPr>
          <w:sz w:val="36"/>
          <w:szCs w:val="28"/>
        </w:rPr>
        <w:t xml:space="preserve"> DESCRIPTION</w:t>
      </w:r>
      <w:r w:rsidR="002D1B8D" w:rsidRPr="00471EEE">
        <w:rPr>
          <w:sz w:val="36"/>
          <w:szCs w:val="28"/>
        </w:rPr>
        <w:t xml:space="preserve"> AND METHODOLOGY</w:t>
      </w:r>
      <w:bookmarkEnd w:id="5"/>
    </w:p>
    <w:p w14:paraId="750CEBD1" w14:textId="558391F0" w:rsidR="00F964DF" w:rsidRPr="00471EEE" w:rsidRDefault="00F964DF" w:rsidP="00F964DF">
      <w:pPr>
        <w:pStyle w:val="Heading2"/>
        <w:ind w:firstLine="0"/>
        <w:rPr>
          <w:sz w:val="28"/>
          <w:szCs w:val="24"/>
        </w:rPr>
      </w:pPr>
      <w:bookmarkStart w:id="6" w:name="_Toc106747479"/>
      <w:r w:rsidRPr="00471EEE">
        <w:rPr>
          <w:sz w:val="28"/>
          <w:szCs w:val="24"/>
        </w:rPr>
        <w:t>3.1 DATA SELECTION</w:t>
      </w:r>
      <w:bookmarkEnd w:id="6"/>
    </w:p>
    <w:p w14:paraId="0075F684" w14:textId="70CEFA35" w:rsidR="00F964DF" w:rsidRPr="00471EEE" w:rsidRDefault="00F964DF" w:rsidP="00F964DF">
      <w:pPr>
        <w:rPr>
          <w:sz w:val="22"/>
          <w:szCs w:val="20"/>
        </w:rPr>
      </w:pPr>
      <w:r w:rsidRPr="00471EEE">
        <w:rPr>
          <w:sz w:val="22"/>
          <w:szCs w:val="20"/>
        </w:rPr>
        <w:t xml:space="preserve">Investor sentiment has often been used to gauge the behavioural response of institutional and private investors to fluctuation in the stock market. Researchers have found that the volatility in stock market performance can be used by arbitrageurs to capitalise on the movements in order to increase returns. For instance, Lei et al. (2012) indicates that so called “noise traders” impact the variability of trade volume by increasing the volatility of liquidity added in the market. They find that this often affords investors the ability to time their trades as trade volumes become volatile. </w:t>
      </w:r>
    </w:p>
    <w:p w14:paraId="60B10042" w14:textId="3043300E" w:rsidR="002D1B8D" w:rsidRPr="00471EEE" w:rsidRDefault="002D1B8D" w:rsidP="002D1B8D">
      <w:pPr>
        <w:rPr>
          <w:sz w:val="22"/>
          <w:szCs w:val="20"/>
        </w:rPr>
      </w:pPr>
      <w:r w:rsidRPr="00471EEE">
        <w:rPr>
          <w:sz w:val="22"/>
          <w:szCs w:val="20"/>
        </w:rPr>
        <w:t>The 2006, 2007 study done by Baker and Wurgler (2007) proposed 6 variables to create a sentiment index. These variables were closed-end fund discount, logarithm of the market turnover ratio, number of IPOs, the average first-day return of IPOs, the share of equity issues as a percentage of all total issues considered to be debt and equity, and finally, dividend premium which measures the difference in book-to-market ratios between dividend paying and non-dividend paying stocks. These variables have been widely used successfully in later research since then to predict volatility. The research by Baker and Wurgler (2007) found that as investor sentiment increased, the returns of small-cap stocks and growth stocks would decrease as investors sought to move investment towards less riskier assets.</w:t>
      </w:r>
    </w:p>
    <w:p w14:paraId="0163CEC1" w14:textId="77777777" w:rsidR="002D1B8D" w:rsidRPr="00471EEE" w:rsidRDefault="002D1B8D" w:rsidP="002D1B8D">
      <w:pPr>
        <w:rPr>
          <w:sz w:val="22"/>
          <w:szCs w:val="20"/>
        </w:rPr>
      </w:pPr>
      <w:r w:rsidRPr="00471EEE">
        <w:rPr>
          <w:sz w:val="22"/>
          <w:szCs w:val="20"/>
        </w:rPr>
        <w:t xml:space="preserve">Yao and Li (2020) show that over a longer period of time, investor sentiment is affected mainly by fluctuations in the market, which may be related to the existence of cyclical fluctuations in the market and futures arbitrage. The study uses Thermal Optimal Path Method and constructs a sentiment index using the Relative strength Index which measures whether a market is overbought or oversold over a specified trading period by looking at whether there was an overall gain or loss in returns on a particular day. The investigation also uses a psychological line Index that measures the number of days when a stock price maintains a consecutively higher valuation from a time t-n until that trajectory subsides at a time t. Trading Volume and finally Adjusted turnover ratio makeup the four factors used to create the sentiment index. </w:t>
      </w:r>
    </w:p>
    <w:p w14:paraId="5FD5A8AA" w14:textId="5854BCF9" w:rsidR="00022B98" w:rsidRPr="00471EEE" w:rsidRDefault="005C2DE7" w:rsidP="00803C49">
      <w:pPr>
        <w:rPr>
          <w:sz w:val="22"/>
          <w:szCs w:val="20"/>
        </w:rPr>
      </w:pPr>
      <w:r w:rsidRPr="00471EEE">
        <w:rPr>
          <w:sz w:val="22"/>
          <w:szCs w:val="20"/>
        </w:rPr>
        <w:t xml:space="preserve">Our paper uses the works of Baker and Wurgler (2007) </w:t>
      </w:r>
      <w:r w:rsidR="006F23F6" w:rsidRPr="00471EEE">
        <w:rPr>
          <w:sz w:val="22"/>
          <w:szCs w:val="20"/>
        </w:rPr>
        <w:t>as well as</w:t>
      </w:r>
      <w:r w:rsidRPr="00471EEE">
        <w:rPr>
          <w:sz w:val="22"/>
          <w:szCs w:val="20"/>
        </w:rPr>
        <w:t xml:space="preserve"> Yao and Li (2020) to investigate the simultaneous responses of S&amp;P500 returns and VIX to the factors characterising investor sentiment. We exclude the dividend premium as Baker and Wurgler (2000) </w:t>
      </w:r>
      <w:r w:rsidR="00096272" w:rsidRPr="00471EEE">
        <w:rPr>
          <w:sz w:val="22"/>
          <w:szCs w:val="20"/>
        </w:rPr>
        <w:t>found it to be insignificant in their data</w:t>
      </w:r>
      <w:r w:rsidR="00615D01" w:rsidRPr="00471EEE">
        <w:rPr>
          <w:sz w:val="22"/>
          <w:szCs w:val="20"/>
        </w:rPr>
        <w:t xml:space="preserve">. The frequency of the data that was available </w:t>
      </w:r>
      <w:r w:rsidR="00615D01" w:rsidRPr="00471EEE">
        <w:rPr>
          <w:sz w:val="22"/>
          <w:szCs w:val="20"/>
        </w:rPr>
        <w:lastRenderedPageBreak/>
        <w:t xml:space="preserve">was also anticipated to pose some difficulty in the modelling stages but </w:t>
      </w:r>
      <w:r w:rsidR="00BD35D3" w:rsidRPr="00471EEE">
        <w:rPr>
          <w:sz w:val="22"/>
          <w:szCs w:val="20"/>
        </w:rPr>
        <w:t xml:space="preserve">a possible solution was interpolation which was utilised </w:t>
      </w:r>
      <w:r w:rsidR="008130CC" w:rsidRPr="00471EEE">
        <w:rPr>
          <w:sz w:val="22"/>
          <w:szCs w:val="20"/>
        </w:rPr>
        <w:t xml:space="preserve">as it pertained to the share of equity issuances. </w:t>
      </w:r>
    </w:p>
    <w:p w14:paraId="02100045" w14:textId="7501966A" w:rsidR="00F964DF" w:rsidRPr="00471EEE" w:rsidRDefault="00F964DF" w:rsidP="00F964DF">
      <w:pPr>
        <w:pStyle w:val="Heading2"/>
        <w:ind w:firstLine="0"/>
        <w:rPr>
          <w:sz w:val="28"/>
          <w:szCs w:val="24"/>
        </w:rPr>
      </w:pPr>
      <w:bookmarkStart w:id="7" w:name="_Toc106747480"/>
      <w:r w:rsidRPr="00471EEE">
        <w:rPr>
          <w:sz w:val="28"/>
          <w:szCs w:val="24"/>
        </w:rPr>
        <w:t>3.2 DATA DESCRIPTION</w:t>
      </w:r>
      <w:bookmarkEnd w:id="7"/>
    </w:p>
    <w:p w14:paraId="7CCEA6E1" w14:textId="425537ED" w:rsidR="00022B98" w:rsidRPr="00471EEE" w:rsidRDefault="00940547" w:rsidP="00F964DF">
      <w:pPr>
        <w:pStyle w:val="Heading3"/>
        <w:ind w:firstLine="0"/>
        <w:rPr>
          <w:sz w:val="22"/>
          <w:szCs w:val="22"/>
        </w:rPr>
      </w:pPr>
      <w:bookmarkStart w:id="8" w:name="_Toc106747481"/>
      <w:r w:rsidRPr="00471EEE">
        <w:rPr>
          <w:sz w:val="22"/>
          <w:szCs w:val="22"/>
        </w:rPr>
        <w:t>3</w:t>
      </w:r>
      <w:r w:rsidR="00022B98" w:rsidRPr="00471EEE">
        <w:rPr>
          <w:sz w:val="22"/>
          <w:szCs w:val="22"/>
        </w:rPr>
        <w:t>.</w:t>
      </w:r>
      <w:r w:rsidR="00F964DF" w:rsidRPr="00471EEE">
        <w:rPr>
          <w:sz w:val="22"/>
          <w:szCs w:val="22"/>
        </w:rPr>
        <w:t>2.</w:t>
      </w:r>
      <w:r w:rsidR="00022B98" w:rsidRPr="00471EEE">
        <w:rPr>
          <w:sz w:val="22"/>
          <w:szCs w:val="22"/>
        </w:rPr>
        <w:t>1 Share of Equity Issuances</w:t>
      </w:r>
      <w:bookmarkEnd w:id="8"/>
    </w:p>
    <w:p w14:paraId="602199AF" w14:textId="17D30449" w:rsidR="005C2DE7" w:rsidRPr="00471EEE" w:rsidRDefault="008130CC" w:rsidP="00803C49">
      <w:pPr>
        <w:rPr>
          <w:sz w:val="22"/>
          <w:szCs w:val="20"/>
        </w:rPr>
      </w:pPr>
      <w:r w:rsidRPr="00471EEE">
        <w:rPr>
          <w:sz w:val="22"/>
          <w:szCs w:val="20"/>
        </w:rPr>
        <w:t>The data was calculated via the number</w:t>
      </w:r>
      <w:r w:rsidR="00053AE1" w:rsidRPr="00471EEE">
        <w:rPr>
          <w:sz w:val="22"/>
          <w:szCs w:val="20"/>
        </w:rPr>
        <w:t>s</w:t>
      </w:r>
      <w:r w:rsidRPr="00471EEE">
        <w:rPr>
          <w:sz w:val="22"/>
          <w:szCs w:val="20"/>
        </w:rPr>
        <w:t xml:space="preserve"> </w:t>
      </w:r>
      <w:r w:rsidR="00053AE1" w:rsidRPr="00471EEE">
        <w:rPr>
          <w:sz w:val="22"/>
          <w:szCs w:val="20"/>
        </w:rPr>
        <w:t>made available</w:t>
      </w:r>
      <w:r w:rsidRPr="00471EEE">
        <w:rPr>
          <w:sz w:val="22"/>
          <w:szCs w:val="20"/>
        </w:rPr>
        <w:t xml:space="preserve"> </w:t>
      </w:r>
      <w:r w:rsidR="00053AE1" w:rsidRPr="00471EEE">
        <w:rPr>
          <w:sz w:val="22"/>
          <w:szCs w:val="20"/>
        </w:rPr>
        <w:t>via</w:t>
      </w:r>
      <w:r w:rsidRPr="00471EEE">
        <w:rPr>
          <w:sz w:val="22"/>
          <w:szCs w:val="20"/>
        </w:rPr>
        <w:t xml:space="preserve"> the</w:t>
      </w:r>
      <w:r w:rsidR="00784133" w:rsidRPr="00471EEE">
        <w:rPr>
          <w:sz w:val="22"/>
          <w:szCs w:val="20"/>
        </w:rPr>
        <w:t xml:space="preserve"> United States government </w:t>
      </w:r>
      <w:r w:rsidR="003C7208">
        <w:rPr>
          <w:sz w:val="22"/>
          <w:szCs w:val="20"/>
        </w:rPr>
        <w:t xml:space="preserve">Federal Reserve </w:t>
      </w:r>
      <w:r w:rsidR="003C7208">
        <w:rPr>
          <w:rStyle w:val="FootnoteReference"/>
          <w:sz w:val="22"/>
          <w:szCs w:val="20"/>
        </w:rPr>
        <w:footnoteReference w:id="1"/>
      </w:r>
      <w:r w:rsidR="009E6626" w:rsidRPr="00471EEE">
        <w:rPr>
          <w:sz w:val="22"/>
          <w:szCs w:val="20"/>
        </w:rPr>
        <w:t>website</w:t>
      </w:r>
      <w:r w:rsidRPr="00471EEE">
        <w:rPr>
          <w:sz w:val="22"/>
          <w:szCs w:val="20"/>
        </w:rPr>
        <w:t>.</w:t>
      </w:r>
      <w:r w:rsidR="00E365E9" w:rsidRPr="00471EEE">
        <w:rPr>
          <w:sz w:val="22"/>
          <w:szCs w:val="20"/>
        </w:rPr>
        <w:t xml:space="preserve"> Th</w:t>
      </w:r>
      <w:r w:rsidR="005241F6" w:rsidRPr="00471EEE">
        <w:rPr>
          <w:sz w:val="22"/>
          <w:szCs w:val="20"/>
        </w:rPr>
        <w:t>is</w:t>
      </w:r>
      <w:r w:rsidR="00E365E9" w:rsidRPr="00471EEE">
        <w:rPr>
          <w:sz w:val="22"/>
          <w:szCs w:val="20"/>
        </w:rPr>
        <w:t xml:space="preserve"> share represents the </w:t>
      </w:r>
      <w:r w:rsidR="005241F6" w:rsidRPr="00471EEE">
        <w:rPr>
          <w:sz w:val="22"/>
          <w:szCs w:val="20"/>
        </w:rPr>
        <w:t>proportion</w:t>
      </w:r>
      <w:r w:rsidR="00E365E9" w:rsidRPr="00471EEE">
        <w:rPr>
          <w:sz w:val="22"/>
          <w:szCs w:val="20"/>
        </w:rPr>
        <w:t xml:space="preserve"> of equity </w:t>
      </w:r>
      <w:r w:rsidR="005241F6" w:rsidRPr="00471EEE">
        <w:rPr>
          <w:sz w:val="22"/>
          <w:szCs w:val="20"/>
        </w:rPr>
        <w:t>issues</w:t>
      </w:r>
      <w:r w:rsidR="00E365E9" w:rsidRPr="00471EEE">
        <w:rPr>
          <w:sz w:val="22"/>
          <w:szCs w:val="20"/>
        </w:rPr>
        <w:t xml:space="preserve"> from a total of </w:t>
      </w:r>
      <w:r w:rsidR="005241F6" w:rsidRPr="00471EEE">
        <w:rPr>
          <w:sz w:val="22"/>
          <w:szCs w:val="20"/>
        </w:rPr>
        <w:t>debt plus equity issues. The data provided is monthly data</w:t>
      </w:r>
      <w:r w:rsidR="00386E38" w:rsidRPr="00471EEE">
        <w:rPr>
          <w:sz w:val="22"/>
          <w:szCs w:val="20"/>
        </w:rPr>
        <w:t>.</w:t>
      </w:r>
      <w:r w:rsidR="005241F6" w:rsidRPr="00471EEE">
        <w:rPr>
          <w:sz w:val="22"/>
          <w:szCs w:val="20"/>
        </w:rPr>
        <w:t xml:space="preserve"> </w:t>
      </w:r>
      <w:r w:rsidR="00386E38" w:rsidRPr="00471EEE">
        <w:rPr>
          <w:sz w:val="22"/>
          <w:szCs w:val="20"/>
        </w:rPr>
        <w:t>W</w:t>
      </w:r>
      <w:r w:rsidR="005241F6" w:rsidRPr="00471EEE">
        <w:rPr>
          <w:sz w:val="22"/>
          <w:szCs w:val="20"/>
        </w:rPr>
        <w:t>e use interpolat</w:t>
      </w:r>
      <w:r w:rsidR="00386E38" w:rsidRPr="00471EEE">
        <w:rPr>
          <w:sz w:val="22"/>
          <w:szCs w:val="20"/>
        </w:rPr>
        <w:t>ion</w:t>
      </w:r>
      <w:r w:rsidR="005241F6" w:rsidRPr="00471EEE">
        <w:rPr>
          <w:sz w:val="22"/>
          <w:szCs w:val="20"/>
        </w:rPr>
        <w:t xml:space="preserve"> to transform it into </w:t>
      </w:r>
      <w:r w:rsidR="00386E38" w:rsidRPr="00471EEE">
        <w:rPr>
          <w:sz w:val="22"/>
          <w:szCs w:val="20"/>
        </w:rPr>
        <w:t xml:space="preserve">daily data to match the frequency of the other variables. </w:t>
      </w:r>
    </w:p>
    <w:p w14:paraId="5836D5E6" w14:textId="09969168" w:rsidR="00756C6F" w:rsidRPr="00471EEE" w:rsidRDefault="00756C6F" w:rsidP="00803C49">
      <w:pPr>
        <w:rPr>
          <w:sz w:val="22"/>
          <w:szCs w:val="20"/>
        </w:rPr>
      </w:pPr>
      <w:r w:rsidRPr="00471EEE">
        <w:rPr>
          <w:sz w:val="22"/>
          <w:szCs w:val="20"/>
        </w:rPr>
        <w:t xml:space="preserve">The amount of </w:t>
      </w:r>
      <w:r w:rsidR="000513E9" w:rsidRPr="00471EEE">
        <w:rPr>
          <w:sz w:val="22"/>
          <w:szCs w:val="20"/>
        </w:rPr>
        <w:t>debt-to-equity</w:t>
      </w:r>
      <w:r w:rsidR="00573552" w:rsidRPr="00471EEE">
        <w:rPr>
          <w:sz w:val="22"/>
          <w:szCs w:val="20"/>
        </w:rPr>
        <w:t xml:space="preserve"> </w:t>
      </w:r>
      <w:r w:rsidRPr="00471EEE">
        <w:rPr>
          <w:sz w:val="22"/>
          <w:szCs w:val="20"/>
        </w:rPr>
        <w:t xml:space="preserve">financing </w:t>
      </w:r>
      <w:r w:rsidR="000513E9" w:rsidRPr="00471EEE">
        <w:rPr>
          <w:sz w:val="22"/>
          <w:szCs w:val="20"/>
        </w:rPr>
        <w:t>has been known to have a close relationship to stock returns.</w:t>
      </w:r>
      <w:r w:rsidR="000E1C7A" w:rsidRPr="00471EEE">
        <w:rPr>
          <w:sz w:val="22"/>
          <w:szCs w:val="20"/>
        </w:rPr>
        <w:t xml:space="preserve"> Baker and Wurgler</w:t>
      </w:r>
      <w:r w:rsidR="000513E9" w:rsidRPr="00471EEE">
        <w:rPr>
          <w:sz w:val="22"/>
          <w:szCs w:val="20"/>
        </w:rPr>
        <w:t xml:space="preserve"> (</w:t>
      </w:r>
      <w:r w:rsidR="000E1C7A" w:rsidRPr="00471EEE">
        <w:rPr>
          <w:sz w:val="22"/>
          <w:szCs w:val="20"/>
        </w:rPr>
        <w:t>2000</w:t>
      </w:r>
      <w:r w:rsidR="000513E9" w:rsidRPr="00471EEE">
        <w:rPr>
          <w:sz w:val="22"/>
          <w:szCs w:val="20"/>
        </w:rPr>
        <w:t>) illustrate that during periods of high equity share, stock market returns tend to be high and likewise in periods of low equity share, stock market returns tend to b</w:t>
      </w:r>
      <w:r w:rsidR="0096686D" w:rsidRPr="00471EEE">
        <w:rPr>
          <w:sz w:val="22"/>
          <w:szCs w:val="20"/>
        </w:rPr>
        <w:t>e</w:t>
      </w:r>
      <w:r w:rsidR="000513E9" w:rsidRPr="00471EEE">
        <w:rPr>
          <w:sz w:val="22"/>
          <w:szCs w:val="20"/>
        </w:rPr>
        <w:t xml:space="preserve"> low. </w:t>
      </w:r>
      <w:r w:rsidR="00442C56" w:rsidRPr="00471EEE">
        <w:rPr>
          <w:sz w:val="22"/>
          <w:szCs w:val="20"/>
        </w:rPr>
        <w:t xml:space="preserve">Figure 3.1 shows this to be the case as perhaps there is a dilution of returns due to new IPOs. </w:t>
      </w:r>
    </w:p>
    <w:p w14:paraId="5044D66D" w14:textId="7ABC163B" w:rsidR="00B702F4" w:rsidRPr="00471EEE" w:rsidRDefault="00B702F4" w:rsidP="00B702F4">
      <w:pPr>
        <w:keepNext/>
        <w:jc w:val="center"/>
        <w:rPr>
          <w:sz w:val="22"/>
          <w:szCs w:val="20"/>
        </w:rPr>
      </w:pPr>
      <w:r w:rsidRPr="00471EEE">
        <w:rPr>
          <w:sz w:val="22"/>
          <w:szCs w:val="20"/>
        </w:rPr>
        <w:drawing>
          <wp:inline distT="0" distB="0" distL="0" distR="0" wp14:anchorId="24AE2FE2" wp14:editId="4EAAC29E">
            <wp:extent cx="5472430" cy="3380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2430" cy="3380105"/>
                    </a:xfrm>
                    <a:prstGeom prst="rect">
                      <a:avLst/>
                    </a:prstGeom>
                  </pic:spPr>
                </pic:pic>
              </a:graphicData>
            </a:graphic>
          </wp:inline>
        </w:drawing>
      </w:r>
    </w:p>
    <w:p w14:paraId="6D71D8E1" w14:textId="675690E1" w:rsidR="00B702F4" w:rsidRPr="00471EEE" w:rsidRDefault="00B702F4" w:rsidP="00B702F4">
      <w:pPr>
        <w:pStyle w:val="Caption"/>
        <w:jc w:val="center"/>
        <w:rPr>
          <w:sz w:val="16"/>
          <w:szCs w:val="16"/>
        </w:rPr>
      </w:pPr>
      <w:bookmarkStart w:id="9" w:name="_Toc106716437"/>
      <w:r w:rsidRPr="00471EEE">
        <w:rPr>
          <w:sz w:val="16"/>
          <w:szCs w:val="16"/>
        </w:rPr>
        <w:t>Figure 3.</w:t>
      </w:r>
      <w:r w:rsidRPr="00471EEE">
        <w:rPr>
          <w:sz w:val="16"/>
          <w:szCs w:val="16"/>
        </w:rPr>
        <w:fldChar w:fldCharType="begin"/>
      </w:r>
      <w:r w:rsidRPr="00471EEE">
        <w:rPr>
          <w:sz w:val="16"/>
          <w:szCs w:val="16"/>
        </w:rPr>
        <w:instrText xml:space="preserve"> SEQ Figure \* ARABIC </w:instrText>
      </w:r>
      <w:r w:rsidRPr="00471EEE">
        <w:rPr>
          <w:sz w:val="16"/>
          <w:szCs w:val="16"/>
        </w:rPr>
        <w:fldChar w:fldCharType="separate"/>
      </w:r>
      <w:r w:rsidR="007B6E79" w:rsidRPr="00471EEE">
        <w:rPr>
          <w:noProof/>
          <w:sz w:val="16"/>
          <w:szCs w:val="16"/>
        </w:rPr>
        <w:t>1</w:t>
      </w:r>
      <w:r w:rsidRPr="00471EEE">
        <w:rPr>
          <w:sz w:val="16"/>
          <w:szCs w:val="16"/>
        </w:rPr>
        <w:fldChar w:fldCharType="end"/>
      </w:r>
      <w:r w:rsidRPr="00471EEE">
        <w:rPr>
          <w:sz w:val="16"/>
          <w:szCs w:val="16"/>
        </w:rPr>
        <w:t xml:space="preserve">: </w:t>
      </w:r>
      <w:r w:rsidR="00442C56" w:rsidRPr="00471EEE">
        <w:rPr>
          <w:sz w:val="16"/>
          <w:szCs w:val="16"/>
        </w:rPr>
        <w:t xml:space="preserve">Scatter Plot </w:t>
      </w:r>
      <w:r w:rsidRPr="00471EEE">
        <w:rPr>
          <w:sz w:val="16"/>
          <w:szCs w:val="16"/>
        </w:rPr>
        <w:t>Share of Equity Issuances vs Returns</w:t>
      </w:r>
      <w:bookmarkEnd w:id="9"/>
    </w:p>
    <w:p w14:paraId="16C233BF" w14:textId="0E5176D2" w:rsidR="00D0594F" w:rsidRPr="00471EEE" w:rsidRDefault="00D0594F" w:rsidP="00D0594F">
      <w:pPr>
        <w:rPr>
          <w:sz w:val="22"/>
          <w:szCs w:val="20"/>
        </w:rPr>
      </w:pPr>
      <w:r w:rsidRPr="00471EEE">
        <w:rPr>
          <w:sz w:val="22"/>
          <w:szCs w:val="20"/>
        </w:rPr>
        <w:t xml:space="preserve">Figure 3.2 below shows </w:t>
      </w:r>
      <w:r w:rsidR="00DB1695" w:rsidRPr="00471EEE">
        <w:rPr>
          <w:sz w:val="22"/>
          <w:szCs w:val="20"/>
        </w:rPr>
        <w:t xml:space="preserve">the trend of rising share of equity to debt. We observe a rise in the share of debt issues increases following initial reports of covid closures. This may be as a result of changes in monetary policy and a rise in government bond issues. </w:t>
      </w:r>
      <w:r w:rsidR="00D15D58" w:rsidRPr="00471EEE">
        <w:rPr>
          <w:sz w:val="22"/>
          <w:szCs w:val="20"/>
        </w:rPr>
        <w:t xml:space="preserve">Early 2021 shows the share in equities pick up, a boost most likely </w:t>
      </w:r>
      <w:r w:rsidR="0030792E" w:rsidRPr="00471EEE">
        <w:rPr>
          <w:sz w:val="22"/>
          <w:szCs w:val="20"/>
        </w:rPr>
        <w:t xml:space="preserve">from the result of the presidential </w:t>
      </w:r>
      <w:r w:rsidR="0030792E" w:rsidRPr="00471EEE">
        <w:rPr>
          <w:sz w:val="22"/>
          <w:szCs w:val="20"/>
        </w:rPr>
        <w:lastRenderedPageBreak/>
        <w:t xml:space="preserve">election. Optimism was high for a return to normalcy as the president elect promised to control the pandemic situation. As previous literature points out, news of deaths resulted in a negative sentiment while news of recoveries led to positive sentiment. </w:t>
      </w:r>
    </w:p>
    <w:p w14:paraId="216C117D" w14:textId="3A605C59" w:rsidR="00D0594F" w:rsidRPr="00471EEE" w:rsidRDefault="00D0594F" w:rsidP="00DB1695">
      <w:pPr>
        <w:keepNext/>
        <w:jc w:val="center"/>
        <w:rPr>
          <w:sz w:val="22"/>
          <w:szCs w:val="20"/>
        </w:rPr>
      </w:pPr>
      <w:r w:rsidRPr="00471EEE">
        <w:rPr>
          <w:noProof/>
          <w:sz w:val="22"/>
          <w:szCs w:val="20"/>
        </w:rPr>
        <w:drawing>
          <wp:inline distT="0" distB="0" distL="0" distR="0" wp14:anchorId="1C10B381" wp14:editId="07EEC825">
            <wp:extent cx="532003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85" t="4954" b="5883"/>
                    <a:stretch/>
                  </pic:blipFill>
                  <pic:spPr bwMode="auto">
                    <a:xfrm>
                      <a:off x="0" y="0"/>
                      <a:ext cx="5320030" cy="2743200"/>
                    </a:xfrm>
                    <a:prstGeom prst="rect">
                      <a:avLst/>
                    </a:prstGeom>
                    <a:ln>
                      <a:noFill/>
                    </a:ln>
                    <a:extLst>
                      <a:ext uri="{53640926-AAD7-44D8-BBD7-CCE9431645EC}">
                        <a14:shadowObscured xmlns:a14="http://schemas.microsoft.com/office/drawing/2010/main"/>
                      </a:ext>
                    </a:extLst>
                  </pic:spPr>
                </pic:pic>
              </a:graphicData>
            </a:graphic>
          </wp:inline>
        </w:drawing>
      </w:r>
    </w:p>
    <w:p w14:paraId="41145D98" w14:textId="08AB4648" w:rsidR="00D0594F" w:rsidRPr="00471EEE" w:rsidRDefault="00D0594F" w:rsidP="00D0594F">
      <w:pPr>
        <w:pStyle w:val="Caption"/>
        <w:jc w:val="center"/>
        <w:rPr>
          <w:sz w:val="16"/>
          <w:szCs w:val="16"/>
        </w:rPr>
      </w:pPr>
      <w:bookmarkStart w:id="10" w:name="_Toc106716438"/>
      <w:r w:rsidRPr="00471EEE">
        <w:rPr>
          <w:sz w:val="16"/>
          <w:szCs w:val="16"/>
        </w:rPr>
        <w:t xml:space="preserve">Figure </w:t>
      </w:r>
      <w:r w:rsidR="00FB28DE" w:rsidRPr="00471EEE">
        <w:rPr>
          <w:sz w:val="16"/>
          <w:szCs w:val="16"/>
        </w:rPr>
        <w:t>3.</w:t>
      </w:r>
      <w:r w:rsidRPr="00471EEE">
        <w:rPr>
          <w:sz w:val="16"/>
          <w:szCs w:val="16"/>
        </w:rPr>
        <w:fldChar w:fldCharType="begin"/>
      </w:r>
      <w:r w:rsidRPr="00471EEE">
        <w:rPr>
          <w:sz w:val="16"/>
          <w:szCs w:val="16"/>
        </w:rPr>
        <w:instrText xml:space="preserve"> SEQ Figure \* ARABIC </w:instrText>
      </w:r>
      <w:r w:rsidRPr="00471EEE">
        <w:rPr>
          <w:sz w:val="16"/>
          <w:szCs w:val="16"/>
        </w:rPr>
        <w:fldChar w:fldCharType="separate"/>
      </w:r>
      <w:r w:rsidR="007B6E79" w:rsidRPr="00471EEE">
        <w:rPr>
          <w:noProof/>
          <w:sz w:val="16"/>
          <w:szCs w:val="16"/>
        </w:rPr>
        <w:t>2</w:t>
      </w:r>
      <w:r w:rsidRPr="00471EEE">
        <w:rPr>
          <w:sz w:val="16"/>
          <w:szCs w:val="16"/>
        </w:rPr>
        <w:fldChar w:fldCharType="end"/>
      </w:r>
      <w:r w:rsidRPr="00471EEE">
        <w:rPr>
          <w:sz w:val="16"/>
          <w:szCs w:val="16"/>
        </w:rPr>
        <w:t>: Share of Equity Issuances Line Chart</w:t>
      </w:r>
      <w:bookmarkEnd w:id="10"/>
    </w:p>
    <w:p w14:paraId="7A4EA8BC" w14:textId="77777777" w:rsidR="00DB1695" w:rsidRPr="00471EEE" w:rsidRDefault="00DB1695" w:rsidP="00DB1695">
      <w:pPr>
        <w:rPr>
          <w:sz w:val="22"/>
          <w:szCs w:val="20"/>
        </w:rPr>
      </w:pPr>
    </w:p>
    <w:p w14:paraId="74E77229" w14:textId="77777777" w:rsidR="009B34D1" w:rsidRPr="00471EEE" w:rsidRDefault="009B34D1" w:rsidP="00803C49">
      <w:pPr>
        <w:rPr>
          <w:sz w:val="22"/>
          <w:szCs w:val="20"/>
        </w:rPr>
      </w:pPr>
    </w:p>
    <w:p w14:paraId="01DD0549" w14:textId="09A43E67" w:rsidR="004910DB" w:rsidRPr="00471EEE" w:rsidRDefault="00940547" w:rsidP="00F964DF">
      <w:pPr>
        <w:pStyle w:val="Heading3"/>
        <w:ind w:firstLine="0"/>
        <w:rPr>
          <w:sz w:val="22"/>
          <w:szCs w:val="22"/>
        </w:rPr>
      </w:pPr>
      <w:bookmarkStart w:id="11" w:name="_Toc106747482"/>
      <w:r w:rsidRPr="00471EEE">
        <w:rPr>
          <w:sz w:val="22"/>
          <w:szCs w:val="22"/>
        </w:rPr>
        <w:t>3</w:t>
      </w:r>
      <w:r w:rsidR="004910DB" w:rsidRPr="00471EEE">
        <w:rPr>
          <w:sz w:val="22"/>
          <w:szCs w:val="22"/>
        </w:rPr>
        <w:t>.2</w:t>
      </w:r>
      <w:r w:rsidR="00F964DF" w:rsidRPr="00471EEE">
        <w:rPr>
          <w:sz w:val="22"/>
          <w:szCs w:val="22"/>
        </w:rPr>
        <w:t>.2</w:t>
      </w:r>
      <w:r w:rsidR="004910DB" w:rsidRPr="00471EEE">
        <w:rPr>
          <w:sz w:val="22"/>
          <w:szCs w:val="22"/>
        </w:rPr>
        <w:t xml:space="preserve"> Closed-end Fund Discount</w:t>
      </w:r>
      <w:bookmarkEnd w:id="11"/>
    </w:p>
    <w:p w14:paraId="2299167C" w14:textId="3E691CEE" w:rsidR="00FA4818" w:rsidRPr="00471EEE" w:rsidRDefault="00FA4818" w:rsidP="00FA4818">
      <w:pPr>
        <w:rPr>
          <w:sz w:val="22"/>
          <w:szCs w:val="20"/>
        </w:rPr>
      </w:pPr>
      <w:r w:rsidRPr="00471EEE">
        <w:rPr>
          <w:sz w:val="22"/>
          <w:szCs w:val="20"/>
        </w:rPr>
        <w:t>As stipulated by Baker and Wurgler (200</w:t>
      </w:r>
      <w:r w:rsidR="009E49FD">
        <w:rPr>
          <w:sz w:val="22"/>
          <w:szCs w:val="20"/>
        </w:rPr>
        <w:t>6</w:t>
      </w:r>
      <w:r w:rsidRPr="00471EEE">
        <w:rPr>
          <w:sz w:val="22"/>
          <w:szCs w:val="20"/>
        </w:rPr>
        <w:t>), the following formula shows how we calculated the final discount result</w:t>
      </w:r>
      <w:r w:rsidR="00843DE3" w:rsidRPr="00471EEE">
        <w:rPr>
          <w:sz w:val="22"/>
          <w:szCs w:val="20"/>
        </w:rPr>
        <w:t xml:space="preserve"> for closed-end funds</w:t>
      </w:r>
      <w:r w:rsidR="00843DE3" w:rsidRPr="00471EEE">
        <w:rPr>
          <w:rStyle w:val="FootnoteReference"/>
          <w:sz w:val="22"/>
          <w:szCs w:val="20"/>
        </w:rPr>
        <w:footnoteReference w:id="2"/>
      </w:r>
      <w:r w:rsidRPr="00471EEE">
        <w:rPr>
          <w:sz w:val="22"/>
          <w:szCs w:val="20"/>
        </w:rPr>
        <w:t>:</w:t>
      </w:r>
    </w:p>
    <w:p w14:paraId="5D123777" w14:textId="3E0C4ECE" w:rsidR="00681FBA" w:rsidRPr="00471EEE" w:rsidRDefault="00CE3725" w:rsidP="00681FBA">
      <w:pPr>
        <w:rPr>
          <w:rFonts w:eastAsiaTheme="minorEastAsia"/>
          <w:sz w:val="22"/>
          <w:szCs w:val="20"/>
        </w:rPr>
      </w:pPr>
      <m:oMathPara>
        <m:oMath>
          <m:sSub>
            <m:sSubPr>
              <m:ctrlPr>
                <w:rPr>
                  <w:i/>
                  <w:sz w:val="22"/>
                  <w:szCs w:val="20"/>
                </w:rPr>
              </m:ctrlPr>
            </m:sSubPr>
            <m:e>
              <m:r>
                <w:rPr>
                  <w:rFonts w:ascii="Cambria Math" w:hAnsi="Cambria Math"/>
                  <w:sz w:val="22"/>
                  <w:szCs w:val="20"/>
                </w:rPr>
                <m:t>VWD</m:t>
              </m:r>
            </m:e>
            <m:sub>
              <m:r>
                <w:rPr>
                  <w:rFonts w:ascii="Cambria Math" w:hAnsi="Cambria Math"/>
                  <w:sz w:val="22"/>
                  <w:szCs w:val="20"/>
                </w:rPr>
                <m:t>t</m:t>
              </m:r>
            </m:sub>
          </m:sSub>
          <m:r>
            <w:rPr>
              <w:rFonts w:eastAsia="Cambria Math" w:cs="Cambria Math"/>
              <w:sz w:val="22"/>
              <w:szCs w:val="20"/>
            </w:rPr>
            <m:t>=</m:t>
          </m:r>
          <m:nary>
            <m:naryPr>
              <m:chr m:val="∑"/>
              <m:grow m:val="1"/>
              <m:ctrlPr>
                <w:rPr>
                  <w:sz w:val="22"/>
                  <w:szCs w:val="20"/>
                </w:rPr>
              </m:ctrlPr>
            </m:naryPr>
            <m:sub>
              <m:r>
                <w:rPr>
                  <w:rFonts w:eastAsia="Cambria Math" w:cs="Cambria Math"/>
                  <w:sz w:val="22"/>
                  <w:szCs w:val="20"/>
                </w:rPr>
                <m:t>t=1</m:t>
              </m:r>
            </m:sub>
            <m:sup>
              <m:sSub>
                <m:sSubPr>
                  <m:ctrlPr>
                    <w:rPr>
                      <w:i/>
                      <w:sz w:val="22"/>
                      <w:szCs w:val="20"/>
                    </w:rPr>
                  </m:ctrlPr>
                </m:sSubPr>
                <m:e>
                  <m:r>
                    <w:rPr>
                      <w:rFonts w:ascii="Cambria Math" w:hAnsi="Cambria Math"/>
                      <w:sz w:val="22"/>
                      <w:szCs w:val="20"/>
                    </w:rPr>
                    <m:t>n</m:t>
                  </m:r>
                </m:e>
                <m:sub>
                  <m:r>
                    <w:rPr>
                      <w:rFonts w:ascii="Cambria Math" w:hAnsi="Cambria Math"/>
                      <w:sz w:val="22"/>
                      <w:szCs w:val="20"/>
                    </w:rPr>
                    <m:t>t</m:t>
                  </m:r>
                </m:sub>
              </m:sSub>
            </m:sup>
            <m:e>
              <m:sSub>
                <m:sSubPr>
                  <m:ctrlPr>
                    <w:rPr>
                      <w:i/>
                      <w:sz w:val="22"/>
                      <w:szCs w:val="20"/>
                    </w:rPr>
                  </m:ctrlPr>
                </m:sSubPr>
                <m:e>
                  <m:r>
                    <w:rPr>
                      <w:rFonts w:ascii="Cambria Math" w:hAnsi="Cambria Math"/>
                      <w:sz w:val="22"/>
                      <w:szCs w:val="20"/>
                    </w:rPr>
                    <m:t>W</m:t>
                  </m:r>
                </m:e>
                <m:sub>
                  <m:r>
                    <w:rPr>
                      <w:rFonts w:ascii="Cambria Math" w:hAnsi="Cambria Math"/>
                      <w:sz w:val="22"/>
                      <w:szCs w:val="20"/>
                    </w:rPr>
                    <m:t>t</m:t>
                  </m:r>
                </m:sub>
              </m:sSub>
              <m:sSub>
                <m:sSubPr>
                  <m:ctrlPr>
                    <w:rPr>
                      <w:i/>
                      <w:sz w:val="22"/>
                      <w:szCs w:val="20"/>
                    </w:rPr>
                  </m:ctrlPr>
                </m:sSubPr>
                <m:e>
                  <m:r>
                    <w:rPr>
                      <w:rFonts w:ascii="Cambria Math" w:hAnsi="Cambria Math"/>
                      <w:sz w:val="22"/>
                      <w:szCs w:val="20"/>
                    </w:rPr>
                    <m:t>DISC</m:t>
                  </m:r>
                </m:e>
                <m:sub>
                  <m:r>
                    <w:rPr>
                      <w:rFonts w:ascii="Cambria Math" w:hAnsi="Cambria Math"/>
                      <w:sz w:val="22"/>
                      <w:szCs w:val="20"/>
                    </w:rPr>
                    <m:t>it</m:t>
                  </m:r>
                </m:sub>
              </m:sSub>
            </m:e>
          </m:nary>
        </m:oMath>
      </m:oMathPara>
    </w:p>
    <w:p w14:paraId="793815DD" w14:textId="08139566" w:rsidR="004A6F15" w:rsidRPr="00471EEE" w:rsidRDefault="00B73634" w:rsidP="00681FBA">
      <w:pPr>
        <w:rPr>
          <w:rFonts w:eastAsiaTheme="minorEastAsia"/>
          <w:sz w:val="22"/>
          <w:szCs w:val="20"/>
        </w:rPr>
      </w:pPr>
      <w:r w:rsidRPr="00471EEE">
        <w:rPr>
          <w:rFonts w:eastAsiaTheme="minorEastAsia"/>
          <w:sz w:val="22"/>
          <w:szCs w:val="20"/>
        </w:rPr>
        <w:t>w</w:t>
      </w:r>
      <w:r w:rsidR="004A6F15" w:rsidRPr="00471EEE">
        <w:rPr>
          <w:rFonts w:eastAsiaTheme="minorEastAsia"/>
          <w:sz w:val="22"/>
          <w:szCs w:val="20"/>
        </w:rPr>
        <w:t>here</w:t>
      </w:r>
      <w:r w:rsidR="00D36DC3" w:rsidRPr="00471EEE">
        <w:rPr>
          <w:rFonts w:eastAsiaTheme="minorEastAsia"/>
          <w:sz w:val="22"/>
          <w:szCs w:val="20"/>
        </w:rPr>
        <w:t>,</w:t>
      </w:r>
    </w:p>
    <w:p w14:paraId="3C6C060A" w14:textId="05C31232" w:rsidR="00681FBA" w:rsidRPr="00471EEE" w:rsidRDefault="00CE3725" w:rsidP="00681FBA">
      <w:pPr>
        <w:rPr>
          <w:rFonts w:eastAsiaTheme="minorEastAsia"/>
          <w:sz w:val="22"/>
          <w:szCs w:val="20"/>
        </w:rPr>
      </w:pPr>
      <m:oMath>
        <m:sSub>
          <m:sSubPr>
            <m:ctrlPr>
              <w:rPr>
                <w:rFonts w:cs="Arial"/>
                <w:i/>
                <w:sz w:val="22"/>
                <w:szCs w:val="20"/>
              </w:rPr>
            </m:ctrlPr>
          </m:sSubPr>
          <m:e>
            <m:r>
              <w:rPr>
                <w:rFonts w:ascii="Cambria Math" w:hAnsi="Cambria Math" w:cs="Arial"/>
                <w:sz w:val="22"/>
                <w:szCs w:val="20"/>
              </w:rPr>
              <m:t>W</m:t>
            </m:r>
          </m:e>
          <m:sub>
            <m:r>
              <w:rPr>
                <w:rFonts w:ascii="Cambria Math" w:hAnsi="Cambria Math" w:cs="Arial"/>
                <w:sz w:val="22"/>
                <w:szCs w:val="20"/>
              </w:rPr>
              <m:t>i</m:t>
            </m:r>
          </m:sub>
        </m:sSub>
        <m:r>
          <w:rPr>
            <w:rFonts w:eastAsiaTheme="minorEastAsia" w:cs="Arial"/>
            <w:sz w:val="22"/>
            <w:szCs w:val="20"/>
          </w:rPr>
          <m:t>=</m:t>
        </m:r>
        <m:f>
          <m:fPr>
            <m:ctrlPr>
              <w:rPr>
                <w:rFonts w:eastAsiaTheme="minorEastAsia" w:cs="Arial"/>
                <w:sz w:val="22"/>
                <w:szCs w:val="20"/>
              </w:rPr>
            </m:ctrlPr>
          </m:fPr>
          <m:num>
            <m:sSub>
              <m:sSubPr>
                <m:ctrlPr>
                  <w:rPr>
                    <w:rFonts w:cs="Arial"/>
                    <w:i/>
                    <w:sz w:val="22"/>
                    <w:szCs w:val="20"/>
                  </w:rPr>
                </m:ctrlPr>
              </m:sSubPr>
              <m:e>
                <m:r>
                  <w:rPr>
                    <w:rFonts w:ascii="Cambria Math" w:hAnsi="Cambria Math" w:cs="Arial"/>
                    <w:sz w:val="22"/>
                    <w:szCs w:val="20"/>
                  </w:rPr>
                  <m:t>NAV</m:t>
                </m:r>
              </m:e>
              <m:sub>
                <m:r>
                  <w:rPr>
                    <w:rFonts w:ascii="Cambria Math" w:hAnsi="Cambria Math" w:cs="Arial"/>
                    <w:sz w:val="22"/>
                    <w:szCs w:val="20"/>
                  </w:rPr>
                  <m:t>it</m:t>
                </m:r>
              </m:sub>
            </m:sSub>
          </m:num>
          <m:den>
            <m:nary>
              <m:naryPr>
                <m:chr m:val="∑"/>
                <m:grow m:val="1"/>
                <m:ctrlPr>
                  <w:rPr>
                    <w:rFonts w:cs="Arial"/>
                    <w:sz w:val="22"/>
                    <w:szCs w:val="20"/>
                  </w:rPr>
                </m:ctrlPr>
              </m:naryPr>
              <m:sub>
                <m:r>
                  <w:rPr>
                    <w:rFonts w:eastAsia="Cambria Math" w:cs="Arial"/>
                    <w:sz w:val="22"/>
                    <w:szCs w:val="20"/>
                  </w:rPr>
                  <m:t>t=1</m:t>
                </m:r>
              </m:sub>
              <m:sup>
                <m:sSub>
                  <m:sSubPr>
                    <m:ctrlPr>
                      <w:rPr>
                        <w:rFonts w:cs="Arial"/>
                        <w:i/>
                        <w:sz w:val="22"/>
                        <w:szCs w:val="20"/>
                      </w:rPr>
                    </m:ctrlPr>
                  </m:sSubPr>
                  <m:e>
                    <m:r>
                      <w:rPr>
                        <w:rFonts w:ascii="Cambria Math" w:hAnsi="Cambria Math" w:cs="Arial"/>
                        <w:sz w:val="22"/>
                        <w:szCs w:val="20"/>
                      </w:rPr>
                      <m:t>n</m:t>
                    </m:r>
                  </m:e>
                  <m:sub>
                    <m:r>
                      <w:rPr>
                        <w:rFonts w:ascii="Cambria Math" w:hAnsi="Cambria Math" w:cs="Arial"/>
                        <w:sz w:val="22"/>
                        <w:szCs w:val="20"/>
                      </w:rPr>
                      <m:t>t</m:t>
                    </m:r>
                  </m:sub>
                </m:sSub>
              </m:sup>
              <m:e>
                <m:sSub>
                  <m:sSubPr>
                    <m:ctrlPr>
                      <w:rPr>
                        <w:rFonts w:cs="Arial"/>
                        <w:i/>
                        <w:sz w:val="22"/>
                        <w:szCs w:val="20"/>
                      </w:rPr>
                    </m:ctrlPr>
                  </m:sSubPr>
                  <m:e>
                    <m:r>
                      <w:rPr>
                        <w:rFonts w:ascii="Cambria Math" w:hAnsi="Cambria Math" w:cs="Arial"/>
                        <w:sz w:val="22"/>
                        <w:szCs w:val="20"/>
                      </w:rPr>
                      <m:t>NAV</m:t>
                    </m:r>
                  </m:e>
                  <m:sub>
                    <m:r>
                      <w:rPr>
                        <w:rFonts w:ascii="Cambria Math" w:hAnsi="Cambria Math" w:cs="Arial"/>
                        <w:sz w:val="22"/>
                        <w:szCs w:val="20"/>
                      </w:rPr>
                      <m:t>it</m:t>
                    </m:r>
                  </m:sub>
                </m:sSub>
              </m:e>
            </m:nary>
          </m:den>
        </m:f>
        <m:r>
          <w:rPr>
            <w:rFonts w:eastAsiaTheme="minorEastAsia" w:cs="Arial"/>
            <w:sz w:val="22"/>
            <w:szCs w:val="20"/>
          </w:rPr>
          <m:t xml:space="preserve">, </m:t>
        </m:r>
        <m:sSub>
          <m:sSubPr>
            <m:ctrlPr>
              <w:rPr>
                <w:rFonts w:cs="Arial"/>
                <w:iCs/>
                <w:sz w:val="22"/>
                <w:szCs w:val="20"/>
              </w:rPr>
            </m:ctrlPr>
          </m:sSubPr>
          <m:e>
            <m:r>
              <m:rPr>
                <m:sty m:val="p"/>
              </m:rPr>
              <w:rPr>
                <w:rFonts w:ascii="Cambria Math" w:hAnsi="Cambria Math" w:cs="Arial"/>
                <w:sz w:val="22"/>
                <w:szCs w:val="20"/>
              </w:rPr>
              <m:t xml:space="preserve">  NAV</m:t>
            </m:r>
          </m:e>
          <m:sub>
            <m:r>
              <m:rPr>
                <m:sty m:val="p"/>
              </m:rPr>
              <w:rPr>
                <w:rFonts w:ascii="Cambria Math" w:hAnsi="Cambria Math" w:cs="Arial"/>
                <w:sz w:val="22"/>
                <w:szCs w:val="20"/>
              </w:rPr>
              <m:t>it</m:t>
            </m:r>
          </m:sub>
        </m:sSub>
        <m:r>
          <w:rPr>
            <w:rFonts w:ascii="Cambria Math" w:hAnsi="Cambria Math" w:cs="Arial"/>
            <w:sz w:val="22"/>
            <w:szCs w:val="20"/>
          </w:rPr>
          <m:t xml:space="preserve"> </m:t>
        </m:r>
      </m:oMath>
      <w:r w:rsidR="00E610C2" w:rsidRPr="00471EEE">
        <w:rPr>
          <w:rFonts w:eastAsiaTheme="minorEastAsia"/>
          <w:iCs/>
          <w:sz w:val="22"/>
          <w:szCs w:val="20"/>
        </w:rPr>
        <w:t>=net asset value of fund i at end of period t</w:t>
      </w:r>
    </w:p>
    <w:p w14:paraId="46CA4AEF" w14:textId="24D587C8" w:rsidR="004A6F15" w:rsidRPr="00471EEE" w:rsidRDefault="00CE3725" w:rsidP="004A6F15">
      <w:pPr>
        <w:rPr>
          <w:rFonts w:eastAsiaTheme="minorEastAsia"/>
          <w:sz w:val="22"/>
          <w:szCs w:val="20"/>
        </w:rPr>
      </w:pPr>
      <m:oMathPara>
        <m:oMath>
          <m:sSub>
            <m:sSubPr>
              <m:ctrlPr>
                <w:rPr>
                  <w:i/>
                  <w:sz w:val="22"/>
                  <w:szCs w:val="20"/>
                </w:rPr>
              </m:ctrlPr>
            </m:sSubPr>
            <m:e>
              <m:r>
                <w:rPr>
                  <w:rFonts w:ascii="Cambria Math" w:hAnsi="Cambria Math"/>
                  <w:sz w:val="22"/>
                  <w:szCs w:val="20"/>
                </w:rPr>
                <m:t>DISC</m:t>
              </m:r>
            </m:e>
            <m:sub>
              <m:r>
                <w:rPr>
                  <w:rFonts w:ascii="Cambria Math" w:hAnsi="Cambria Math"/>
                  <w:sz w:val="22"/>
                  <w:szCs w:val="20"/>
                </w:rPr>
                <m:t>it</m:t>
              </m:r>
            </m:sub>
          </m:sSub>
          <m:r>
            <w:rPr>
              <w:rFonts w:eastAsiaTheme="minorEastAsia"/>
              <w:sz w:val="22"/>
              <w:szCs w:val="20"/>
            </w:rPr>
            <m:t>=</m:t>
          </m:r>
          <m:f>
            <m:fPr>
              <m:ctrlPr>
                <w:rPr>
                  <w:rFonts w:eastAsiaTheme="minorEastAsia"/>
                  <w:sz w:val="22"/>
                  <w:szCs w:val="20"/>
                </w:rPr>
              </m:ctrlPr>
            </m:fPr>
            <m:num>
              <m:sSub>
                <m:sSubPr>
                  <m:ctrlPr>
                    <w:rPr>
                      <w:i/>
                      <w:sz w:val="22"/>
                      <w:szCs w:val="20"/>
                    </w:rPr>
                  </m:ctrlPr>
                </m:sSubPr>
                <m:e>
                  <m:r>
                    <w:rPr>
                      <w:rFonts w:ascii="Cambria Math" w:hAnsi="Cambria Math"/>
                      <w:sz w:val="22"/>
                      <w:szCs w:val="20"/>
                    </w:rPr>
                    <m:t>NAV</m:t>
                  </m:r>
                </m:e>
                <m:sub>
                  <m:r>
                    <w:rPr>
                      <w:rFonts w:ascii="Cambria Math" w:hAnsi="Cambria Math"/>
                      <w:sz w:val="22"/>
                      <w:szCs w:val="20"/>
                    </w:rPr>
                    <m:t>it</m:t>
                  </m:r>
                </m:sub>
              </m:sSub>
              <m:r>
                <w:rPr>
                  <w:rFonts w:ascii="Cambria Math" w:hAnsi="Cambria Math"/>
                  <w:sz w:val="22"/>
                  <w:szCs w:val="20"/>
                </w:rPr>
                <m:t>-</m:t>
              </m:r>
              <m:sSub>
                <m:sSubPr>
                  <m:ctrlPr>
                    <w:rPr>
                      <w:i/>
                      <w:sz w:val="22"/>
                      <w:szCs w:val="20"/>
                    </w:rPr>
                  </m:ctrlPr>
                </m:sSubPr>
                <m:e>
                  <m:r>
                    <w:rPr>
                      <w:rFonts w:ascii="Cambria Math" w:hAnsi="Cambria Math"/>
                      <w:sz w:val="22"/>
                      <w:szCs w:val="20"/>
                    </w:rPr>
                    <m:t>SP</m:t>
                  </m:r>
                </m:e>
                <m:sub>
                  <m:r>
                    <w:rPr>
                      <w:rFonts w:ascii="Cambria Math" w:hAnsi="Cambria Math"/>
                      <w:sz w:val="22"/>
                      <w:szCs w:val="20"/>
                    </w:rPr>
                    <m:t>it</m:t>
                  </m:r>
                </m:sub>
              </m:sSub>
            </m:num>
            <m:den>
              <m:sSub>
                <m:sSubPr>
                  <m:ctrlPr>
                    <w:rPr>
                      <w:i/>
                      <w:sz w:val="22"/>
                      <w:szCs w:val="20"/>
                    </w:rPr>
                  </m:ctrlPr>
                </m:sSubPr>
                <m:e>
                  <m:r>
                    <w:rPr>
                      <w:rFonts w:ascii="Cambria Math" w:hAnsi="Cambria Math"/>
                      <w:sz w:val="22"/>
                      <w:szCs w:val="20"/>
                    </w:rPr>
                    <m:t>NAV</m:t>
                  </m:r>
                </m:e>
                <m:sub>
                  <m:r>
                    <w:rPr>
                      <w:rFonts w:ascii="Cambria Math" w:hAnsi="Cambria Math"/>
                      <w:sz w:val="22"/>
                      <w:szCs w:val="20"/>
                    </w:rPr>
                    <m:t>it</m:t>
                  </m:r>
                </m:sub>
              </m:sSub>
            </m:den>
          </m:f>
          <m:r>
            <w:rPr>
              <w:rFonts w:eastAsiaTheme="minorEastAsia"/>
              <w:sz w:val="22"/>
              <w:szCs w:val="20"/>
            </w:rPr>
            <m:t>×</m:t>
          </m:r>
          <m:r>
            <m:rPr>
              <m:sty m:val="p"/>
            </m:rPr>
            <w:rPr>
              <w:rFonts w:eastAsiaTheme="minorEastAsia"/>
              <w:sz w:val="22"/>
              <w:szCs w:val="20"/>
            </w:rPr>
            <m:t>100</m:t>
          </m:r>
        </m:oMath>
      </m:oMathPara>
    </w:p>
    <w:p w14:paraId="2EC6D81A" w14:textId="57D58469" w:rsidR="00D36DC3" w:rsidRPr="00471EEE" w:rsidRDefault="00CE3725" w:rsidP="004A6F15">
      <w:pPr>
        <w:rPr>
          <w:rFonts w:eastAsiaTheme="minorEastAsia"/>
          <w:i/>
          <w:iCs/>
          <w:sz w:val="22"/>
          <w:szCs w:val="20"/>
        </w:rPr>
      </w:pPr>
      <m:oMath>
        <m:sSub>
          <m:sSubPr>
            <m:ctrlPr>
              <w:rPr>
                <w:i/>
                <w:sz w:val="22"/>
                <w:szCs w:val="20"/>
              </w:rPr>
            </m:ctrlPr>
          </m:sSubPr>
          <m:e>
            <m:r>
              <w:rPr>
                <w:rFonts w:ascii="Cambria Math" w:hAnsi="Cambria Math"/>
                <w:sz w:val="22"/>
                <w:szCs w:val="20"/>
              </w:rPr>
              <m:t>SP</m:t>
            </m:r>
          </m:e>
          <m:sub>
            <m:r>
              <w:rPr>
                <w:rFonts w:ascii="Cambria Math" w:hAnsi="Cambria Math"/>
                <w:sz w:val="22"/>
                <w:szCs w:val="20"/>
              </w:rPr>
              <m:t>it</m:t>
            </m:r>
          </m:sub>
        </m:sSub>
      </m:oMath>
      <w:r w:rsidR="00D36DC3" w:rsidRPr="00471EEE">
        <w:rPr>
          <w:rFonts w:eastAsiaTheme="minorEastAsia"/>
          <w:sz w:val="22"/>
          <w:szCs w:val="20"/>
        </w:rPr>
        <w:t xml:space="preserve"> = stock price of fund </w:t>
      </w:r>
      <w:r w:rsidR="00D36DC3" w:rsidRPr="00471EEE">
        <w:rPr>
          <w:rFonts w:eastAsiaTheme="minorEastAsia"/>
          <w:i/>
          <w:iCs/>
          <w:sz w:val="22"/>
          <w:szCs w:val="20"/>
        </w:rPr>
        <w:t xml:space="preserve">i </w:t>
      </w:r>
      <w:r w:rsidR="00D36DC3" w:rsidRPr="00471EEE">
        <w:rPr>
          <w:rFonts w:eastAsiaTheme="minorEastAsia" w:cs="Arial"/>
          <w:sz w:val="22"/>
          <w:szCs w:val="20"/>
        </w:rPr>
        <w:t>at end of period</w:t>
      </w:r>
      <w:r w:rsidR="00D36DC3" w:rsidRPr="00471EEE">
        <w:rPr>
          <w:rFonts w:eastAsiaTheme="minorEastAsia"/>
          <w:i/>
          <w:iCs/>
          <w:sz w:val="22"/>
          <w:szCs w:val="20"/>
        </w:rPr>
        <w:t xml:space="preserve"> t</w:t>
      </w:r>
    </w:p>
    <w:p w14:paraId="2362C663" w14:textId="0B11132D" w:rsidR="00D36DC3" w:rsidRPr="00471EEE" w:rsidRDefault="00CE3725" w:rsidP="00F35D9B">
      <w:pPr>
        <w:ind w:left="720" w:firstLine="0"/>
        <w:rPr>
          <w:rFonts w:eastAsiaTheme="minorEastAsia"/>
          <w:i/>
          <w:iCs/>
          <w:sz w:val="22"/>
          <w:szCs w:val="20"/>
        </w:rPr>
      </w:pPr>
      <m:oMath>
        <m:sSub>
          <m:sSubPr>
            <m:ctrlPr>
              <w:rPr>
                <w:i/>
                <w:sz w:val="22"/>
                <w:szCs w:val="20"/>
              </w:rPr>
            </m:ctrlPr>
          </m:sSubPr>
          <m:e>
            <m:r>
              <w:rPr>
                <w:rFonts w:ascii="Cambria Math" w:hAnsi="Cambria Math"/>
                <w:sz w:val="22"/>
                <w:szCs w:val="20"/>
              </w:rPr>
              <m:t>n</m:t>
            </m:r>
          </m:e>
          <m:sub>
            <m:r>
              <w:rPr>
                <w:rFonts w:ascii="Cambria Math" w:hAnsi="Cambria Math"/>
                <w:sz w:val="22"/>
                <w:szCs w:val="20"/>
              </w:rPr>
              <m:t>t</m:t>
            </m:r>
          </m:sub>
        </m:sSub>
      </m:oMath>
      <w:r w:rsidR="00D36DC3" w:rsidRPr="00471EEE">
        <w:rPr>
          <w:rFonts w:eastAsiaTheme="minorEastAsia"/>
          <w:sz w:val="22"/>
          <w:szCs w:val="20"/>
        </w:rPr>
        <w:t xml:space="preserve"> = </w:t>
      </w:r>
      <w:r w:rsidR="00F35D9B" w:rsidRPr="00471EEE">
        <w:rPr>
          <w:rFonts w:eastAsiaTheme="minorEastAsia"/>
          <w:sz w:val="22"/>
          <w:szCs w:val="20"/>
        </w:rPr>
        <w:t>the number</w:t>
      </w:r>
      <w:r w:rsidR="00D36DC3" w:rsidRPr="00471EEE">
        <w:rPr>
          <w:rFonts w:eastAsiaTheme="minorEastAsia"/>
          <w:sz w:val="22"/>
          <w:szCs w:val="20"/>
        </w:rPr>
        <w:t xml:space="preserve"> of fund</w:t>
      </w:r>
      <w:r w:rsidR="00F35D9B" w:rsidRPr="00471EEE">
        <w:rPr>
          <w:rFonts w:eastAsiaTheme="minorEastAsia"/>
          <w:sz w:val="22"/>
          <w:szCs w:val="20"/>
        </w:rPr>
        <w:t xml:space="preserve">s with available </w:t>
      </w:r>
      <m:oMath>
        <m:sSub>
          <m:sSubPr>
            <m:ctrlPr>
              <w:rPr>
                <w:i/>
                <w:sz w:val="22"/>
                <w:szCs w:val="20"/>
              </w:rPr>
            </m:ctrlPr>
          </m:sSubPr>
          <m:e>
            <m:r>
              <w:rPr>
                <w:rFonts w:ascii="Cambria Math" w:hAnsi="Cambria Math"/>
                <w:sz w:val="22"/>
                <w:szCs w:val="20"/>
              </w:rPr>
              <m:t>DISC</m:t>
            </m:r>
          </m:e>
          <m:sub>
            <m:r>
              <w:rPr>
                <w:rFonts w:ascii="Cambria Math" w:hAnsi="Cambria Math"/>
                <w:sz w:val="22"/>
                <w:szCs w:val="20"/>
              </w:rPr>
              <m:t>it</m:t>
            </m:r>
          </m:sub>
        </m:sSub>
      </m:oMath>
      <w:r w:rsidR="00F35D9B" w:rsidRPr="00471EEE">
        <w:rPr>
          <w:rFonts w:eastAsiaTheme="minorEastAsia"/>
          <w:sz w:val="22"/>
          <w:szCs w:val="20"/>
        </w:rPr>
        <w:t xml:space="preserve"> and </w:t>
      </w:r>
      <m:oMath>
        <m:sSub>
          <m:sSubPr>
            <m:ctrlPr>
              <w:rPr>
                <w:rFonts w:cs="Arial"/>
                <w:i/>
                <w:sz w:val="22"/>
                <w:szCs w:val="20"/>
              </w:rPr>
            </m:ctrlPr>
          </m:sSubPr>
          <m:e>
            <m:r>
              <w:rPr>
                <w:rFonts w:ascii="Cambria Math" w:hAnsi="Cambria Math" w:cs="Arial"/>
                <w:sz w:val="22"/>
                <w:szCs w:val="20"/>
              </w:rPr>
              <m:t>NAV</m:t>
            </m:r>
          </m:e>
          <m:sub>
            <m:r>
              <w:rPr>
                <w:rFonts w:ascii="Cambria Math" w:hAnsi="Cambria Math" w:cs="Arial"/>
                <w:sz w:val="22"/>
                <w:szCs w:val="20"/>
              </w:rPr>
              <m:t>it</m:t>
            </m:r>
          </m:sub>
        </m:sSub>
      </m:oMath>
      <w:r w:rsidR="00F35D9B" w:rsidRPr="00471EEE">
        <w:rPr>
          <w:rFonts w:eastAsiaTheme="minorEastAsia"/>
          <w:sz w:val="22"/>
          <w:szCs w:val="20"/>
        </w:rPr>
        <w:t xml:space="preserve"> data</w:t>
      </w:r>
      <w:r w:rsidR="00D36DC3" w:rsidRPr="00471EEE">
        <w:rPr>
          <w:rFonts w:eastAsiaTheme="minorEastAsia"/>
          <w:sz w:val="22"/>
          <w:szCs w:val="20"/>
        </w:rPr>
        <w:t xml:space="preserve"> </w:t>
      </w:r>
      <w:r w:rsidR="00D36DC3" w:rsidRPr="00471EEE">
        <w:rPr>
          <w:rFonts w:eastAsiaTheme="minorEastAsia"/>
          <w:i/>
          <w:iCs/>
          <w:sz w:val="22"/>
          <w:szCs w:val="20"/>
        </w:rPr>
        <w:t xml:space="preserve">i </w:t>
      </w:r>
      <w:r w:rsidR="00D36DC3" w:rsidRPr="00471EEE">
        <w:rPr>
          <w:rFonts w:eastAsiaTheme="minorEastAsia" w:cs="Arial"/>
          <w:sz w:val="22"/>
          <w:szCs w:val="20"/>
        </w:rPr>
        <w:t>at end of period</w:t>
      </w:r>
      <w:r w:rsidR="00D36DC3" w:rsidRPr="00471EEE">
        <w:rPr>
          <w:rFonts w:eastAsiaTheme="minorEastAsia"/>
          <w:i/>
          <w:iCs/>
          <w:sz w:val="22"/>
          <w:szCs w:val="20"/>
        </w:rPr>
        <w:t xml:space="preserve"> t</w:t>
      </w:r>
    </w:p>
    <w:p w14:paraId="29196F14" w14:textId="3FAC2D93" w:rsidR="00E610C2" w:rsidRPr="00471EEE" w:rsidRDefault="00E610C2" w:rsidP="00E610C2">
      <w:pPr>
        <w:ind w:firstLine="0"/>
        <w:rPr>
          <w:rFonts w:eastAsiaTheme="minorEastAsia" w:cs="Arial"/>
          <w:sz w:val="22"/>
          <w:szCs w:val="20"/>
        </w:rPr>
      </w:pPr>
      <w:r w:rsidRPr="00471EEE">
        <w:rPr>
          <w:rFonts w:eastAsiaTheme="minorEastAsia" w:cs="Arial"/>
          <w:sz w:val="22"/>
          <w:szCs w:val="20"/>
        </w:rPr>
        <w:lastRenderedPageBreak/>
        <w:t>We then calculated the change in value weighted discount and defined the equation as follows:</w:t>
      </w:r>
    </w:p>
    <w:p w14:paraId="6BD33C36" w14:textId="1B900495" w:rsidR="00E7079D" w:rsidRPr="00471EEE" w:rsidRDefault="00CE3725" w:rsidP="00E7079D">
      <w:pPr>
        <w:rPr>
          <w:rFonts w:eastAsiaTheme="minorEastAsia"/>
          <w:sz w:val="22"/>
          <w:szCs w:val="20"/>
        </w:rPr>
      </w:pPr>
      <m:oMathPara>
        <m:oMath>
          <m:sSub>
            <m:sSubPr>
              <m:ctrlPr>
                <w:rPr>
                  <w:i/>
                  <w:sz w:val="22"/>
                  <w:szCs w:val="20"/>
                </w:rPr>
              </m:ctrlPr>
            </m:sSubPr>
            <m:e>
              <m:r>
                <w:rPr>
                  <w:rFonts w:ascii="Cambria Math" w:hAnsi="Cambria Math"/>
                  <w:sz w:val="22"/>
                  <w:szCs w:val="20"/>
                </w:rPr>
                <m:t>∆VWD</m:t>
              </m:r>
            </m:e>
            <m:sub>
              <m:r>
                <w:rPr>
                  <w:rFonts w:ascii="Cambria Math" w:hAnsi="Cambria Math"/>
                  <w:sz w:val="22"/>
                  <w:szCs w:val="20"/>
                </w:rPr>
                <m:t>t</m:t>
              </m:r>
            </m:sub>
          </m:sSub>
          <m:r>
            <w:rPr>
              <w:rFonts w:eastAsiaTheme="minorEastAsia"/>
              <w:sz w:val="22"/>
              <w:szCs w:val="20"/>
            </w:rPr>
            <m:t>=</m:t>
          </m:r>
          <m:sSub>
            <m:sSubPr>
              <m:ctrlPr>
                <w:rPr>
                  <w:i/>
                  <w:sz w:val="22"/>
                  <w:szCs w:val="20"/>
                </w:rPr>
              </m:ctrlPr>
            </m:sSubPr>
            <m:e>
              <m:r>
                <w:rPr>
                  <w:rFonts w:ascii="Cambria Math" w:hAnsi="Cambria Math"/>
                  <w:sz w:val="22"/>
                  <w:szCs w:val="20"/>
                </w:rPr>
                <m:t>VWD</m:t>
              </m:r>
            </m:e>
            <m:sub>
              <m:r>
                <w:rPr>
                  <w:rFonts w:ascii="Cambria Math" w:hAnsi="Cambria Math"/>
                  <w:sz w:val="22"/>
                  <w:szCs w:val="20"/>
                </w:rPr>
                <m:t>t</m:t>
              </m:r>
            </m:sub>
          </m:sSub>
          <m:r>
            <w:rPr>
              <w:rFonts w:ascii="Cambria Math" w:hAnsi="Cambria Math"/>
              <w:sz w:val="22"/>
              <w:szCs w:val="20"/>
            </w:rPr>
            <m:t xml:space="preserve">- </m:t>
          </m:r>
          <m:sSub>
            <m:sSubPr>
              <m:ctrlPr>
                <w:rPr>
                  <w:i/>
                  <w:sz w:val="22"/>
                  <w:szCs w:val="20"/>
                </w:rPr>
              </m:ctrlPr>
            </m:sSubPr>
            <m:e>
              <m:r>
                <w:rPr>
                  <w:rFonts w:ascii="Cambria Math" w:hAnsi="Cambria Math"/>
                  <w:sz w:val="22"/>
                  <w:szCs w:val="20"/>
                </w:rPr>
                <m:t>VWD</m:t>
              </m:r>
            </m:e>
            <m:sub>
              <m:r>
                <w:rPr>
                  <w:rFonts w:ascii="Cambria Math" w:hAnsi="Cambria Math"/>
                  <w:sz w:val="22"/>
                  <w:szCs w:val="20"/>
                </w:rPr>
                <m:t>t-1</m:t>
              </m:r>
            </m:sub>
          </m:sSub>
        </m:oMath>
      </m:oMathPara>
    </w:p>
    <w:p w14:paraId="4B5D451B" w14:textId="77777777" w:rsidR="00E7079D" w:rsidRPr="00471EEE" w:rsidRDefault="00E7079D" w:rsidP="00E610C2">
      <w:pPr>
        <w:ind w:firstLine="0"/>
        <w:rPr>
          <w:rFonts w:eastAsiaTheme="minorEastAsia" w:cs="Arial"/>
          <w:sz w:val="22"/>
          <w:szCs w:val="20"/>
        </w:rPr>
      </w:pPr>
    </w:p>
    <w:p w14:paraId="7E289955" w14:textId="4BA7F2F9" w:rsidR="00E610C2" w:rsidRPr="00471EEE" w:rsidRDefault="00FD3FD6" w:rsidP="00E610C2">
      <w:pPr>
        <w:ind w:firstLine="0"/>
        <w:rPr>
          <w:rFonts w:eastAsiaTheme="minorEastAsia" w:cs="Arial"/>
          <w:sz w:val="22"/>
          <w:szCs w:val="20"/>
        </w:rPr>
      </w:pPr>
      <w:r w:rsidRPr="00471EEE">
        <w:rPr>
          <w:rFonts w:eastAsiaTheme="minorEastAsia" w:cs="Arial"/>
          <w:sz w:val="22"/>
          <w:szCs w:val="20"/>
        </w:rPr>
        <w:t xml:space="preserve">The data available was monthly data. Because the daily data was not available, we used interpolation to produce a daily dataset. </w:t>
      </w:r>
      <w:r w:rsidR="00D65DAE" w:rsidRPr="00471EEE">
        <w:rPr>
          <w:rFonts w:eastAsiaTheme="minorEastAsia" w:cs="Arial"/>
          <w:sz w:val="22"/>
          <w:szCs w:val="20"/>
        </w:rPr>
        <w:t xml:space="preserve">We originally found 253 closed end fund data. Of the 253, Net Asset Value data was only found for 151 of them. </w:t>
      </w:r>
    </w:p>
    <w:p w14:paraId="0F1A2913" w14:textId="77777777" w:rsidR="007419BE" w:rsidRPr="00471EEE" w:rsidRDefault="007419BE" w:rsidP="00E610C2">
      <w:pPr>
        <w:ind w:firstLine="0"/>
        <w:rPr>
          <w:rFonts w:eastAsiaTheme="minorEastAsia" w:cs="Arial"/>
          <w:sz w:val="22"/>
          <w:szCs w:val="20"/>
        </w:rPr>
      </w:pPr>
    </w:p>
    <w:p w14:paraId="7E3EB59D" w14:textId="77777777" w:rsidR="004A6F15" w:rsidRPr="00471EEE" w:rsidRDefault="004A6F15" w:rsidP="00D36DC3">
      <w:pPr>
        <w:ind w:firstLine="0"/>
        <w:rPr>
          <w:sz w:val="22"/>
          <w:szCs w:val="20"/>
        </w:rPr>
      </w:pPr>
    </w:p>
    <w:p w14:paraId="3F428220" w14:textId="1C11615D" w:rsidR="00FA5EFF" w:rsidRPr="00471EEE" w:rsidRDefault="00FA5EFF" w:rsidP="00FA5EFF">
      <w:pPr>
        <w:pStyle w:val="Heading3"/>
        <w:ind w:firstLine="0"/>
        <w:rPr>
          <w:sz w:val="22"/>
          <w:szCs w:val="22"/>
        </w:rPr>
      </w:pPr>
      <w:bookmarkStart w:id="12" w:name="_Toc106747483"/>
      <w:r w:rsidRPr="00471EEE">
        <w:rPr>
          <w:sz w:val="22"/>
          <w:szCs w:val="22"/>
        </w:rPr>
        <w:t>3.2.3 Trade Volume</w:t>
      </w:r>
      <w:bookmarkEnd w:id="12"/>
    </w:p>
    <w:p w14:paraId="4FFE8382" w14:textId="66E4FD63" w:rsidR="00FA5EFF" w:rsidRPr="00471EEE" w:rsidRDefault="00FA5EFF" w:rsidP="00FA5EFF">
      <w:pPr>
        <w:rPr>
          <w:sz w:val="22"/>
          <w:szCs w:val="20"/>
        </w:rPr>
      </w:pPr>
      <w:r w:rsidRPr="00471EEE">
        <w:rPr>
          <w:sz w:val="22"/>
          <w:szCs w:val="20"/>
        </w:rPr>
        <w:t>Baker and Stein (2004) explain how trading volume can act as a</w:t>
      </w:r>
      <w:r w:rsidR="00806D13" w:rsidRPr="00471EEE">
        <w:rPr>
          <w:sz w:val="22"/>
          <w:szCs w:val="20"/>
        </w:rPr>
        <w:t>n</w:t>
      </w:r>
      <w:r w:rsidRPr="00471EEE">
        <w:rPr>
          <w:sz w:val="22"/>
          <w:szCs w:val="20"/>
        </w:rPr>
        <w:t xml:space="preserve"> indicator </w:t>
      </w:r>
      <w:r w:rsidR="00806D13" w:rsidRPr="00471EEE">
        <w:rPr>
          <w:sz w:val="22"/>
          <w:szCs w:val="20"/>
        </w:rPr>
        <w:t xml:space="preserve">for investor sentiment </w:t>
      </w:r>
      <w:r w:rsidRPr="00471EEE">
        <w:rPr>
          <w:sz w:val="22"/>
          <w:szCs w:val="20"/>
        </w:rPr>
        <w:t>because of the information it carries about market activity. Liao</w:t>
      </w:r>
      <w:r w:rsidR="00806D13" w:rsidRPr="00471EEE">
        <w:rPr>
          <w:sz w:val="22"/>
          <w:szCs w:val="20"/>
        </w:rPr>
        <w:t xml:space="preserve"> et al. </w:t>
      </w:r>
      <w:r w:rsidRPr="00471EEE">
        <w:rPr>
          <w:sz w:val="22"/>
          <w:szCs w:val="20"/>
        </w:rPr>
        <w:t xml:space="preserve">(2011) use individual stock </w:t>
      </w:r>
      <w:r w:rsidR="00BA70ED" w:rsidRPr="00471EEE">
        <w:rPr>
          <w:sz w:val="22"/>
          <w:szCs w:val="20"/>
        </w:rPr>
        <w:t xml:space="preserve">trade volume and </w:t>
      </w:r>
      <w:r w:rsidRPr="00471EEE">
        <w:rPr>
          <w:sz w:val="22"/>
          <w:szCs w:val="20"/>
        </w:rPr>
        <w:t xml:space="preserve">S&amp;P500 index </w:t>
      </w:r>
      <w:r w:rsidR="00BA70ED" w:rsidRPr="00471EEE">
        <w:rPr>
          <w:sz w:val="22"/>
          <w:szCs w:val="20"/>
        </w:rPr>
        <w:t>trading volume</w:t>
      </w:r>
      <w:r w:rsidRPr="00471EEE">
        <w:rPr>
          <w:sz w:val="22"/>
          <w:szCs w:val="20"/>
        </w:rPr>
        <w:t xml:space="preserve"> as sentiment indicators.</w:t>
      </w:r>
      <w:r w:rsidR="00BA70ED" w:rsidRPr="00471EEE">
        <w:rPr>
          <w:sz w:val="22"/>
          <w:szCs w:val="20"/>
        </w:rPr>
        <w:t xml:space="preserve"> This paper uses average trading volume of all S&amp;P500 individual stocks on a daily frequency. </w:t>
      </w:r>
      <w:r w:rsidR="007B6E79" w:rsidRPr="00471EEE">
        <w:rPr>
          <w:sz w:val="22"/>
          <w:szCs w:val="20"/>
        </w:rPr>
        <w:t>The diagram below show</w:t>
      </w:r>
      <w:r w:rsidR="00F41207" w:rsidRPr="00471EEE">
        <w:rPr>
          <w:sz w:val="22"/>
          <w:szCs w:val="20"/>
        </w:rPr>
        <w:t>s this relationship to be true as volatility increases the more liquidity is injected into the market.</w:t>
      </w:r>
      <w:r w:rsidR="00EB3687" w:rsidRPr="00471EEE">
        <w:rPr>
          <w:sz w:val="22"/>
          <w:szCs w:val="20"/>
        </w:rPr>
        <w:t xml:space="preserve"> The trade volume was adapted from </w:t>
      </w:r>
      <w:r w:rsidR="00B87D7F" w:rsidRPr="00471EEE">
        <w:rPr>
          <w:sz w:val="22"/>
          <w:szCs w:val="20"/>
        </w:rPr>
        <w:t>the WRDS website from their Compustat</w:t>
      </w:r>
      <w:r w:rsidR="002F121C" w:rsidRPr="00471EEE">
        <w:rPr>
          <w:rStyle w:val="FootnoteReference"/>
          <w:sz w:val="22"/>
          <w:szCs w:val="20"/>
        </w:rPr>
        <w:footnoteReference w:id="3"/>
      </w:r>
      <w:r w:rsidR="00B87D7F" w:rsidRPr="00471EEE">
        <w:rPr>
          <w:sz w:val="22"/>
          <w:szCs w:val="20"/>
        </w:rPr>
        <w:t xml:space="preserve"> North America page.</w:t>
      </w:r>
    </w:p>
    <w:p w14:paraId="776721D7" w14:textId="16572AB6" w:rsidR="007B6E79" w:rsidRPr="00471EEE" w:rsidRDefault="007B6E79" w:rsidP="007B6E79">
      <w:pPr>
        <w:keepNext/>
        <w:jc w:val="center"/>
        <w:rPr>
          <w:sz w:val="22"/>
          <w:szCs w:val="20"/>
        </w:rPr>
      </w:pPr>
      <w:r w:rsidRPr="00471EEE">
        <w:rPr>
          <w:sz w:val="22"/>
          <w:szCs w:val="20"/>
        </w:rPr>
        <w:drawing>
          <wp:inline distT="0" distB="0" distL="0" distR="0" wp14:anchorId="588D20AE" wp14:editId="6C3FD5EB">
            <wp:extent cx="4433570" cy="2605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7129" cy="2613144"/>
                    </a:xfrm>
                    <a:prstGeom prst="rect">
                      <a:avLst/>
                    </a:prstGeom>
                  </pic:spPr>
                </pic:pic>
              </a:graphicData>
            </a:graphic>
          </wp:inline>
        </w:drawing>
      </w:r>
    </w:p>
    <w:p w14:paraId="2EFC17CE" w14:textId="68723C46" w:rsidR="00D65AC4" w:rsidRPr="00471EEE" w:rsidRDefault="007B6E79" w:rsidP="007B6E79">
      <w:pPr>
        <w:pStyle w:val="Caption"/>
        <w:jc w:val="center"/>
        <w:rPr>
          <w:sz w:val="16"/>
          <w:szCs w:val="16"/>
        </w:rPr>
      </w:pPr>
      <w:bookmarkStart w:id="13" w:name="_Toc106716439"/>
      <w:r w:rsidRPr="00471EEE">
        <w:rPr>
          <w:sz w:val="16"/>
          <w:szCs w:val="16"/>
        </w:rPr>
        <w:t xml:space="preserve">Figure </w:t>
      </w:r>
      <w:r w:rsidRPr="00471EEE">
        <w:rPr>
          <w:sz w:val="16"/>
          <w:szCs w:val="16"/>
        </w:rPr>
        <w:fldChar w:fldCharType="begin"/>
      </w:r>
      <w:r w:rsidRPr="00471EEE">
        <w:rPr>
          <w:sz w:val="16"/>
          <w:szCs w:val="16"/>
        </w:rPr>
        <w:instrText xml:space="preserve"> SEQ Figure \* ARABIC </w:instrText>
      </w:r>
      <w:r w:rsidRPr="00471EEE">
        <w:rPr>
          <w:sz w:val="16"/>
          <w:szCs w:val="16"/>
        </w:rPr>
        <w:fldChar w:fldCharType="separate"/>
      </w:r>
      <w:r w:rsidRPr="00471EEE">
        <w:rPr>
          <w:noProof/>
          <w:sz w:val="16"/>
          <w:szCs w:val="16"/>
        </w:rPr>
        <w:t>3</w:t>
      </w:r>
      <w:r w:rsidRPr="00471EEE">
        <w:rPr>
          <w:sz w:val="16"/>
          <w:szCs w:val="16"/>
        </w:rPr>
        <w:fldChar w:fldCharType="end"/>
      </w:r>
      <w:r w:rsidR="00FB28DE" w:rsidRPr="00471EEE">
        <w:rPr>
          <w:sz w:val="16"/>
          <w:szCs w:val="16"/>
        </w:rPr>
        <w:t>.3</w:t>
      </w:r>
      <w:r w:rsidRPr="00471EEE">
        <w:rPr>
          <w:sz w:val="16"/>
          <w:szCs w:val="16"/>
        </w:rPr>
        <w:t>: Relationship Between Trade Volume and VIX</w:t>
      </w:r>
      <w:bookmarkEnd w:id="13"/>
    </w:p>
    <w:p w14:paraId="5025A813" w14:textId="31A81B8E" w:rsidR="007B6E79" w:rsidRPr="00471EEE" w:rsidRDefault="007B6E79" w:rsidP="007B6E79">
      <w:pPr>
        <w:rPr>
          <w:sz w:val="22"/>
          <w:szCs w:val="20"/>
        </w:rPr>
      </w:pPr>
    </w:p>
    <w:p w14:paraId="450DDB58" w14:textId="216BE926" w:rsidR="00C84119" w:rsidRPr="00471EEE" w:rsidRDefault="00C84119" w:rsidP="00C84119">
      <w:pPr>
        <w:pStyle w:val="Heading3"/>
        <w:ind w:firstLine="0"/>
        <w:rPr>
          <w:sz w:val="22"/>
          <w:szCs w:val="22"/>
        </w:rPr>
      </w:pPr>
      <w:bookmarkStart w:id="14" w:name="_Toc106747484"/>
      <w:r w:rsidRPr="00471EEE">
        <w:rPr>
          <w:sz w:val="22"/>
          <w:szCs w:val="22"/>
        </w:rPr>
        <w:lastRenderedPageBreak/>
        <w:t>3.2.4 Market Turnover</w:t>
      </w:r>
      <w:bookmarkEnd w:id="14"/>
    </w:p>
    <w:p w14:paraId="71DF137A" w14:textId="3622C4F1" w:rsidR="006755DA" w:rsidRPr="00471EEE" w:rsidRDefault="00993321" w:rsidP="006755DA">
      <w:pPr>
        <w:keepNext/>
        <w:ind w:firstLine="0"/>
        <w:rPr>
          <w:sz w:val="22"/>
          <w:szCs w:val="20"/>
        </w:rPr>
      </w:pPr>
      <w:r w:rsidRPr="00471EEE">
        <w:rPr>
          <w:noProof/>
          <w:sz w:val="22"/>
          <w:szCs w:val="20"/>
        </w:rPr>
        <w:drawing>
          <wp:inline distT="0" distB="0" distL="0" distR="0" wp14:anchorId="0D8E35E2" wp14:editId="08312DF2">
            <wp:extent cx="5471294" cy="27857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365" b="6069"/>
                    <a:stretch/>
                  </pic:blipFill>
                  <pic:spPr bwMode="auto">
                    <a:xfrm>
                      <a:off x="0" y="0"/>
                      <a:ext cx="5472430" cy="2786312"/>
                    </a:xfrm>
                    <a:prstGeom prst="rect">
                      <a:avLst/>
                    </a:prstGeom>
                    <a:ln>
                      <a:noFill/>
                    </a:ln>
                    <a:extLst>
                      <a:ext uri="{53640926-AAD7-44D8-BBD7-CCE9431645EC}">
                        <a14:shadowObscured xmlns:a14="http://schemas.microsoft.com/office/drawing/2010/main"/>
                      </a:ext>
                    </a:extLst>
                  </pic:spPr>
                </pic:pic>
              </a:graphicData>
            </a:graphic>
          </wp:inline>
        </w:drawing>
      </w:r>
    </w:p>
    <w:p w14:paraId="52C10F4D" w14:textId="157C3972" w:rsidR="00307B2C" w:rsidRPr="00471EEE" w:rsidRDefault="006755DA" w:rsidP="00307B2C">
      <w:pPr>
        <w:pStyle w:val="Caption"/>
        <w:jc w:val="center"/>
        <w:rPr>
          <w:sz w:val="16"/>
          <w:szCs w:val="16"/>
        </w:rPr>
      </w:pPr>
      <w:r w:rsidRPr="00471EEE">
        <w:rPr>
          <w:sz w:val="16"/>
          <w:szCs w:val="16"/>
        </w:rPr>
        <w:t xml:space="preserve">Figure </w:t>
      </w:r>
      <w:r w:rsidR="003611AD" w:rsidRPr="00471EEE">
        <w:rPr>
          <w:sz w:val="16"/>
          <w:szCs w:val="16"/>
        </w:rPr>
        <w:t>3.</w:t>
      </w:r>
      <w:r w:rsidR="00442C56" w:rsidRPr="00471EEE">
        <w:rPr>
          <w:sz w:val="16"/>
          <w:szCs w:val="16"/>
        </w:rPr>
        <w:t>2</w:t>
      </w:r>
      <w:r w:rsidRPr="00471EEE">
        <w:rPr>
          <w:sz w:val="16"/>
          <w:szCs w:val="16"/>
        </w:rPr>
        <w:t>: Line Chart of Market Turnover</w:t>
      </w:r>
    </w:p>
    <w:p w14:paraId="395E73B1" w14:textId="6FBA6933" w:rsidR="00307B2C" w:rsidRPr="00471EEE" w:rsidRDefault="00D06E62" w:rsidP="00307B2C">
      <w:pPr>
        <w:rPr>
          <w:sz w:val="22"/>
          <w:szCs w:val="20"/>
        </w:rPr>
      </w:pPr>
      <w:r w:rsidRPr="00471EEE">
        <w:rPr>
          <w:sz w:val="22"/>
          <w:szCs w:val="20"/>
        </w:rPr>
        <w:t xml:space="preserve">We define market turnover as representing the average turnover ratio of all the common stocks on a given day. </w:t>
      </w:r>
      <w:r w:rsidR="0023152E" w:rsidRPr="00471EEE">
        <w:rPr>
          <w:sz w:val="22"/>
          <w:szCs w:val="20"/>
        </w:rPr>
        <w:t>This was calculated as Volume/Total Shares Outstanding. To calculate this, code from the support</w:t>
      </w:r>
      <w:r w:rsidR="0023152E" w:rsidRPr="00471EEE">
        <w:rPr>
          <w:rStyle w:val="FootnoteReference"/>
          <w:sz w:val="22"/>
          <w:szCs w:val="20"/>
        </w:rPr>
        <w:footnoteReference w:id="4"/>
      </w:r>
      <w:r w:rsidR="0023152E" w:rsidRPr="00471EEE">
        <w:rPr>
          <w:sz w:val="22"/>
          <w:szCs w:val="20"/>
        </w:rPr>
        <w:t xml:space="preserve"> section of WRDS was used. </w:t>
      </w:r>
      <w:r w:rsidR="007228C3" w:rsidRPr="00471EEE">
        <w:rPr>
          <w:sz w:val="22"/>
          <w:szCs w:val="20"/>
        </w:rPr>
        <w:t>We observe peak volume at the initial onset of border closure announcements in March 2020 with the biggest dip at the end of December 2020.</w:t>
      </w:r>
    </w:p>
    <w:p w14:paraId="7C598F55" w14:textId="250D8FBD" w:rsidR="00307B2C" w:rsidRPr="00471EEE" w:rsidRDefault="00C84119" w:rsidP="00307B2C">
      <w:pPr>
        <w:pStyle w:val="Heading3"/>
        <w:ind w:firstLine="0"/>
        <w:rPr>
          <w:sz w:val="22"/>
          <w:szCs w:val="22"/>
        </w:rPr>
      </w:pPr>
      <w:bookmarkStart w:id="15" w:name="_Toc106747485"/>
      <w:r w:rsidRPr="00471EEE">
        <w:rPr>
          <w:sz w:val="22"/>
          <w:szCs w:val="22"/>
        </w:rPr>
        <w:t>3.2.5 Number of IPOs</w:t>
      </w:r>
      <w:bookmarkEnd w:id="15"/>
    </w:p>
    <w:p w14:paraId="2501F7FB" w14:textId="506D9D97" w:rsidR="00C84119" w:rsidRPr="00471EEE" w:rsidRDefault="00B00E05" w:rsidP="00776080">
      <w:pPr>
        <w:rPr>
          <w:sz w:val="22"/>
          <w:szCs w:val="20"/>
        </w:rPr>
      </w:pPr>
      <w:r w:rsidRPr="00471EEE">
        <w:rPr>
          <w:sz w:val="22"/>
          <w:szCs w:val="20"/>
        </w:rPr>
        <w:t xml:space="preserve">The number of IPOs data collected from the WRDS’s SAS library. The number reflects all </w:t>
      </w:r>
      <w:r w:rsidR="006C641C" w:rsidRPr="00471EEE">
        <w:rPr>
          <w:sz w:val="22"/>
          <w:szCs w:val="20"/>
        </w:rPr>
        <w:t xml:space="preserve">new </w:t>
      </w:r>
      <w:r w:rsidRPr="00471EEE">
        <w:rPr>
          <w:sz w:val="22"/>
          <w:szCs w:val="20"/>
        </w:rPr>
        <w:t>common stock</w:t>
      </w:r>
      <w:r w:rsidR="006C641C" w:rsidRPr="00471EEE">
        <w:rPr>
          <w:sz w:val="22"/>
          <w:szCs w:val="20"/>
        </w:rPr>
        <w:t>s</w:t>
      </w:r>
      <w:r w:rsidRPr="00471EEE">
        <w:rPr>
          <w:sz w:val="22"/>
          <w:szCs w:val="20"/>
        </w:rPr>
        <w:t xml:space="preserve"> </w:t>
      </w:r>
      <w:r w:rsidR="006C641C" w:rsidRPr="00471EEE">
        <w:rPr>
          <w:sz w:val="22"/>
          <w:szCs w:val="20"/>
        </w:rPr>
        <w:t>listed on</w:t>
      </w:r>
      <w:r w:rsidRPr="00471EEE">
        <w:rPr>
          <w:sz w:val="22"/>
          <w:szCs w:val="20"/>
        </w:rPr>
        <w:t xml:space="preserve"> the NASDAQ</w:t>
      </w:r>
      <w:r w:rsidR="006C641C" w:rsidRPr="00471EEE">
        <w:rPr>
          <w:sz w:val="22"/>
          <w:szCs w:val="20"/>
        </w:rPr>
        <w:t xml:space="preserve"> and NYSE</w:t>
      </w:r>
      <w:r w:rsidRPr="00471EEE">
        <w:rPr>
          <w:sz w:val="22"/>
          <w:szCs w:val="20"/>
        </w:rPr>
        <w:t>.</w:t>
      </w:r>
      <w:r w:rsidR="00614867" w:rsidRPr="00471EEE">
        <w:rPr>
          <w:sz w:val="22"/>
          <w:szCs w:val="20"/>
        </w:rPr>
        <w:t xml:space="preserve"> Data was collected from WRDS Compustat</w:t>
      </w:r>
      <w:r w:rsidR="00BA34EB" w:rsidRPr="00471EEE">
        <w:rPr>
          <w:rStyle w:val="FootnoteReference"/>
          <w:sz w:val="22"/>
          <w:szCs w:val="20"/>
        </w:rPr>
        <w:footnoteReference w:id="5"/>
      </w:r>
      <w:r w:rsidR="00614867" w:rsidRPr="00471EEE">
        <w:rPr>
          <w:sz w:val="22"/>
          <w:szCs w:val="20"/>
        </w:rPr>
        <w:t xml:space="preserve"> North America.</w:t>
      </w:r>
    </w:p>
    <w:p w14:paraId="3A5FE032" w14:textId="7EB68FDE" w:rsidR="00C84119" w:rsidRPr="00471EEE" w:rsidRDefault="00C84119" w:rsidP="00C84119">
      <w:pPr>
        <w:pStyle w:val="Heading3"/>
        <w:ind w:firstLine="0"/>
        <w:rPr>
          <w:sz w:val="22"/>
          <w:szCs w:val="22"/>
        </w:rPr>
      </w:pPr>
      <w:bookmarkStart w:id="16" w:name="_Toc106747486"/>
      <w:r w:rsidRPr="00471EEE">
        <w:rPr>
          <w:sz w:val="22"/>
          <w:szCs w:val="22"/>
        </w:rPr>
        <w:t>3.2.6 Average First Day Returns of IPOs</w:t>
      </w:r>
      <w:bookmarkEnd w:id="16"/>
    </w:p>
    <w:p w14:paraId="221E7C91" w14:textId="1F528F7A" w:rsidR="005B5E0D" w:rsidRPr="00471EEE" w:rsidRDefault="00776080" w:rsidP="005B5E0D">
      <w:pPr>
        <w:rPr>
          <w:sz w:val="22"/>
          <w:szCs w:val="20"/>
        </w:rPr>
      </w:pPr>
      <w:r w:rsidRPr="00471EEE">
        <w:rPr>
          <w:sz w:val="22"/>
          <w:szCs w:val="20"/>
        </w:rPr>
        <w:t>The average first day return returns are calculated using the IPOs found in section 3.2.5</w:t>
      </w:r>
      <w:r w:rsidR="00F34866">
        <w:rPr>
          <w:sz w:val="22"/>
          <w:szCs w:val="20"/>
        </w:rPr>
        <w:t>. We queried the opening price and closing prices for each day.</w:t>
      </w:r>
    </w:p>
    <w:p w14:paraId="2F7AA33D" w14:textId="21039958" w:rsidR="005B5E0D" w:rsidRPr="00471EEE" w:rsidRDefault="005B5E0D" w:rsidP="005B5E0D">
      <w:pPr>
        <w:jc w:val="center"/>
        <w:rPr>
          <w:sz w:val="22"/>
          <w:szCs w:val="20"/>
        </w:rPr>
      </w:pPr>
      <w:r w:rsidRPr="00471EEE">
        <w:rPr>
          <w:sz w:val="22"/>
          <w:szCs w:val="20"/>
        </w:rPr>
        <w:t>𝑅𝑖,𝑡 = (𝑃𝑖,𝑡- 𝑃𝑖,𝑡−1/𝑃𝑖,𝑡−1),</w:t>
      </w:r>
    </w:p>
    <w:p w14:paraId="1BEC066D" w14:textId="0EC0F9F4" w:rsidR="00C84119" w:rsidRPr="00471EEE" w:rsidRDefault="005B5E0D" w:rsidP="005B5E0D">
      <w:pPr>
        <w:rPr>
          <w:sz w:val="22"/>
          <w:szCs w:val="20"/>
        </w:rPr>
      </w:pPr>
      <w:r w:rsidRPr="00471EEE">
        <w:rPr>
          <w:sz w:val="22"/>
          <w:szCs w:val="20"/>
        </w:rPr>
        <w:t xml:space="preserve">where 𝑅𝑖,𝑡 is the return on </w:t>
      </w:r>
      <w:r w:rsidRPr="00471EEE">
        <w:rPr>
          <w:sz w:val="22"/>
          <w:szCs w:val="20"/>
        </w:rPr>
        <w:t xml:space="preserve">an </w:t>
      </w:r>
      <w:r w:rsidRPr="00471EEE">
        <w:rPr>
          <w:sz w:val="22"/>
          <w:szCs w:val="20"/>
        </w:rPr>
        <w:t xml:space="preserve">asset 𝑖 at period t and 𝑃𝑖,𝑡 is the </w:t>
      </w:r>
      <w:r w:rsidR="00432E8A" w:rsidRPr="00471EEE">
        <w:rPr>
          <w:sz w:val="22"/>
          <w:szCs w:val="20"/>
        </w:rPr>
        <w:t xml:space="preserve">close </w:t>
      </w:r>
      <w:r w:rsidRPr="00471EEE">
        <w:rPr>
          <w:sz w:val="22"/>
          <w:szCs w:val="20"/>
        </w:rPr>
        <w:t>price of asset 𝑖 in period t</w:t>
      </w:r>
      <w:r w:rsidR="00432E8A" w:rsidRPr="00471EEE">
        <w:rPr>
          <w:sz w:val="22"/>
          <w:szCs w:val="20"/>
        </w:rPr>
        <w:t xml:space="preserve"> and </w:t>
      </w:r>
      <w:r w:rsidR="00432E8A" w:rsidRPr="00471EEE">
        <w:rPr>
          <w:sz w:val="22"/>
          <w:szCs w:val="20"/>
        </w:rPr>
        <w:t>𝑃𝑖,𝑡−1</w:t>
      </w:r>
      <w:r w:rsidR="00432E8A" w:rsidRPr="00471EEE">
        <w:rPr>
          <w:sz w:val="22"/>
          <w:szCs w:val="20"/>
        </w:rPr>
        <w:t xml:space="preserve"> </w:t>
      </w:r>
      <w:r w:rsidR="00432E8A" w:rsidRPr="00471EEE">
        <w:rPr>
          <w:sz w:val="22"/>
          <w:szCs w:val="20"/>
        </w:rPr>
        <w:t>is the close price of asset 𝑖 in period t</w:t>
      </w:r>
      <w:r w:rsidR="00432E8A" w:rsidRPr="00471EEE">
        <w:rPr>
          <w:sz w:val="22"/>
          <w:szCs w:val="20"/>
        </w:rPr>
        <w:t>-1</w:t>
      </w:r>
      <w:r w:rsidRPr="00471EEE">
        <w:rPr>
          <w:sz w:val="22"/>
          <w:szCs w:val="20"/>
        </w:rPr>
        <w:t>.</w:t>
      </w:r>
      <w:r w:rsidR="00432E8A" w:rsidRPr="00471EEE">
        <w:rPr>
          <w:sz w:val="22"/>
          <w:szCs w:val="20"/>
        </w:rPr>
        <w:t xml:space="preserve"> The returns of each</w:t>
      </w:r>
      <w:r w:rsidR="00F024DF" w:rsidRPr="00471EEE">
        <w:rPr>
          <w:sz w:val="22"/>
          <w:szCs w:val="20"/>
        </w:rPr>
        <w:t xml:space="preserve"> asset in the portfolio</w:t>
      </w:r>
      <w:r w:rsidR="00432E8A" w:rsidRPr="00471EEE">
        <w:rPr>
          <w:sz w:val="22"/>
          <w:szCs w:val="20"/>
        </w:rPr>
        <w:t xml:space="preserve"> were summed up to calculate the average</w:t>
      </w:r>
      <w:r w:rsidR="00F024DF" w:rsidRPr="00471EEE">
        <w:rPr>
          <w:sz w:val="22"/>
          <w:szCs w:val="20"/>
        </w:rPr>
        <w:t xml:space="preserve"> first day return</w:t>
      </w:r>
      <w:r w:rsidR="00432E8A" w:rsidRPr="00471EEE">
        <w:rPr>
          <w:sz w:val="22"/>
          <w:szCs w:val="20"/>
        </w:rPr>
        <w:t xml:space="preserve">. </w:t>
      </w:r>
    </w:p>
    <w:p w14:paraId="3F3181C9" w14:textId="2ADA445B" w:rsidR="00C84119" w:rsidRPr="00471EEE" w:rsidRDefault="00C84119" w:rsidP="00C84119">
      <w:pPr>
        <w:pStyle w:val="Heading3"/>
        <w:ind w:firstLine="0"/>
        <w:rPr>
          <w:sz w:val="22"/>
          <w:szCs w:val="22"/>
        </w:rPr>
      </w:pPr>
      <w:bookmarkStart w:id="17" w:name="_Toc106747487"/>
      <w:r w:rsidRPr="00471EEE">
        <w:rPr>
          <w:sz w:val="22"/>
          <w:szCs w:val="22"/>
        </w:rPr>
        <w:lastRenderedPageBreak/>
        <w:t xml:space="preserve">3.2.7 </w:t>
      </w:r>
      <w:r w:rsidR="007B6E79" w:rsidRPr="00471EEE">
        <w:rPr>
          <w:sz w:val="22"/>
          <w:szCs w:val="22"/>
        </w:rPr>
        <w:t>Covid Lockdown</w:t>
      </w:r>
      <w:bookmarkEnd w:id="17"/>
    </w:p>
    <w:p w14:paraId="3105AD1B" w14:textId="5D9F30D4" w:rsidR="00BA70ED" w:rsidRDefault="008B10A1" w:rsidP="00CF24C2">
      <w:pPr>
        <w:ind w:firstLine="0"/>
        <w:rPr>
          <w:sz w:val="22"/>
          <w:szCs w:val="20"/>
        </w:rPr>
      </w:pPr>
      <w:r w:rsidRPr="00471EEE">
        <w:rPr>
          <w:sz w:val="22"/>
          <w:szCs w:val="20"/>
        </w:rPr>
        <w:t>Covid Lockdown was represented as a dummy variable with 0 representing all time before 10 March 2020 and after 8 November 2021.</w:t>
      </w:r>
    </w:p>
    <w:p w14:paraId="7B8D4681" w14:textId="79CECAF0" w:rsidR="00C17821" w:rsidRDefault="00C17821" w:rsidP="00C17821">
      <w:pPr>
        <w:pStyle w:val="Heading3"/>
        <w:ind w:firstLine="0"/>
        <w:rPr>
          <w:sz w:val="22"/>
          <w:szCs w:val="22"/>
        </w:rPr>
      </w:pPr>
      <w:bookmarkStart w:id="18" w:name="_Toc106747488"/>
      <w:r w:rsidRPr="00471EEE">
        <w:rPr>
          <w:sz w:val="22"/>
          <w:szCs w:val="22"/>
        </w:rPr>
        <w:t>3.2.</w:t>
      </w:r>
      <w:r>
        <w:rPr>
          <w:sz w:val="22"/>
          <w:szCs w:val="22"/>
        </w:rPr>
        <w:t>8</w:t>
      </w:r>
      <w:r w:rsidRPr="00471EEE">
        <w:rPr>
          <w:sz w:val="22"/>
          <w:szCs w:val="22"/>
        </w:rPr>
        <w:t xml:space="preserve"> </w:t>
      </w:r>
      <w:r>
        <w:rPr>
          <w:sz w:val="22"/>
          <w:szCs w:val="22"/>
        </w:rPr>
        <w:t>Russia Ukraine Conflict</w:t>
      </w:r>
      <w:bookmarkEnd w:id="18"/>
    </w:p>
    <w:p w14:paraId="06913A2A" w14:textId="0E8B30DC" w:rsidR="00C17821" w:rsidRDefault="00C17821" w:rsidP="00C17821">
      <w:pPr>
        <w:ind w:firstLine="0"/>
        <w:rPr>
          <w:sz w:val="22"/>
          <w:szCs w:val="20"/>
        </w:rPr>
      </w:pPr>
      <w:r>
        <w:rPr>
          <w:sz w:val="22"/>
          <w:szCs w:val="20"/>
        </w:rPr>
        <w:t>The Russia Ukraine conflict</w:t>
      </w:r>
      <w:r w:rsidRPr="00471EEE">
        <w:rPr>
          <w:sz w:val="22"/>
          <w:szCs w:val="20"/>
        </w:rPr>
        <w:t xml:space="preserve"> was represented as a dummy variable with 0 representing all time before </w:t>
      </w:r>
      <w:r>
        <w:rPr>
          <w:sz w:val="22"/>
          <w:szCs w:val="20"/>
        </w:rPr>
        <w:t>24</w:t>
      </w:r>
      <w:r w:rsidRPr="00C17821">
        <w:rPr>
          <w:sz w:val="22"/>
          <w:szCs w:val="20"/>
          <w:vertAlign w:val="superscript"/>
        </w:rPr>
        <w:t>th</w:t>
      </w:r>
      <w:r>
        <w:rPr>
          <w:sz w:val="22"/>
          <w:szCs w:val="20"/>
        </w:rPr>
        <w:t xml:space="preserve"> of February 2022</w:t>
      </w:r>
      <w:r w:rsidRPr="00471EEE">
        <w:rPr>
          <w:sz w:val="22"/>
          <w:szCs w:val="20"/>
        </w:rPr>
        <w:t>.</w:t>
      </w:r>
      <w:r>
        <w:rPr>
          <w:sz w:val="22"/>
          <w:szCs w:val="20"/>
        </w:rPr>
        <w:t xml:space="preserve"> Our data sample ends on the 30</w:t>
      </w:r>
      <w:r w:rsidRPr="00C17821">
        <w:rPr>
          <w:sz w:val="22"/>
          <w:szCs w:val="20"/>
          <w:vertAlign w:val="superscript"/>
        </w:rPr>
        <w:t>th</w:t>
      </w:r>
      <w:r>
        <w:rPr>
          <w:sz w:val="22"/>
          <w:szCs w:val="20"/>
        </w:rPr>
        <w:t xml:space="preserve"> of March.</w:t>
      </w:r>
    </w:p>
    <w:p w14:paraId="0CDE28E3" w14:textId="3745483C" w:rsidR="00E443DE" w:rsidRDefault="00E443DE" w:rsidP="00E443DE">
      <w:pPr>
        <w:pStyle w:val="Heading3"/>
        <w:ind w:firstLine="0"/>
        <w:rPr>
          <w:sz w:val="22"/>
          <w:szCs w:val="22"/>
        </w:rPr>
      </w:pPr>
      <w:bookmarkStart w:id="19" w:name="_Toc106747489"/>
      <w:r w:rsidRPr="00471EEE">
        <w:rPr>
          <w:sz w:val="22"/>
          <w:szCs w:val="22"/>
        </w:rPr>
        <w:t>3.2.</w:t>
      </w:r>
      <w:r>
        <w:rPr>
          <w:sz w:val="22"/>
          <w:szCs w:val="22"/>
        </w:rPr>
        <w:t>9</w:t>
      </w:r>
      <w:r w:rsidRPr="00471EEE">
        <w:rPr>
          <w:sz w:val="22"/>
          <w:szCs w:val="22"/>
        </w:rPr>
        <w:t xml:space="preserve"> </w:t>
      </w:r>
      <w:r>
        <w:rPr>
          <w:sz w:val="22"/>
          <w:szCs w:val="22"/>
        </w:rPr>
        <w:t>S&amp;P500 returns</w:t>
      </w:r>
      <w:bookmarkEnd w:id="19"/>
    </w:p>
    <w:p w14:paraId="77F0E6AF" w14:textId="3C8A0688" w:rsidR="00E443DE" w:rsidRPr="00E443DE" w:rsidRDefault="00E443DE" w:rsidP="00E443DE">
      <w:pPr>
        <w:ind w:firstLine="0"/>
        <w:rPr>
          <w:sz w:val="22"/>
        </w:rPr>
      </w:pPr>
      <w:r w:rsidRPr="00E443DE">
        <w:rPr>
          <w:sz w:val="22"/>
        </w:rPr>
        <w:t xml:space="preserve">The returns </w:t>
      </w:r>
      <w:r>
        <w:rPr>
          <w:sz w:val="22"/>
        </w:rPr>
        <w:t xml:space="preserve">were calculated using code offered </w:t>
      </w:r>
    </w:p>
    <w:p w14:paraId="3F211DD7" w14:textId="77777777" w:rsidR="00C17821" w:rsidRPr="00471EEE" w:rsidRDefault="00C17821" w:rsidP="00CF24C2">
      <w:pPr>
        <w:ind w:firstLine="0"/>
        <w:rPr>
          <w:sz w:val="22"/>
          <w:szCs w:val="20"/>
        </w:rPr>
      </w:pPr>
    </w:p>
    <w:p w14:paraId="5E7489E2" w14:textId="2CE546AC" w:rsidR="00E636BC" w:rsidRPr="00471EEE" w:rsidRDefault="00F964DF" w:rsidP="00B01FCB">
      <w:pPr>
        <w:pStyle w:val="Heading2"/>
        <w:ind w:firstLine="0"/>
        <w:rPr>
          <w:sz w:val="28"/>
          <w:szCs w:val="24"/>
        </w:rPr>
      </w:pPr>
      <w:bookmarkStart w:id="20" w:name="_Toc106747490"/>
      <w:r w:rsidRPr="00471EEE">
        <w:rPr>
          <w:sz w:val="28"/>
          <w:szCs w:val="24"/>
        </w:rPr>
        <w:t>3</w:t>
      </w:r>
      <w:r w:rsidR="00E636BC" w:rsidRPr="00471EEE">
        <w:rPr>
          <w:sz w:val="28"/>
          <w:szCs w:val="24"/>
        </w:rPr>
        <w:t>.</w:t>
      </w:r>
      <w:r w:rsidR="00B01FCB" w:rsidRPr="00471EEE">
        <w:rPr>
          <w:sz w:val="28"/>
          <w:szCs w:val="24"/>
        </w:rPr>
        <w:t>3</w:t>
      </w:r>
      <w:r w:rsidR="00E636BC" w:rsidRPr="00471EEE">
        <w:rPr>
          <w:sz w:val="28"/>
          <w:szCs w:val="24"/>
        </w:rPr>
        <w:t xml:space="preserve"> </w:t>
      </w:r>
      <w:r w:rsidR="00E80B5F" w:rsidRPr="00471EEE">
        <w:rPr>
          <w:sz w:val="28"/>
          <w:szCs w:val="24"/>
        </w:rPr>
        <w:t>MODEL</w:t>
      </w:r>
      <w:r w:rsidR="0005728E" w:rsidRPr="00471EEE">
        <w:rPr>
          <w:sz w:val="28"/>
          <w:szCs w:val="24"/>
        </w:rPr>
        <w:t xml:space="preserve"> DECRIPTIONS</w:t>
      </w:r>
      <w:r w:rsidR="00E80B5F" w:rsidRPr="00471EEE">
        <w:rPr>
          <w:sz w:val="28"/>
          <w:szCs w:val="24"/>
        </w:rPr>
        <w:t xml:space="preserve"> AND </w:t>
      </w:r>
      <w:r w:rsidR="00E636BC" w:rsidRPr="00471EEE">
        <w:rPr>
          <w:sz w:val="28"/>
          <w:szCs w:val="24"/>
        </w:rPr>
        <w:t>METHODOLOGY</w:t>
      </w:r>
      <w:bookmarkEnd w:id="20"/>
      <w:r w:rsidR="00E80B5F" w:rsidRPr="00471EEE">
        <w:rPr>
          <w:sz w:val="28"/>
          <w:szCs w:val="24"/>
        </w:rPr>
        <w:t xml:space="preserve"> </w:t>
      </w:r>
    </w:p>
    <w:p w14:paraId="145D2222" w14:textId="50013468" w:rsidR="006A208E" w:rsidRPr="00471EEE" w:rsidRDefault="006A208E" w:rsidP="006A208E">
      <w:pPr>
        <w:pStyle w:val="Heading3"/>
        <w:ind w:firstLine="0"/>
        <w:rPr>
          <w:sz w:val="22"/>
          <w:szCs w:val="22"/>
        </w:rPr>
      </w:pPr>
      <w:bookmarkStart w:id="21" w:name="_Toc106747491"/>
      <w:r w:rsidRPr="00471EEE">
        <w:rPr>
          <w:sz w:val="22"/>
          <w:szCs w:val="22"/>
        </w:rPr>
        <w:t>3.3.1 LASSO REGRESSION</w:t>
      </w:r>
      <w:bookmarkEnd w:id="21"/>
    </w:p>
    <w:p w14:paraId="6F454548" w14:textId="3074B415" w:rsidR="0002111D" w:rsidRDefault="00531EB1" w:rsidP="006A208E">
      <w:pPr>
        <w:ind w:firstLine="0"/>
        <w:rPr>
          <w:sz w:val="22"/>
          <w:szCs w:val="20"/>
        </w:rPr>
      </w:pPr>
      <w:r w:rsidRPr="00471EEE">
        <w:rPr>
          <w:sz w:val="22"/>
          <w:szCs w:val="20"/>
        </w:rPr>
        <w:t>We use L</w:t>
      </w:r>
      <w:r w:rsidR="00397E8C" w:rsidRPr="00471EEE">
        <w:rPr>
          <w:sz w:val="22"/>
          <w:szCs w:val="20"/>
        </w:rPr>
        <w:t>ASSO</w:t>
      </w:r>
      <w:r w:rsidRPr="00471EEE">
        <w:rPr>
          <w:sz w:val="22"/>
          <w:szCs w:val="20"/>
        </w:rPr>
        <w:t xml:space="preserve"> regression to surmise the significance of the </w:t>
      </w:r>
      <w:r w:rsidR="002A409A" w:rsidRPr="00471EEE">
        <w:rPr>
          <w:sz w:val="22"/>
          <w:szCs w:val="20"/>
        </w:rPr>
        <w:t xml:space="preserve">variables in the sentiment index. </w:t>
      </w:r>
      <w:r w:rsidR="00397E8C" w:rsidRPr="00471EEE">
        <w:rPr>
          <w:sz w:val="22"/>
          <w:szCs w:val="20"/>
        </w:rPr>
        <w:t xml:space="preserve">Formerly known as the least absolute shrinkage and selection operator (LASSO), </w:t>
      </w:r>
      <w:r w:rsidR="00F84307" w:rsidRPr="00471EEE">
        <w:rPr>
          <w:sz w:val="22"/>
          <w:szCs w:val="20"/>
        </w:rPr>
        <w:t xml:space="preserve">the main purpose of </w:t>
      </w:r>
      <w:r w:rsidR="00397E8C" w:rsidRPr="00471EEE">
        <w:rPr>
          <w:sz w:val="22"/>
          <w:szCs w:val="20"/>
        </w:rPr>
        <w:t xml:space="preserve">LASSO </w:t>
      </w:r>
      <w:r w:rsidR="00F84307" w:rsidRPr="00471EEE">
        <w:rPr>
          <w:sz w:val="22"/>
          <w:szCs w:val="20"/>
        </w:rPr>
        <w:t xml:space="preserve">traditionally has been for feature selection and regularisation. </w:t>
      </w:r>
      <w:r w:rsidR="00E07D25" w:rsidRPr="00471EEE">
        <w:rPr>
          <w:sz w:val="22"/>
          <w:szCs w:val="20"/>
        </w:rPr>
        <w:t>Put forward by Tibshirani (1996), t</w:t>
      </w:r>
      <w:r w:rsidR="00397E8C" w:rsidRPr="00471EEE">
        <w:rPr>
          <w:sz w:val="22"/>
          <w:szCs w:val="20"/>
        </w:rPr>
        <w:t xml:space="preserve">he LASSO is a </w:t>
      </w:r>
      <w:r w:rsidR="00E07D25" w:rsidRPr="00471EEE">
        <w:rPr>
          <w:sz w:val="22"/>
          <w:szCs w:val="20"/>
        </w:rPr>
        <w:t>form</w:t>
      </w:r>
      <w:r w:rsidR="00397E8C" w:rsidRPr="00471EEE">
        <w:rPr>
          <w:sz w:val="22"/>
          <w:szCs w:val="20"/>
        </w:rPr>
        <w:t xml:space="preserve"> of </w:t>
      </w:r>
      <w:r w:rsidR="00E07D25" w:rsidRPr="00471EEE">
        <w:rPr>
          <w:sz w:val="22"/>
          <w:szCs w:val="20"/>
        </w:rPr>
        <w:t>least squares that uses the L1 penalisation function</w:t>
      </w:r>
      <w:r w:rsidR="002F3B7A" w:rsidRPr="00471EEE">
        <w:rPr>
          <w:sz w:val="22"/>
          <w:szCs w:val="20"/>
        </w:rPr>
        <w:t xml:space="preserve"> and</w:t>
      </w:r>
      <w:r w:rsidR="00397E8C" w:rsidRPr="00471EEE">
        <w:rPr>
          <w:sz w:val="22"/>
          <w:szCs w:val="20"/>
        </w:rPr>
        <w:t xml:space="preserve"> </w:t>
      </w:r>
      <w:r w:rsidR="00065634" w:rsidRPr="00471EEE">
        <w:rPr>
          <w:sz w:val="22"/>
          <w:szCs w:val="20"/>
        </w:rPr>
        <w:t>shrinks the</w:t>
      </w:r>
      <w:r w:rsidR="00397E8C" w:rsidRPr="00471EEE">
        <w:rPr>
          <w:sz w:val="22"/>
          <w:szCs w:val="20"/>
        </w:rPr>
        <w:t xml:space="preserve"> </w:t>
      </w:r>
      <w:r w:rsidR="00065634" w:rsidRPr="00471EEE">
        <w:rPr>
          <w:sz w:val="22"/>
          <w:szCs w:val="20"/>
        </w:rPr>
        <w:t xml:space="preserve">regression </w:t>
      </w:r>
      <w:r w:rsidR="00397E8C" w:rsidRPr="00471EEE">
        <w:rPr>
          <w:sz w:val="22"/>
          <w:szCs w:val="20"/>
        </w:rPr>
        <w:t>coefficient</w:t>
      </w:r>
      <w:r w:rsidR="00065634" w:rsidRPr="00471EEE">
        <w:rPr>
          <w:sz w:val="22"/>
          <w:szCs w:val="20"/>
        </w:rPr>
        <w:t>s</w:t>
      </w:r>
      <w:r w:rsidR="00397E8C" w:rsidRPr="00471EEE">
        <w:rPr>
          <w:sz w:val="22"/>
          <w:szCs w:val="20"/>
        </w:rPr>
        <w:t xml:space="preserve"> by a constant </w:t>
      </w:r>
      <w:r w:rsidR="00E3577B" w:rsidRPr="00471EEE">
        <w:rPr>
          <w:sz w:val="22"/>
          <w:szCs w:val="20"/>
        </w:rPr>
        <w:t xml:space="preserve">controlling factor </w:t>
      </w:r>
      <w:r w:rsidR="00397E8C" w:rsidRPr="00471EEE">
        <w:rPr>
          <w:sz w:val="22"/>
          <w:szCs w:val="20"/>
        </w:rPr>
        <w:t xml:space="preserve">λ, </w:t>
      </w:r>
      <w:r w:rsidR="00065634" w:rsidRPr="00471EEE">
        <w:rPr>
          <w:sz w:val="22"/>
          <w:szCs w:val="20"/>
        </w:rPr>
        <w:t>reducing some to</w:t>
      </w:r>
      <w:r w:rsidR="00397E8C" w:rsidRPr="00471EEE">
        <w:rPr>
          <w:sz w:val="22"/>
          <w:szCs w:val="20"/>
        </w:rPr>
        <w:t xml:space="preserve"> zero. </w:t>
      </w:r>
      <w:r w:rsidR="00E3577B" w:rsidRPr="00471EEE">
        <w:rPr>
          <w:sz w:val="22"/>
          <w:szCs w:val="20"/>
        </w:rPr>
        <w:t>LASSO offers improves prediction and accuracy</w:t>
      </w:r>
      <w:r w:rsidR="00397E8C" w:rsidRPr="00471EEE">
        <w:rPr>
          <w:sz w:val="22"/>
          <w:szCs w:val="20"/>
        </w:rPr>
        <w:t>.</w:t>
      </w:r>
      <w:r w:rsidR="00E3577B" w:rsidRPr="00471EEE">
        <w:rPr>
          <w:sz w:val="22"/>
          <w:szCs w:val="20"/>
        </w:rPr>
        <w:t xml:space="preserve"> If a group of predictors are highly correlated, LASSO picks only one of them and reduce</w:t>
      </w:r>
      <w:r w:rsidR="002830A9" w:rsidRPr="00471EEE">
        <w:rPr>
          <w:sz w:val="22"/>
          <w:szCs w:val="20"/>
        </w:rPr>
        <w:t>s</w:t>
      </w:r>
      <w:r w:rsidR="00E3577B" w:rsidRPr="00471EEE">
        <w:rPr>
          <w:sz w:val="22"/>
          <w:szCs w:val="20"/>
        </w:rPr>
        <w:t xml:space="preserve"> the coefficients of the others to zero</w:t>
      </w:r>
      <w:r w:rsidR="00397E8C" w:rsidRPr="00471EEE">
        <w:rPr>
          <w:sz w:val="22"/>
          <w:szCs w:val="20"/>
        </w:rPr>
        <w:t xml:space="preserve">. </w:t>
      </w:r>
      <w:r w:rsidR="0001754C" w:rsidRPr="00471EEE">
        <w:rPr>
          <w:sz w:val="22"/>
          <w:szCs w:val="20"/>
        </w:rPr>
        <w:t>Due to the shrinkage of coefficients</w:t>
      </w:r>
      <w:r w:rsidR="002830A9" w:rsidRPr="00471EEE">
        <w:rPr>
          <w:sz w:val="22"/>
          <w:szCs w:val="20"/>
        </w:rPr>
        <w:t>, variance of the estimates decreases</w:t>
      </w:r>
      <w:r w:rsidR="00397E8C" w:rsidRPr="00471EEE">
        <w:rPr>
          <w:sz w:val="22"/>
          <w:szCs w:val="20"/>
        </w:rPr>
        <w:t xml:space="preserve"> producing easily interpretable models</w:t>
      </w:r>
      <w:r w:rsidR="00822358" w:rsidRPr="00471EEE">
        <w:rPr>
          <w:sz w:val="22"/>
          <w:szCs w:val="20"/>
        </w:rPr>
        <w:t>.</w:t>
      </w:r>
    </w:p>
    <w:p w14:paraId="082D6113" w14:textId="09A20198" w:rsidR="0071413A" w:rsidRDefault="0071413A" w:rsidP="006A208E">
      <w:pPr>
        <w:ind w:firstLine="0"/>
        <w:rPr>
          <w:sz w:val="22"/>
          <w:szCs w:val="20"/>
        </w:rPr>
      </w:pPr>
      <w:r w:rsidRPr="00471EEE">
        <w:rPr>
          <w:sz w:val="22"/>
          <w:szCs w:val="20"/>
        </w:rPr>
        <w:t>Our aim with using LASSO is for feature selection of factors and eliminating those that are not contributing to explaining VIX within the context of our data.</w:t>
      </w:r>
    </w:p>
    <w:p w14:paraId="2723E675" w14:textId="1ADC818D" w:rsidR="0071413A" w:rsidRDefault="0071413A" w:rsidP="006A208E">
      <w:pPr>
        <w:ind w:firstLine="0"/>
        <w:rPr>
          <w:sz w:val="22"/>
          <w:szCs w:val="20"/>
        </w:rPr>
      </w:pPr>
      <w:r>
        <w:rPr>
          <w:sz w:val="22"/>
          <w:szCs w:val="20"/>
        </w:rPr>
        <w:t>Table 3.0 shows what was found significant with LASSO regression.</w:t>
      </w:r>
    </w:p>
    <w:p w14:paraId="14500583" w14:textId="00DB0CE2" w:rsidR="00005269" w:rsidRDefault="00005269" w:rsidP="00005269">
      <w:pPr>
        <w:pStyle w:val="Caption"/>
        <w:keepNext/>
        <w:jc w:val="center"/>
      </w:pPr>
      <w:r>
        <w:t>Table 3.0: Significance code LASSO regression</w:t>
      </w:r>
    </w:p>
    <w:p w14:paraId="5A0C942C" w14:textId="21920C43" w:rsidR="00875035" w:rsidRPr="00471EEE" w:rsidRDefault="00875035" w:rsidP="00875035">
      <w:pPr>
        <w:ind w:firstLine="0"/>
        <w:jc w:val="center"/>
        <w:rPr>
          <w:sz w:val="22"/>
          <w:szCs w:val="20"/>
        </w:rPr>
      </w:pPr>
      <w:r>
        <w:rPr>
          <w:noProof/>
        </w:rPr>
        <w:drawing>
          <wp:inline distT="0" distB="0" distL="0" distR="0" wp14:anchorId="7AED3A2E" wp14:editId="52006835">
            <wp:extent cx="5123815" cy="21738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180" r="61535" b="68316"/>
                    <a:stretch/>
                  </pic:blipFill>
                  <pic:spPr bwMode="auto">
                    <a:xfrm>
                      <a:off x="0" y="0"/>
                      <a:ext cx="5178525" cy="2197069"/>
                    </a:xfrm>
                    <a:prstGeom prst="rect">
                      <a:avLst/>
                    </a:prstGeom>
                    <a:ln>
                      <a:noFill/>
                    </a:ln>
                    <a:extLst>
                      <a:ext uri="{53640926-AAD7-44D8-BBD7-CCE9431645EC}">
                        <a14:shadowObscured xmlns:a14="http://schemas.microsoft.com/office/drawing/2010/main"/>
                      </a:ext>
                    </a:extLst>
                  </pic:spPr>
                </pic:pic>
              </a:graphicData>
            </a:graphic>
          </wp:inline>
        </w:drawing>
      </w:r>
    </w:p>
    <w:p w14:paraId="7236AFF7" w14:textId="77777777" w:rsidR="00A77370" w:rsidRPr="00471EEE" w:rsidRDefault="00A77370" w:rsidP="006A208E">
      <w:pPr>
        <w:ind w:firstLine="0"/>
        <w:rPr>
          <w:sz w:val="22"/>
          <w:szCs w:val="20"/>
        </w:rPr>
      </w:pPr>
    </w:p>
    <w:p w14:paraId="708B7ECA" w14:textId="21E6DB38" w:rsidR="00653348" w:rsidRPr="00471EEE" w:rsidRDefault="00725017" w:rsidP="006A208E">
      <w:pPr>
        <w:ind w:firstLine="0"/>
        <w:rPr>
          <w:sz w:val="22"/>
          <w:szCs w:val="20"/>
        </w:rPr>
      </w:pPr>
      <w:r w:rsidRPr="00471EEE">
        <w:rPr>
          <w:sz w:val="22"/>
          <w:szCs w:val="20"/>
        </w:rPr>
        <w:t xml:space="preserve">The intuition here is that if VIX measures sentiment, then perhaps a sentiment index formulated in old literature can </w:t>
      </w:r>
      <w:r w:rsidR="00EB7C5A" w:rsidRPr="00471EEE">
        <w:rPr>
          <w:sz w:val="22"/>
          <w:szCs w:val="20"/>
        </w:rPr>
        <w:t>be used to explain VIX. We include all the factors outlined in section 3.2.</w:t>
      </w:r>
      <w:r w:rsidR="009D6930" w:rsidRPr="00471EEE">
        <w:rPr>
          <w:sz w:val="22"/>
          <w:szCs w:val="20"/>
        </w:rPr>
        <w:t xml:space="preserve"> Should we find factors that are significant in the process, we can then run a Vector Autoregressive</w:t>
      </w:r>
      <w:r w:rsidR="00961D21" w:rsidRPr="00471EEE">
        <w:rPr>
          <w:sz w:val="22"/>
          <w:szCs w:val="20"/>
        </w:rPr>
        <w:t xml:space="preserve"> model or Vector Error Correction Model experiment in order to determine impulse response function and analyse the response of VIX to the most significant factors identified by the LASSO process.</w:t>
      </w:r>
    </w:p>
    <w:p w14:paraId="04F90347" w14:textId="77777777" w:rsidR="00064E20" w:rsidRPr="00471EEE" w:rsidRDefault="00064E20" w:rsidP="006A208E">
      <w:pPr>
        <w:ind w:firstLine="0"/>
        <w:rPr>
          <w:sz w:val="22"/>
          <w:szCs w:val="20"/>
        </w:rPr>
      </w:pPr>
    </w:p>
    <w:p w14:paraId="365010F4" w14:textId="07775B18" w:rsidR="00274C5E" w:rsidRPr="00471EEE" w:rsidRDefault="00274C5E" w:rsidP="00274C5E">
      <w:pPr>
        <w:pStyle w:val="Heading3"/>
        <w:ind w:firstLine="0"/>
        <w:rPr>
          <w:sz w:val="22"/>
          <w:szCs w:val="22"/>
        </w:rPr>
      </w:pPr>
      <w:bookmarkStart w:id="22" w:name="_Toc106747492"/>
      <w:r w:rsidRPr="00471EEE">
        <w:rPr>
          <w:sz w:val="22"/>
          <w:szCs w:val="22"/>
        </w:rPr>
        <w:t>3.3.1 VAR</w:t>
      </w:r>
      <w:r w:rsidR="00012D51" w:rsidRPr="00471EEE">
        <w:rPr>
          <w:sz w:val="22"/>
          <w:szCs w:val="22"/>
        </w:rPr>
        <w:t xml:space="preserve"> MODEL</w:t>
      </w:r>
      <w:bookmarkEnd w:id="22"/>
    </w:p>
    <w:p w14:paraId="09FCF581" w14:textId="3E450904" w:rsidR="000764BC" w:rsidRPr="00471EEE" w:rsidRDefault="000764BC" w:rsidP="000764BC">
      <w:pPr>
        <w:rPr>
          <w:sz w:val="22"/>
          <w:szCs w:val="20"/>
        </w:rPr>
      </w:pPr>
      <w:r w:rsidRPr="00471EEE">
        <w:rPr>
          <w:sz w:val="22"/>
          <w:szCs w:val="20"/>
        </w:rPr>
        <w:t xml:space="preserve">VAR, or the Vector Autoregressive model </w:t>
      </w:r>
      <w:r w:rsidR="001C5190" w:rsidRPr="00471EEE">
        <w:rPr>
          <w:sz w:val="22"/>
          <w:szCs w:val="20"/>
        </w:rPr>
        <w:t xml:space="preserve">can be used to </w:t>
      </w:r>
      <w:r w:rsidR="00653348" w:rsidRPr="00471EEE">
        <w:rPr>
          <w:sz w:val="22"/>
          <w:szCs w:val="20"/>
        </w:rPr>
        <w:t xml:space="preserve">show the impact of </w:t>
      </w:r>
      <w:r w:rsidR="002C66D8" w:rsidRPr="00471EEE">
        <w:rPr>
          <w:sz w:val="22"/>
          <w:szCs w:val="20"/>
        </w:rPr>
        <w:t>a shock from one variable to another. Due the detection of serial correlation, the following model was not included in this paper.</w:t>
      </w:r>
      <w:r w:rsidR="008B1A4D" w:rsidRPr="00471EEE">
        <w:rPr>
          <w:sz w:val="22"/>
          <w:szCs w:val="20"/>
        </w:rPr>
        <w:t xml:space="preserve"> Below are the results of the serial correlation test.</w:t>
      </w:r>
    </w:p>
    <w:p w14:paraId="55EA69F4" w14:textId="120D8F30" w:rsidR="00FB5A51" w:rsidRPr="00471EEE" w:rsidRDefault="00FB5A51" w:rsidP="00FB5A51">
      <w:pPr>
        <w:pStyle w:val="Caption"/>
        <w:keepNext/>
        <w:jc w:val="center"/>
        <w:rPr>
          <w:sz w:val="16"/>
          <w:szCs w:val="16"/>
        </w:rPr>
      </w:pPr>
      <w:bookmarkStart w:id="23" w:name="_Toc106716790"/>
      <w:r w:rsidRPr="00471EEE">
        <w:rPr>
          <w:sz w:val="16"/>
          <w:szCs w:val="16"/>
        </w:rPr>
        <w:t xml:space="preserve">Table </w:t>
      </w:r>
      <w:r w:rsidR="00A34437" w:rsidRPr="00471EEE">
        <w:rPr>
          <w:sz w:val="16"/>
          <w:szCs w:val="16"/>
        </w:rPr>
        <w:t>3.</w:t>
      </w:r>
      <w:r w:rsidRPr="00471EEE">
        <w:rPr>
          <w:sz w:val="16"/>
          <w:szCs w:val="16"/>
        </w:rPr>
        <w:fldChar w:fldCharType="begin"/>
      </w:r>
      <w:r w:rsidRPr="00471EEE">
        <w:rPr>
          <w:sz w:val="16"/>
          <w:szCs w:val="16"/>
        </w:rPr>
        <w:instrText xml:space="preserve"> SEQ Table \* ARABIC </w:instrText>
      </w:r>
      <w:r w:rsidRPr="00471EEE">
        <w:rPr>
          <w:sz w:val="16"/>
          <w:szCs w:val="16"/>
        </w:rPr>
        <w:fldChar w:fldCharType="separate"/>
      </w:r>
      <w:r w:rsidR="00005269">
        <w:rPr>
          <w:noProof/>
          <w:sz w:val="16"/>
          <w:szCs w:val="16"/>
        </w:rPr>
        <w:t>2</w:t>
      </w:r>
      <w:r w:rsidRPr="00471EEE">
        <w:rPr>
          <w:sz w:val="16"/>
          <w:szCs w:val="16"/>
        </w:rPr>
        <w:fldChar w:fldCharType="end"/>
      </w:r>
      <w:r w:rsidRPr="00471EEE">
        <w:rPr>
          <w:sz w:val="16"/>
          <w:szCs w:val="16"/>
        </w:rPr>
        <w:t>: Showing Serial Correlation Test</w:t>
      </w:r>
      <w:bookmarkEnd w:id="23"/>
    </w:p>
    <w:p w14:paraId="3BD004AC" w14:textId="5F6AFAFE" w:rsidR="00274C5E" w:rsidRPr="00471EEE" w:rsidRDefault="00FB5A51" w:rsidP="00FB5A51">
      <w:pPr>
        <w:ind w:firstLine="0"/>
        <w:jc w:val="center"/>
        <w:rPr>
          <w:sz w:val="22"/>
          <w:szCs w:val="20"/>
        </w:rPr>
      </w:pPr>
      <w:r w:rsidRPr="00471EEE">
        <w:rPr>
          <w:sz w:val="22"/>
          <w:szCs w:val="20"/>
        </w:rPr>
        <w:drawing>
          <wp:inline distT="0" distB="0" distL="0" distR="0" wp14:anchorId="749C9202" wp14:editId="6961126A">
            <wp:extent cx="3057525"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p>
    <w:p w14:paraId="13231388" w14:textId="77777777" w:rsidR="00274C5E" w:rsidRPr="00471EEE" w:rsidRDefault="00274C5E" w:rsidP="006A208E">
      <w:pPr>
        <w:ind w:firstLine="0"/>
        <w:rPr>
          <w:sz w:val="22"/>
          <w:szCs w:val="20"/>
        </w:rPr>
      </w:pPr>
    </w:p>
    <w:p w14:paraId="57E69FBB" w14:textId="6600466B" w:rsidR="00672014" w:rsidRPr="00471EEE" w:rsidRDefault="00672014" w:rsidP="00A20BEA">
      <w:pPr>
        <w:pStyle w:val="Heading3"/>
        <w:ind w:firstLine="0"/>
        <w:rPr>
          <w:sz w:val="22"/>
          <w:szCs w:val="22"/>
        </w:rPr>
      </w:pPr>
      <w:bookmarkStart w:id="24" w:name="_Toc106747493"/>
      <w:r w:rsidRPr="00471EEE">
        <w:rPr>
          <w:sz w:val="22"/>
          <w:szCs w:val="22"/>
        </w:rPr>
        <w:t xml:space="preserve">3.3.2 </w:t>
      </w:r>
      <w:r w:rsidR="00A36E35" w:rsidRPr="00471EEE">
        <w:rPr>
          <w:sz w:val="22"/>
          <w:szCs w:val="22"/>
        </w:rPr>
        <w:t xml:space="preserve">GARCH MODELS - </w:t>
      </w:r>
      <w:r w:rsidR="00012D51" w:rsidRPr="00471EEE">
        <w:rPr>
          <w:sz w:val="22"/>
          <w:szCs w:val="22"/>
        </w:rPr>
        <w:t>GJR-</w:t>
      </w:r>
      <w:r w:rsidRPr="00471EEE">
        <w:rPr>
          <w:sz w:val="22"/>
          <w:szCs w:val="22"/>
        </w:rPr>
        <w:t>GARCH</w:t>
      </w:r>
      <w:bookmarkEnd w:id="24"/>
      <w:r w:rsidR="00012D51" w:rsidRPr="00471EEE">
        <w:rPr>
          <w:sz w:val="22"/>
          <w:szCs w:val="22"/>
        </w:rPr>
        <w:t xml:space="preserve"> </w:t>
      </w:r>
    </w:p>
    <w:p w14:paraId="3AE860C5" w14:textId="1B5A1477" w:rsidR="00E636BC" w:rsidRPr="00471EEE" w:rsidRDefault="00E636BC" w:rsidP="00E636BC">
      <w:pPr>
        <w:rPr>
          <w:sz w:val="22"/>
          <w:szCs w:val="20"/>
        </w:rPr>
      </w:pPr>
      <w:r w:rsidRPr="00471EEE">
        <w:rPr>
          <w:sz w:val="22"/>
          <w:szCs w:val="20"/>
        </w:rPr>
        <w:t>Volatility occurs across time and can often be seen as a proxy for risk and stocks with higher risk are associated with higher returns. Many researchers have looked at modelling volatility using the GARCH model. When looking at returns, there are periods in the life of any given stock where volatility becomes highly elevated. Often times these periods can involve reoccurring spurts lasting a few days where a stock experiences volatility in returns before going back to normal. Such activity is often referred to as volatility clustering. Research finds that during periods of volatility clustering, stock returns tend to have patterns of varying peaks and troughs. This phenomenon of non-constant variance in volatility is known as heteroscedasticity. If the return on a stock at time t is impacted by the return at time t -1, it is said that a time series is autocorrelated. When a time series is highly autocorrelated, there can be an eruption of price of return movements due to news that can last a number of days throughout the week. Historically, conventional linear models failed to capture this attribute as the correlation between one day and the next becomes conditional to news or shocks in the market on any given day and thus, a generalised autoregressive conditional heteroscedastic (GARCH) model is often used to track such behaviour in stock returns</w:t>
      </w:r>
      <w:r w:rsidR="00CE3725">
        <w:rPr>
          <w:sz w:val="22"/>
          <w:szCs w:val="20"/>
        </w:rPr>
        <w:t xml:space="preserve"> (</w:t>
      </w:r>
      <w:r w:rsidR="00CE3725" w:rsidRPr="00471EEE">
        <w:rPr>
          <w:sz w:val="22"/>
          <w:szCs w:val="20"/>
        </w:rPr>
        <w:t>Stavroyiannis 2017</w:t>
      </w:r>
      <w:r w:rsidR="00CE3725">
        <w:rPr>
          <w:sz w:val="22"/>
          <w:szCs w:val="20"/>
        </w:rPr>
        <w:t>)</w:t>
      </w:r>
      <w:r w:rsidRPr="00471EEE">
        <w:rPr>
          <w:sz w:val="22"/>
          <w:szCs w:val="20"/>
        </w:rPr>
        <w:t>.</w:t>
      </w:r>
    </w:p>
    <w:p w14:paraId="46C18951" w14:textId="7B031236" w:rsidR="002D1B8D" w:rsidRPr="00471EEE" w:rsidRDefault="002D1B8D" w:rsidP="00E636BC">
      <w:pPr>
        <w:rPr>
          <w:sz w:val="22"/>
          <w:szCs w:val="20"/>
        </w:rPr>
      </w:pPr>
      <w:r w:rsidRPr="00471EEE">
        <w:rPr>
          <w:sz w:val="22"/>
          <w:szCs w:val="20"/>
        </w:rPr>
        <w:lastRenderedPageBreak/>
        <w:t>Hansen et al. (2021) utilise GARCH and EGARCH and propose a superior model for tracking the price of VIX simultaneously with returns which they refer to as the realised GARCH model. Liu and Quao (2015) use Threshold GARCH (1,1) and find traditional GARCH parameters to be below market VIX by roughly 20 – 30% in tracking VIX out of sample prices. Bilyk et al. (2020) find that using daily data over a seven year period strategy based on fGARCH, TGARCH and GJR-GARCH outperformed standard GARCH and EGARCH models in forecasting performance of VIX futures prices. Chang, Hseih and McAleer (2018) use VAR to show the impact of VIX on ETF returns and find that VIX returns have a significant short run impact on ETF returns, particularly European EFT returns. They find that this impact was a lot more pronounced on the S&amp;P 500 returns.</w:t>
      </w:r>
    </w:p>
    <w:p w14:paraId="3FDEA39E" w14:textId="30496EF0" w:rsidR="00336AFB" w:rsidRPr="00471EEE" w:rsidRDefault="00336AFB" w:rsidP="00E636BC">
      <w:pPr>
        <w:rPr>
          <w:sz w:val="22"/>
          <w:szCs w:val="20"/>
        </w:rPr>
      </w:pPr>
      <w:r w:rsidRPr="00471EEE">
        <w:rPr>
          <w:sz w:val="22"/>
          <w:szCs w:val="20"/>
        </w:rPr>
        <w:t>In the family of GARCH models, our study uses DCC GJR-GARCH model to investigate the dynamic conditional correlation of the variances of S&amp;P500 and the</w:t>
      </w:r>
      <w:r w:rsidR="00517676" w:rsidRPr="00471EEE">
        <w:rPr>
          <w:sz w:val="22"/>
          <w:szCs w:val="20"/>
        </w:rPr>
        <w:t xml:space="preserve"> VIX. The GARCH model is a variance model. </w:t>
      </w:r>
      <w:r w:rsidR="00E80B5F" w:rsidRPr="00471EEE">
        <w:rPr>
          <w:sz w:val="22"/>
          <w:szCs w:val="20"/>
        </w:rPr>
        <w:t xml:space="preserve">The name takes after </w:t>
      </w:r>
      <w:r w:rsidR="00A60CC7" w:rsidRPr="00471EEE">
        <w:rPr>
          <w:sz w:val="22"/>
          <w:szCs w:val="20"/>
        </w:rPr>
        <w:t xml:space="preserve">its developers namely, Glosten, Jagannathan &amp; Runkle (1993). Generally speaking, </w:t>
      </w:r>
      <w:r w:rsidR="00A9325E" w:rsidRPr="00471EEE">
        <w:rPr>
          <w:sz w:val="22"/>
          <w:szCs w:val="20"/>
        </w:rPr>
        <w:t xml:space="preserve">most traditional </w:t>
      </w:r>
      <w:r w:rsidR="00A60CC7" w:rsidRPr="00471EEE">
        <w:rPr>
          <w:sz w:val="22"/>
          <w:szCs w:val="20"/>
        </w:rPr>
        <w:t xml:space="preserve">GARCH models tend to require the natural logarithm </w:t>
      </w:r>
      <w:r w:rsidR="00A9325E" w:rsidRPr="00471EEE">
        <w:rPr>
          <w:sz w:val="22"/>
          <w:szCs w:val="20"/>
        </w:rPr>
        <w:t>of a series in order to best produce reliably desired outcomes. The GJR-GARCH is easier to work with in that it can accommodate level data</w:t>
      </w:r>
      <w:r w:rsidR="00E10506" w:rsidRPr="00471EEE">
        <w:rPr>
          <w:sz w:val="22"/>
          <w:szCs w:val="20"/>
        </w:rPr>
        <w:t xml:space="preserve"> making it much easier to implement. </w:t>
      </w:r>
    </w:p>
    <w:p w14:paraId="50B321A2" w14:textId="77777777" w:rsidR="00DE0F10" w:rsidRPr="00471EEE" w:rsidRDefault="00E10506" w:rsidP="00E636BC">
      <w:pPr>
        <w:rPr>
          <w:sz w:val="22"/>
          <w:szCs w:val="20"/>
        </w:rPr>
      </w:pPr>
      <w:r w:rsidRPr="00471EEE">
        <w:rPr>
          <w:sz w:val="22"/>
          <w:szCs w:val="20"/>
        </w:rPr>
        <w:t>The standard GARCH model is a symmetric model meaning that it</w:t>
      </w:r>
      <w:r w:rsidR="00BD2011" w:rsidRPr="00471EEE">
        <w:rPr>
          <w:sz w:val="22"/>
          <w:szCs w:val="20"/>
        </w:rPr>
        <w:t xml:space="preserve"> is used to observe </w:t>
      </w:r>
      <w:r w:rsidR="008D2D7F" w:rsidRPr="00471EEE">
        <w:rPr>
          <w:sz w:val="22"/>
          <w:szCs w:val="20"/>
        </w:rPr>
        <w:t>when</w:t>
      </w:r>
      <w:r w:rsidR="00BD2011" w:rsidRPr="00471EEE">
        <w:rPr>
          <w:sz w:val="22"/>
          <w:szCs w:val="20"/>
        </w:rPr>
        <w:t xml:space="preserve"> the volatility of a particular equity in the market </w:t>
      </w:r>
      <w:r w:rsidR="00D45D10" w:rsidRPr="00471EEE">
        <w:rPr>
          <w:sz w:val="22"/>
          <w:szCs w:val="20"/>
        </w:rPr>
        <w:t>has equal variability</w:t>
      </w:r>
      <w:r w:rsidR="00BD2011" w:rsidRPr="00471EEE">
        <w:rPr>
          <w:sz w:val="22"/>
          <w:szCs w:val="20"/>
        </w:rPr>
        <w:t xml:space="preserve"> in both declining and rising market conditions. The GJR-GARCH is an example of an asymmetric model. </w:t>
      </w:r>
      <w:r w:rsidR="00D23999" w:rsidRPr="00471EEE">
        <w:rPr>
          <w:sz w:val="22"/>
          <w:szCs w:val="20"/>
        </w:rPr>
        <w:t xml:space="preserve">This follows a phenomenon that </w:t>
      </w:r>
      <w:r w:rsidR="009240CC" w:rsidRPr="00471EEE">
        <w:rPr>
          <w:sz w:val="22"/>
          <w:szCs w:val="20"/>
        </w:rPr>
        <w:t xml:space="preserve">an </w:t>
      </w:r>
      <w:r w:rsidR="00D23999" w:rsidRPr="00471EEE">
        <w:rPr>
          <w:sz w:val="22"/>
          <w:szCs w:val="20"/>
        </w:rPr>
        <w:t>equity</w:t>
      </w:r>
      <w:r w:rsidR="009240CC" w:rsidRPr="00471EEE">
        <w:rPr>
          <w:sz w:val="22"/>
          <w:szCs w:val="20"/>
        </w:rPr>
        <w:t>’s</w:t>
      </w:r>
      <w:r w:rsidR="00D23999" w:rsidRPr="00471EEE">
        <w:rPr>
          <w:sz w:val="22"/>
          <w:szCs w:val="20"/>
        </w:rPr>
        <w:t xml:space="preserve"> market volatility responds with greater effect to negative shocks in the market than to positive ones.</w:t>
      </w:r>
      <w:r w:rsidR="009240CC" w:rsidRPr="00471EEE">
        <w:rPr>
          <w:sz w:val="22"/>
          <w:szCs w:val="20"/>
        </w:rPr>
        <w:t xml:space="preserve"> </w:t>
      </w:r>
    </w:p>
    <w:p w14:paraId="0C31C981" w14:textId="38A65C00" w:rsidR="00E10506" w:rsidRPr="00471EEE" w:rsidRDefault="00DE0F10" w:rsidP="00E636BC">
      <w:pPr>
        <w:rPr>
          <w:sz w:val="22"/>
          <w:szCs w:val="20"/>
        </w:rPr>
      </w:pPr>
      <w:r w:rsidRPr="00471EEE">
        <w:rPr>
          <w:sz w:val="22"/>
          <w:szCs w:val="20"/>
        </w:rPr>
        <w:t>A GJR-GARCH model of order (1,1) can be expressed using the following equation</w:t>
      </w:r>
      <w:r w:rsidR="0024278F" w:rsidRPr="00471EEE">
        <w:rPr>
          <w:sz w:val="22"/>
          <w:szCs w:val="20"/>
        </w:rPr>
        <w:t>:</w:t>
      </w:r>
    </w:p>
    <w:p w14:paraId="081637A6" w14:textId="3AF9CEAE" w:rsidR="00D871D1" w:rsidRPr="00471EEE" w:rsidRDefault="00CE3725" w:rsidP="00E636BC">
      <w:pPr>
        <w:rPr>
          <w:rFonts w:eastAsiaTheme="minorEastAsia"/>
          <w:sz w:val="22"/>
          <w:szCs w:val="20"/>
        </w:rPr>
      </w:pPr>
      <m:oMathPara>
        <m:oMath>
          <m:sSubSup>
            <m:sSubSupPr>
              <m:ctrlPr>
                <w:rPr>
                  <w:i/>
                  <w:sz w:val="22"/>
                  <w:szCs w:val="20"/>
                </w:rPr>
              </m:ctrlPr>
            </m:sSubSupPr>
            <m:e>
              <m:r>
                <m:rPr>
                  <m:sty m:val="p"/>
                </m:rPr>
                <w:rPr>
                  <w:rFonts w:ascii="Cambria Math" w:hAnsi="Cambria Math"/>
                  <w:sz w:val="22"/>
                  <w:szCs w:val="20"/>
                </w:rPr>
                <m:t>σ</m:t>
              </m:r>
            </m:e>
            <m:sub>
              <m:r>
                <w:rPr>
                  <w:rFonts w:ascii="Cambria Math" w:hAnsi="Cambria Math"/>
                  <w:sz w:val="22"/>
                  <w:szCs w:val="20"/>
                </w:rPr>
                <m:t>t</m:t>
              </m:r>
            </m:sub>
            <m:sup>
              <m:r>
                <w:rPr>
                  <w:rFonts w:ascii="Cambria Math" w:hAnsi="Cambria Math"/>
                  <w:sz w:val="22"/>
                  <w:szCs w:val="20"/>
                </w:rPr>
                <m:t>2</m:t>
              </m:r>
            </m:sup>
          </m:sSubSup>
          <m:r>
            <w:rPr>
              <w:rFonts w:ascii="Cambria Math" w:hAnsi="Cambria Math"/>
              <w:sz w:val="22"/>
              <w:szCs w:val="20"/>
            </w:rPr>
            <m:t>=ω+</m:t>
          </m:r>
          <m:r>
            <m:rPr>
              <m:sty m:val="p"/>
            </m:rPr>
            <w:rPr>
              <w:rFonts w:ascii="Cambria Math" w:hAnsi="Cambria Math"/>
              <w:sz w:val="22"/>
              <w:szCs w:val="20"/>
            </w:rPr>
            <m:t>α</m:t>
          </m:r>
          <m:sSubSup>
            <m:sSubSupPr>
              <m:ctrlPr>
                <w:rPr>
                  <w:i/>
                  <w:sz w:val="22"/>
                  <w:szCs w:val="20"/>
                </w:rPr>
              </m:ctrlPr>
            </m:sSubSupPr>
            <m:e>
              <m:r>
                <m:rPr>
                  <m:sty m:val="p"/>
                </m:rPr>
                <w:rPr>
                  <w:rFonts w:ascii="Cambria Math" w:hAnsi="Cambria Math"/>
                  <w:sz w:val="22"/>
                  <w:szCs w:val="20"/>
                </w:rPr>
                <m:t>ε</m:t>
              </m:r>
            </m:e>
            <m:sub>
              <m:r>
                <w:rPr>
                  <w:rFonts w:ascii="Cambria Math" w:hAnsi="Cambria Math"/>
                  <w:sz w:val="22"/>
                  <w:szCs w:val="20"/>
                </w:rPr>
                <m:t>t-1</m:t>
              </m:r>
            </m:sub>
            <m:sup>
              <m:r>
                <w:rPr>
                  <w:rFonts w:ascii="Cambria Math" w:hAnsi="Cambria Math"/>
                  <w:sz w:val="22"/>
                  <w:szCs w:val="20"/>
                </w:rPr>
                <m:t>2</m:t>
              </m:r>
            </m:sup>
          </m:sSubSup>
          <m:r>
            <w:rPr>
              <w:rFonts w:ascii="Cambria Math" w:hAnsi="Cambria Math"/>
              <w:sz w:val="22"/>
              <w:szCs w:val="20"/>
            </w:rPr>
            <m:t>+γ</m:t>
          </m:r>
          <m:sSub>
            <m:sSubPr>
              <m:ctrlPr>
                <w:rPr>
                  <w:sz w:val="22"/>
                  <w:szCs w:val="20"/>
                </w:rPr>
              </m:ctrlPr>
            </m:sSubPr>
            <m:e>
              <m:r>
                <m:rPr>
                  <m:sty m:val="p"/>
                </m:rPr>
                <w:rPr>
                  <w:rFonts w:ascii="Cambria Math" w:hAnsi="Cambria Math"/>
                  <w:sz w:val="22"/>
                  <w:szCs w:val="20"/>
                </w:rPr>
                <m:t>I</m:t>
              </m:r>
            </m:e>
            <m:sub>
              <m:r>
                <w:rPr>
                  <w:rFonts w:ascii="Cambria Math" w:hAnsi="Cambria Math"/>
                  <w:sz w:val="22"/>
                  <w:szCs w:val="20"/>
                </w:rPr>
                <m:t>t-1</m:t>
              </m:r>
            </m:sub>
          </m:sSub>
          <m:sSubSup>
            <m:sSubSupPr>
              <m:ctrlPr>
                <w:rPr>
                  <w:i/>
                  <w:sz w:val="22"/>
                  <w:szCs w:val="20"/>
                </w:rPr>
              </m:ctrlPr>
            </m:sSubSupPr>
            <m:e>
              <m:r>
                <m:rPr>
                  <m:sty m:val="p"/>
                </m:rPr>
                <w:rPr>
                  <w:rFonts w:ascii="Cambria Math" w:hAnsi="Cambria Math"/>
                  <w:sz w:val="22"/>
                  <w:szCs w:val="20"/>
                </w:rPr>
                <m:t>ε</m:t>
              </m:r>
            </m:e>
            <m:sub>
              <m:r>
                <w:rPr>
                  <w:rFonts w:ascii="Cambria Math" w:hAnsi="Cambria Math"/>
                  <w:sz w:val="22"/>
                  <w:szCs w:val="20"/>
                </w:rPr>
                <m:t>t-1</m:t>
              </m:r>
            </m:sub>
            <m:sup>
              <m:r>
                <w:rPr>
                  <w:rFonts w:ascii="Cambria Math" w:hAnsi="Cambria Math"/>
                  <w:sz w:val="22"/>
                  <w:szCs w:val="20"/>
                </w:rPr>
                <m:t>2</m:t>
              </m:r>
            </m:sup>
          </m:sSubSup>
          <m:r>
            <w:rPr>
              <w:rFonts w:ascii="Cambria Math" w:hAnsi="Cambria Math"/>
              <w:sz w:val="22"/>
              <w:szCs w:val="20"/>
            </w:rPr>
            <m:t>+</m:t>
          </m:r>
          <m:sSubSup>
            <m:sSubSupPr>
              <m:ctrlPr>
                <w:rPr>
                  <w:i/>
                  <w:sz w:val="22"/>
                  <w:szCs w:val="20"/>
                </w:rPr>
              </m:ctrlPr>
            </m:sSubSupPr>
            <m:e>
              <m:r>
                <m:rPr>
                  <m:sty m:val="p"/>
                </m:rPr>
                <w:rPr>
                  <w:rFonts w:ascii="Cambria Math" w:hAnsi="Cambria Math"/>
                  <w:sz w:val="22"/>
                  <w:szCs w:val="20"/>
                </w:rPr>
                <m:t>βσ</m:t>
              </m:r>
            </m:e>
            <m:sub>
              <m:r>
                <w:rPr>
                  <w:rFonts w:ascii="Cambria Math" w:hAnsi="Cambria Math"/>
                  <w:sz w:val="22"/>
                  <w:szCs w:val="20"/>
                </w:rPr>
                <m:t>t-1</m:t>
              </m:r>
            </m:sub>
            <m:sup>
              <m:r>
                <w:rPr>
                  <w:rFonts w:ascii="Cambria Math" w:hAnsi="Cambria Math"/>
                  <w:sz w:val="22"/>
                  <w:szCs w:val="20"/>
                </w:rPr>
                <m:t>2</m:t>
              </m:r>
            </m:sup>
          </m:sSubSup>
        </m:oMath>
      </m:oMathPara>
    </w:p>
    <w:p w14:paraId="19004072" w14:textId="21D423EC" w:rsidR="00E12D9B" w:rsidRPr="00471EEE" w:rsidRDefault="00E94740" w:rsidP="00E12D9B">
      <w:pPr>
        <w:ind w:firstLine="0"/>
        <w:rPr>
          <w:rFonts w:eastAsiaTheme="minorEastAsia"/>
          <w:sz w:val="22"/>
          <w:szCs w:val="20"/>
        </w:rPr>
      </w:pPr>
      <w:r w:rsidRPr="00471EEE">
        <w:rPr>
          <w:rFonts w:eastAsiaTheme="minorEastAsia"/>
          <w:sz w:val="22"/>
          <w:szCs w:val="20"/>
        </w:rPr>
        <w:t>w</w:t>
      </w:r>
      <w:r w:rsidR="00E12D9B" w:rsidRPr="00471EEE">
        <w:rPr>
          <w:rFonts w:eastAsiaTheme="minorEastAsia"/>
          <w:sz w:val="22"/>
          <w:szCs w:val="20"/>
        </w:rPr>
        <w:t>here</w:t>
      </w:r>
      <w:r w:rsidRPr="00471EEE">
        <w:rPr>
          <w:rFonts w:eastAsiaTheme="minorEastAsia"/>
          <w:sz w:val="22"/>
          <w:szCs w:val="20"/>
        </w:rPr>
        <w:t>:</w:t>
      </w:r>
    </w:p>
    <w:p w14:paraId="12E1C421" w14:textId="76322D74" w:rsidR="00E12D9B" w:rsidRPr="00471EEE" w:rsidRDefault="00E12D9B" w:rsidP="00E12D9B">
      <w:pPr>
        <w:ind w:firstLine="0"/>
        <w:rPr>
          <w:rFonts w:eastAsiaTheme="minorEastAsia"/>
          <w:sz w:val="22"/>
          <w:szCs w:val="20"/>
        </w:rPr>
      </w:pPr>
      <w:r w:rsidRPr="00471EEE">
        <w:rPr>
          <w:sz w:val="22"/>
          <w:szCs w:val="20"/>
        </w:rPr>
        <w:tab/>
      </w:r>
      <m:oMath>
        <m:sSubSup>
          <m:sSubSupPr>
            <m:ctrlPr>
              <w:rPr>
                <w:i/>
                <w:sz w:val="22"/>
                <w:szCs w:val="20"/>
              </w:rPr>
            </m:ctrlPr>
          </m:sSubSupPr>
          <m:e>
            <m:r>
              <m:rPr>
                <m:sty m:val="p"/>
              </m:rPr>
              <w:rPr>
                <w:rFonts w:ascii="Cambria Math" w:hAnsi="Cambria Math"/>
                <w:sz w:val="22"/>
                <w:szCs w:val="20"/>
              </w:rPr>
              <m:t>σ</m:t>
            </m:r>
          </m:e>
          <m:sub>
            <m:r>
              <w:rPr>
                <w:rFonts w:ascii="Cambria Math" w:hAnsi="Cambria Math"/>
                <w:sz w:val="22"/>
                <w:szCs w:val="20"/>
              </w:rPr>
              <m:t>t</m:t>
            </m:r>
          </m:sub>
          <m:sup>
            <m:r>
              <w:rPr>
                <w:rFonts w:ascii="Cambria Math" w:hAnsi="Cambria Math"/>
                <w:sz w:val="22"/>
                <w:szCs w:val="20"/>
              </w:rPr>
              <m:t>2</m:t>
            </m:r>
          </m:sup>
        </m:sSubSup>
      </m:oMath>
      <w:r w:rsidRPr="00471EEE">
        <w:rPr>
          <w:rFonts w:eastAsiaTheme="minorEastAsia"/>
          <w:sz w:val="22"/>
          <w:szCs w:val="20"/>
        </w:rPr>
        <w:t xml:space="preserve"> is the conditional forecasted variance </w:t>
      </w:r>
      <w:r w:rsidR="00164DE3" w:rsidRPr="00471EEE">
        <w:rPr>
          <w:rFonts w:eastAsiaTheme="minorEastAsia"/>
          <w:sz w:val="22"/>
          <w:szCs w:val="20"/>
        </w:rPr>
        <w:t>based on today’s date.</w:t>
      </w:r>
    </w:p>
    <w:p w14:paraId="040F63EA" w14:textId="6B6F40B6" w:rsidR="00164DE3" w:rsidRPr="00471EEE" w:rsidRDefault="00164DE3" w:rsidP="00E12D9B">
      <w:pPr>
        <w:ind w:firstLine="0"/>
        <w:rPr>
          <w:rFonts w:eastAsiaTheme="minorEastAsia"/>
          <w:sz w:val="22"/>
          <w:szCs w:val="20"/>
        </w:rPr>
      </w:pPr>
      <w:r w:rsidRPr="00471EEE">
        <w:rPr>
          <w:rFonts w:eastAsiaTheme="minorEastAsia"/>
          <w:sz w:val="22"/>
          <w:szCs w:val="20"/>
        </w:rPr>
        <w:tab/>
      </w:r>
      <m:oMath>
        <m:r>
          <w:rPr>
            <w:rFonts w:ascii="Cambria Math" w:hAnsi="Cambria Math"/>
            <w:sz w:val="22"/>
            <w:szCs w:val="20"/>
          </w:rPr>
          <m:t>ω</m:t>
        </m:r>
      </m:oMath>
      <w:r w:rsidRPr="00471EEE">
        <w:rPr>
          <w:rFonts w:eastAsiaTheme="minorEastAsia"/>
          <w:sz w:val="22"/>
          <w:szCs w:val="20"/>
        </w:rPr>
        <w:t xml:space="preserve"> is the intercept of the variance</w:t>
      </w:r>
      <w:r w:rsidR="00803C61" w:rsidRPr="00471EEE">
        <w:rPr>
          <w:rFonts w:eastAsiaTheme="minorEastAsia"/>
          <w:sz w:val="22"/>
          <w:szCs w:val="20"/>
        </w:rPr>
        <w:t xml:space="preserve"> or the unconditional variance</w:t>
      </w:r>
      <w:r w:rsidRPr="00471EEE">
        <w:rPr>
          <w:rFonts w:eastAsiaTheme="minorEastAsia"/>
          <w:sz w:val="22"/>
          <w:szCs w:val="20"/>
        </w:rPr>
        <w:t>.</w:t>
      </w:r>
    </w:p>
    <w:p w14:paraId="62623B52" w14:textId="3B772039" w:rsidR="00164DE3" w:rsidRPr="00471EEE" w:rsidRDefault="00164DE3" w:rsidP="00E12D9B">
      <w:pPr>
        <w:ind w:firstLine="0"/>
        <w:rPr>
          <w:rFonts w:eastAsiaTheme="minorEastAsia"/>
          <w:sz w:val="22"/>
          <w:szCs w:val="20"/>
        </w:rPr>
      </w:pPr>
      <w:r w:rsidRPr="00471EEE">
        <w:rPr>
          <w:sz w:val="22"/>
          <w:szCs w:val="20"/>
        </w:rPr>
        <w:tab/>
      </w:r>
      <m:oMath>
        <m:sSub>
          <m:sSubPr>
            <m:ctrlPr>
              <w:rPr>
                <w:sz w:val="22"/>
                <w:szCs w:val="20"/>
              </w:rPr>
            </m:ctrlPr>
          </m:sSubPr>
          <m:e>
            <m:r>
              <m:rPr>
                <m:sty m:val="p"/>
              </m:rPr>
              <w:rPr>
                <w:rFonts w:ascii="Cambria Math" w:hAnsi="Cambria Math"/>
                <w:sz w:val="22"/>
                <w:szCs w:val="20"/>
              </w:rPr>
              <m:t>α</m:t>
            </m:r>
          </m:e>
          <m:sub>
            <m:r>
              <w:rPr>
                <w:rFonts w:ascii="Cambria Math" w:hAnsi="Cambria Math"/>
                <w:sz w:val="22"/>
                <w:szCs w:val="20"/>
              </w:rPr>
              <m:t>1</m:t>
            </m:r>
          </m:sub>
        </m:sSub>
        <m:sSubSup>
          <m:sSubSupPr>
            <m:ctrlPr>
              <w:rPr>
                <w:i/>
                <w:sz w:val="22"/>
                <w:szCs w:val="20"/>
              </w:rPr>
            </m:ctrlPr>
          </m:sSubSupPr>
          <m:e>
            <m:r>
              <m:rPr>
                <m:sty m:val="p"/>
              </m:rPr>
              <w:rPr>
                <w:rFonts w:ascii="Cambria Math" w:hAnsi="Cambria Math"/>
                <w:sz w:val="22"/>
                <w:szCs w:val="20"/>
              </w:rPr>
              <m:t>ε</m:t>
            </m:r>
          </m:e>
          <m:sub>
            <m:r>
              <w:rPr>
                <w:rFonts w:ascii="Cambria Math" w:hAnsi="Cambria Math"/>
                <w:sz w:val="22"/>
                <w:szCs w:val="20"/>
              </w:rPr>
              <m:t>t-1</m:t>
            </m:r>
          </m:sub>
          <m:sup>
            <m:r>
              <w:rPr>
                <w:rFonts w:ascii="Cambria Math" w:hAnsi="Cambria Math"/>
                <w:sz w:val="22"/>
                <w:szCs w:val="20"/>
              </w:rPr>
              <m:t>2</m:t>
            </m:r>
          </m:sup>
        </m:sSubSup>
      </m:oMath>
      <w:r w:rsidRPr="00471EEE">
        <w:rPr>
          <w:rFonts w:eastAsiaTheme="minorEastAsia"/>
          <w:sz w:val="22"/>
          <w:szCs w:val="20"/>
        </w:rPr>
        <w:t xml:space="preserve"> this represents the variance that </w:t>
      </w:r>
      <w:r w:rsidR="00AB67B3" w:rsidRPr="00471EEE">
        <w:rPr>
          <w:rFonts w:eastAsiaTheme="minorEastAsia"/>
          <w:sz w:val="22"/>
          <w:szCs w:val="20"/>
        </w:rPr>
        <w:t xml:space="preserve">is </w:t>
      </w:r>
      <w:r w:rsidRPr="00471EEE">
        <w:rPr>
          <w:rFonts w:eastAsiaTheme="minorEastAsia"/>
          <w:sz w:val="22"/>
          <w:szCs w:val="20"/>
        </w:rPr>
        <w:t>depend</w:t>
      </w:r>
      <w:r w:rsidR="00AB67B3" w:rsidRPr="00471EEE">
        <w:rPr>
          <w:rFonts w:eastAsiaTheme="minorEastAsia"/>
          <w:sz w:val="22"/>
          <w:szCs w:val="20"/>
        </w:rPr>
        <w:t>ent</w:t>
      </w:r>
      <w:r w:rsidRPr="00471EEE">
        <w:rPr>
          <w:rFonts w:eastAsiaTheme="minorEastAsia"/>
          <w:sz w:val="22"/>
          <w:szCs w:val="20"/>
        </w:rPr>
        <w:t xml:space="preserve"> on </w:t>
      </w:r>
      <w:r w:rsidR="00F06E45" w:rsidRPr="00471EEE">
        <w:rPr>
          <w:rFonts w:eastAsiaTheme="minorEastAsia"/>
          <w:sz w:val="22"/>
          <w:szCs w:val="20"/>
        </w:rPr>
        <w:t xml:space="preserve">the </w:t>
      </w:r>
      <w:r w:rsidR="008111D9" w:rsidRPr="00471EEE">
        <w:rPr>
          <w:rFonts w:eastAsiaTheme="minorEastAsia"/>
          <w:sz w:val="22"/>
          <w:szCs w:val="20"/>
        </w:rPr>
        <w:t xml:space="preserve">lag of </w:t>
      </w:r>
      <w:r w:rsidRPr="00471EEE">
        <w:rPr>
          <w:rFonts w:eastAsiaTheme="minorEastAsia"/>
          <w:sz w:val="22"/>
          <w:szCs w:val="20"/>
        </w:rPr>
        <w:t xml:space="preserve">previous </w:t>
      </w:r>
      <w:r w:rsidR="00F06E45" w:rsidRPr="00471EEE">
        <w:rPr>
          <w:rFonts w:eastAsiaTheme="minorEastAsia"/>
          <w:sz w:val="22"/>
          <w:szCs w:val="20"/>
        </w:rPr>
        <w:t xml:space="preserve">error </w:t>
      </w:r>
      <w:r w:rsidRPr="00471EEE">
        <w:rPr>
          <w:rFonts w:eastAsiaTheme="minorEastAsia"/>
          <w:sz w:val="22"/>
          <w:szCs w:val="20"/>
        </w:rPr>
        <w:t>terms.</w:t>
      </w:r>
    </w:p>
    <w:p w14:paraId="05365417" w14:textId="7587F996" w:rsidR="00F06E45" w:rsidRPr="00471EEE" w:rsidRDefault="00F06E45" w:rsidP="00E12D9B">
      <w:pPr>
        <w:ind w:firstLine="0"/>
        <w:rPr>
          <w:rFonts w:eastAsiaTheme="minorEastAsia"/>
          <w:sz w:val="22"/>
          <w:szCs w:val="20"/>
        </w:rPr>
      </w:pPr>
      <w:r w:rsidRPr="00471EEE">
        <w:rPr>
          <w:sz w:val="22"/>
          <w:szCs w:val="20"/>
        </w:rPr>
        <w:tab/>
      </w:r>
      <m:oMath>
        <m:r>
          <w:rPr>
            <w:rFonts w:ascii="Cambria Math" w:hAnsi="Cambria Math"/>
            <w:sz w:val="22"/>
            <w:szCs w:val="20"/>
          </w:rPr>
          <m:t xml:space="preserve">γ </m:t>
        </m:r>
      </m:oMath>
      <w:r w:rsidRPr="00471EEE">
        <w:rPr>
          <w:rFonts w:eastAsiaTheme="minorEastAsia"/>
          <w:sz w:val="22"/>
          <w:szCs w:val="20"/>
        </w:rPr>
        <w:t xml:space="preserve">is the asymmetric volatility that gives us what is known as the leverage effect. </w:t>
      </w:r>
    </w:p>
    <w:p w14:paraId="7C7EE281" w14:textId="3718495D" w:rsidR="00624DC8" w:rsidRPr="00471EEE" w:rsidRDefault="00624DC8" w:rsidP="00F40168">
      <w:pPr>
        <w:rPr>
          <w:rFonts w:eastAsiaTheme="minorEastAsia"/>
          <w:sz w:val="22"/>
          <w:szCs w:val="20"/>
        </w:rPr>
      </w:pPr>
      <m:oMath>
        <m:r>
          <m:rPr>
            <m:sty m:val="p"/>
          </m:rPr>
          <w:rPr>
            <w:rFonts w:ascii="Cambria Math" w:hAnsi="Cambria Math"/>
            <w:sz w:val="22"/>
            <w:szCs w:val="20"/>
          </w:rPr>
          <m:t>β</m:t>
        </m:r>
      </m:oMath>
      <w:r w:rsidRPr="00471EEE">
        <w:rPr>
          <w:rFonts w:eastAsiaTheme="minorEastAsia"/>
          <w:sz w:val="22"/>
          <w:szCs w:val="20"/>
        </w:rPr>
        <w:t xml:space="preserve"> is the coefficient of the forecasted variance. </w:t>
      </w:r>
    </w:p>
    <w:p w14:paraId="39C34D34" w14:textId="52E61722" w:rsidR="00244779" w:rsidRPr="00471EEE" w:rsidRDefault="00CE3725" w:rsidP="00F40168">
      <w:pPr>
        <w:rPr>
          <w:rFonts w:eastAsiaTheme="minorEastAsia"/>
          <w:sz w:val="22"/>
          <w:szCs w:val="20"/>
        </w:rPr>
      </w:pPr>
      <m:oMath>
        <m:sSubSup>
          <m:sSubSupPr>
            <m:ctrlPr>
              <w:rPr>
                <w:i/>
                <w:sz w:val="22"/>
                <w:szCs w:val="20"/>
              </w:rPr>
            </m:ctrlPr>
          </m:sSubSupPr>
          <m:e>
            <m:r>
              <m:rPr>
                <m:sty m:val="p"/>
              </m:rPr>
              <w:rPr>
                <w:rFonts w:ascii="Cambria Math" w:hAnsi="Cambria Math"/>
                <w:sz w:val="22"/>
                <w:szCs w:val="20"/>
              </w:rPr>
              <m:t>σ</m:t>
            </m:r>
          </m:e>
          <m:sub>
            <m:r>
              <w:rPr>
                <w:rFonts w:ascii="Cambria Math" w:hAnsi="Cambria Math"/>
                <w:sz w:val="22"/>
                <w:szCs w:val="20"/>
              </w:rPr>
              <m:t>t-1</m:t>
            </m:r>
          </m:sub>
          <m:sup>
            <m:r>
              <w:rPr>
                <w:rFonts w:ascii="Cambria Math" w:hAnsi="Cambria Math"/>
                <w:sz w:val="22"/>
                <w:szCs w:val="20"/>
              </w:rPr>
              <m:t>2</m:t>
            </m:r>
          </m:sup>
        </m:sSubSup>
      </m:oMath>
      <w:r w:rsidR="00244779" w:rsidRPr="00471EEE">
        <w:rPr>
          <w:rFonts w:eastAsiaTheme="minorEastAsia"/>
          <w:sz w:val="22"/>
          <w:szCs w:val="20"/>
        </w:rPr>
        <w:t xml:space="preserve"> </w:t>
      </w:r>
      <w:r w:rsidR="00164BE9" w:rsidRPr="00471EEE">
        <w:rPr>
          <w:rFonts w:eastAsiaTheme="minorEastAsia"/>
          <w:sz w:val="22"/>
          <w:szCs w:val="20"/>
        </w:rPr>
        <w:t xml:space="preserve">is yesterday’s </w:t>
      </w:r>
      <w:r w:rsidR="007E48F1" w:rsidRPr="00471EEE">
        <w:rPr>
          <w:rFonts w:eastAsiaTheme="minorEastAsia"/>
          <w:sz w:val="22"/>
          <w:szCs w:val="20"/>
        </w:rPr>
        <w:t>forecasted variance.</w:t>
      </w:r>
    </w:p>
    <w:p w14:paraId="75DDB619" w14:textId="56DD469F" w:rsidR="00FD4818" w:rsidRPr="00471EEE" w:rsidRDefault="0054119C" w:rsidP="0054119C">
      <w:pPr>
        <w:ind w:firstLine="0"/>
        <w:rPr>
          <w:rFonts w:eastAsiaTheme="minorEastAsia"/>
          <w:sz w:val="22"/>
          <w:szCs w:val="20"/>
        </w:rPr>
      </w:pPr>
      <w:r w:rsidRPr="00471EEE">
        <w:rPr>
          <w:rFonts w:eastAsiaTheme="minorEastAsia"/>
          <w:sz w:val="22"/>
          <w:szCs w:val="20"/>
        </w:rPr>
        <w:lastRenderedPageBreak/>
        <w:t xml:space="preserve">We employ a multivariate DCC GJR-GARCH (1,1) model in order to determine the conditional covariance and correlation between VIX and S&amp;P500 returns. This allows us to analyse how the variability between the two series </w:t>
      </w:r>
      <w:r w:rsidR="00FD4818" w:rsidRPr="00471EEE">
        <w:rPr>
          <w:rFonts w:eastAsiaTheme="minorEastAsia"/>
          <w:sz w:val="22"/>
          <w:szCs w:val="20"/>
        </w:rPr>
        <w:t>behaves over time and whether there is some spill over</w:t>
      </w:r>
      <w:r w:rsidR="00D54D85" w:rsidRPr="00471EEE">
        <w:rPr>
          <w:rFonts w:eastAsiaTheme="minorEastAsia"/>
          <w:sz w:val="22"/>
          <w:szCs w:val="20"/>
        </w:rPr>
        <w:t xml:space="preserve"> effects that where not clearly detected with the VAR impulse response function</w:t>
      </w:r>
      <w:r w:rsidR="00EF5212" w:rsidRPr="00471EEE">
        <w:rPr>
          <w:rFonts w:eastAsiaTheme="minorEastAsia"/>
          <w:sz w:val="22"/>
          <w:szCs w:val="20"/>
        </w:rPr>
        <w:t xml:space="preserve"> (</w:t>
      </w:r>
      <w:r w:rsidR="00EF5212" w:rsidRPr="00471EEE">
        <w:rPr>
          <w:sz w:val="22"/>
          <w:szCs w:val="20"/>
        </w:rPr>
        <w:t>Stavroyiannis</w:t>
      </w:r>
      <w:r w:rsidR="00EF5212" w:rsidRPr="00471EEE">
        <w:rPr>
          <w:sz w:val="22"/>
          <w:szCs w:val="20"/>
        </w:rPr>
        <w:t xml:space="preserve"> 2017)</w:t>
      </w:r>
      <w:r w:rsidR="00FD4818" w:rsidRPr="00471EEE">
        <w:rPr>
          <w:rFonts w:eastAsiaTheme="minorEastAsia"/>
          <w:sz w:val="22"/>
          <w:szCs w:val="20"/>
        </w:rPr>
        <w:t>.</w:t>
      </w:r>
    </w:p>
    <w:p w14:paraId="74B00BF7" w14:textId="0C8E6D1A" w:rsidR="0054119C" w:rsidRPr="00471EEE" w:rsidRDefault="003D2249" w:rsidP="0054119C">
      <w:pPr>
        <w:ind w:firstLine="0"/>
        <w:rPr>
          <w:rFonts w:eastAsiaTheme="minorEastAsia"/>
          <w:sz w:val="22"/>
          <w:szCs w:val="20"/>
        </w:rPr>
      </w:pPr>
      <w:r w:rsidRPr="00471EEE">
        <w:rPr>
          <w:rFonts w:eastAsiaTheme="minorEastAsia"/>
          <w:sz w:val="22"/>
          <w:szCs w:val="20"/>
        </w:rPr>
        <w:t>The following steps are taken</w:t>
      </w:r>
      <w:r w:rsidR="00D54D85" w:rsidRPr="00471EEE">
        <w:rPr>
          <w:rFonts w:eastAsiaTheme="minorEastAsia"/>
          <w:sz w:val="22"/>
          <w:szCs w:val="20"/>
        </w:rPr>
        <w:t>:</w:t>
      </w:r>
    </w:p>
    <w:p w14:paraId="4EFC31B2" w14:textId="1DFE568B" w:rsidR="003D2249" w:rsidRPr="00471EEE" w:rsidRDefault="00AE1B28" w:rsidP="00B00173">
      <w:pPr>
        <w:pStyle w:val="ListParagraph"/>
        <w:numPr>
          <w:ilvl w:val="0"/>
          <w:numId w:val="2"/>
        </w:numPr>
        <w:rPr>
          <w:rFonts w:eastAsiaTheme="minorEastAsia"/>
          <w:sz w:val="22"/>
          <w:szCs w:val="20"/>
        </w:rPr>
      </w:pPr>
      <w:r w:rsidRPr="00471EEE">
        <w:rPr>
          <w:rFonts w:eastAsiaTheme="minorEastAsia"/>
          <w:sz w:val="22"/>
          <w:szCs w:val="20"/>
        </w:rPr>
        <w:t>Perform Stationarity Tests</w:t>
      </w:r>
    </w:p>
    <w:p w14:paraId="2094588F" w14:textId="2E49227E" w:rsidR="00AE1B28" w:rsidRPr="00471EEE" w:rsidRDefault="00AE1B28" w:rsidP="00B00173">
      <w:pPr>
        <w:pStyle w:val="ListParagraph"/>
        <w:numPr>
          <w:ilvl w:val="0"/>
          <w:numId w:val="2"/>
        </w:numPr>
        <w:rPr>
          <w:rFonts w:eastAsiaTheme="minorEastAsia"/>
          <w:sz w:val="22"/>
          <w:szCs w:val="20"/>
        </w:rPr>
      </w:pPr>
      <w:r w:rsidRPr="00471EEE">
        <w:rPr>
          <w:rFonts w:eastAsiaTheme="minorEastAsia"/>
          <w:sz w:val="22"/>
          <w:szCs w:val="20"/>
        </w:rPr>
        <w:t>Inspect data for volatility clustering</w:t>
      </w:r>
    </w:p>
    <w:p w14:paraId="46BD0F52" w14:textId="4DCD2F80" w:rsidR="00AE1B28" w:rsidRPr="00471EEE" w:rsidRDefault="0055445F" w:rsidP="00B00173">
      <w:pPr>
        <w:pStyle w:val="ListParagraph"/>
        <w:numPr>
          <w:ilvl w:val="0"/>
          <w:numId w:val="2"/>
        </w:numPr>
        <w:rPr>
          <w:rFonts w:eastAsiaTheme="minorEastAsia"/>
          <w:sz w:val="22"/>
          <w:szCs w:val="20"/>
        </w:rPr>
      </w:pPr>
      <w:r w:rsidRPr="00471EEE">
        <w:rPr>
          <w:rFonts w:eastAsiaTheme="minorEastAsia"/>
          <w:sz w:val="22"/>
          <w:szCs w:val="20"/>
        </w:rPr>
        <w:t>Check for</w:t>
      </w:r>
      <w:r w:rsidR="00AE1B28" w:rsidRPr="00471EEE">
        <w:rPr>
          <w:rFonts w:eastAsiaTheme="minorEastAsia"/>
          <w:sz w:val="22"/>
          <w:szCs w:val="20"/>
        </w:rPr>
        <w:t xml:space="preserve"> ARCH effects of </w:t>
      </w:r>
      <w:r w:rsidRPr="00471EEE">
        <w:rPr>
          <w:rFonts w:eastAsiaTheme="minorEastAsia"/>
          <w:sz w:val="22"/>
          <w:szCs w:val="20"/>
        </w:rPr>
        <w:t>each series</w:t>
      </w:r>
    </w:p>
    <w:p w14:paraId="53A412A5" w14:textId="5943F801" w:rsidR="00B62C53" w:rsidRPr="00471EEE" w:rsidRDefault="00B62C53" w:rsidP="00B00173">
      <w:pPr>
        <w:pStyle w:val="ListParagraph"/>
        <w:numPr>
          <w:ilvl w:val="0"/>
          <w:numId w:val="2"/>
        </w:numPr>
        <w:rPr>
          <w:rFonts w:eastAsiaTheme="minorEastAsia"/>
          <w:sz w:val="22"/>
          <w:szCs w:val="20"/>
        </w:rPr>
      </w:pPr>
      <w:r w:rsidRPr="00471EEE">
        <w:rPr>
          <w:rFonts w:eastAsiaTheme="minorEastAsia"/>
          <w:sz w:val="22"/>
          <w:szCs w:val="20"/>
        </w:rPr>
        <w:t xml:space="preserve">Investigate </w:t>
      </w:r>
      <w:r w:rsidR="00B27AB4" w:rsidRPr="00471EEE">
        <w:rPr>
          <w:rFonts w:eastAsiaTheme="minorEastAsia"/>
          <w:sz w:val="22"/>
          <w:szCs w:val="20"/>
        </w:rPr>
        <w:t>that standard GARCH requirements apply</w:t>
      </w:r>
    </w:p>
    <w:p w14:paraId="1F8E1E31" w14:textId="60A020F5" w:rsidR="00194BD4" w:rsidRPr="00471EEE" w:rsidRDefault="00194BD4" w:rsidP="00B00173">
      <w:pPr>
        <w:pStyle w:val="ListParagraph"/>
        <w:numPr>
          <w:ilvl w:val="0"/>
          <w:numId w:val="2"/>
        </w:numPr>
        <w:rPr>
          <w:rFonts w:eastAsiaTheme="minorEastAsia"/>
          <w:sz w:val="22"/>
          <w:szCs w:val="20"/>
        </w:rPr>
      </w:pPr>
      <w:r w:rsidRPr="00471EEE">
        <w:rPr>
          <w:rFonts w:eastAsiaTheme="minorEastAsia"/>
          <w:sz w:val="22"/>
          <w:szCs w:val="20"/>
        </w:rPr>
        <w:t>Estimate Univariate GJR-GARCH</w:t>
      </w:r>
      <w:r w:rsidR="006A0FCB" w:rsidRPr="00471EEE">
        <w:rPr>
          <w:rFonts w:eastAsiaTheme="minorEastAsia"/>
          <w:sz w:val="22"/>
          <w:szCs w:val="20"/>
        </w:rPr>
        <w:t xml:space="preserve"> model</w:t>
      </w:r>
    </w:p>
    <w:p w14:paraId="4CEA704B" w14:textId="74146755" w:rsidR="00B62C53" w:rsidRPr="00471EEE" w:rsidRDefault="00E93E9C" w:rsidP="00B00173">
      <w:pPr>
        <w:pStyle w:val="ListParagraph"/>
        <w:numPr>
          <w:ilvl w:val="0"/>
          <w:numId w:val="2"/>
        </w:numPr>
        <w:rPr>
          <w:rFonts w:eastAsiaTheme="minorEastAsia"/>
          <w:sz w:val="22"/>
          <w:szCs w:val="20"/>
        </w:rPr>
      </w:pPr>
      <w:r w:rsidRPr="00471EEE">
        <w:rPr>
          <w:rFonts w:eastAsiaTheme="minorEastAsia"/>
          <w:sz w:val="22"/>
          <w:szCs w:val="20"/>
        </w:rPr>
        <w:t>Determine significance of Univariate coefficients</w:t>
      </w:r>
      <w:r w:rsidR="00B62C53" w:rsidRPr="00471EEE">
        <w:rPr>
          <w:rFonts w:eastAsiaTheme="minorEastAsia"/>
          <w:sz w:val="22"/>
          <w:szCs w:val="20"/>
        </w:rPr>
        <w:t>.</w:t>
      </w:r>
      <w:r w:rsidRPr="00471EEE">
        <w:rPr>
          <w:rFonts w:eastAsiaTheme="minorEastAsia"/>
          <w:sz w:val="22"/>
          <w:szCs w:val="20"/>
        </w:rPr>
        <w:t xml:space="preserve"> </w:t>
      </w:r>
    </w:p>
    <w:p w14:paraId="14ABB9BF" w14:textId="78A71EAC" w:rsidR="0055445F" w:rsidRPr="00471EEE" w:rsidRDefault="0055445F" w:rsidP="00B00173">
      <w:pPr>
        <w:pStyle w:val="ListParagraph"/>
        <w:numPr>
          <w:ilvl w:val="0"/>
          <w:numId w:val="2"/>
        </w:numPr>
        <w:rPr>
          <w:rFonts w:eastAsiaTheme="minorEastAsia"/>
          <w:sz w:val="22"/>
          <w:szCs w:val="20"/>
        </w:rPr>
      </w:pPr>
      <w:r w:rsidRPr="00471EEE">
        <w:rPr>
          <w:rFonts w:eastAsiaTheme="minorEastAsia"/>
          <w:sz w:val="22"/>
          <w:szCs w:val="20"/>
        </w:rPr>
        <w:t xml:space="preserve">Determine persistence </w:t>
      </w:r>
      <w:r w:rsidR="00AE66F0" w:rsidRPr="00471EEE">
        <w:rPr>
          <w:rFonts w:eastAsiaTheme="minorEastAsia"/>
          <w:sz w:val="22"/>
          <w:szCs w:val="20"/>
        </w:rPr>
        <w:t>(Leverage effects)</w:t>
      </w:r>
      <w:r w:rsidR="00B62C53" w:rsidRPr="00471EEE">
        <w:rPr>
          <w:rFonts w:eastAsiaTheme="minorEastAsia"/>
          <w:sz w:val="22"/>
          <w:szCs w:val="20"/>
        </w:rPr>
        <w:t xml:space="preserve"> of multivariate model.</w:t>
      </w:r>
    </w:p>
    <w:p w14:paraId="3E5097B5" w14:textId="25056435" w:rsidR="00B27AB4" w:rsidRPr="00471EEE" w:rsidRDefault="00B27AB4" w:rsidP="00B00173">
      <w:pPr>
        <w:pStyle w:val="ListParagraph"/>
        <w:numPr>
          <w:ilvl w:val="0"/>
          <w:numId w:val="2"/>
        </w:numPr>
        <w:rPr>
          <w:rFonts w:eastAsiaTheme="minorEastAsia"/>
          <w:sz w:val="22"/>
          <w:szCs w:val="20"/>
        </w:rPr>
      </w:pPr>
      <w:r w:rsidRPr="00471EEE">
        <w:rPr>
          <w:rFonts w:eastAsiaTheme="minorEastAsia"/>
          <w:sz w:val="22"/>
          <w:szCs w:val="20"/>
        </w:rPr>
        <w:t>Plot conditional variance correlation time series</w:t>
      </w:r>
    </w:p>
    <w:p w14:paraId="5AE21966" w14:textId="3D1799B9" w:rsidR="00B27AB4" w:rsidRPr="00471EEE" w:rsidRDefault="00B27AB4" w:rsidP="00B00173">
      <w:pPr>
        <w:pStyle w:val="ListParagraph"/>
        <w:numPr>
          <w:ilvl w:val="0"/>
          <w:numId w:val="2"/>
        </w:numPr>
        <w:rPr>
          <w:rFonts w:eastAsiaTheme="minorEastAsia"/>
          <w:sz w:val="22"/>
          <w:szCs w:val="20"/>
        </w:rPr>
      </w:pPr>
      <w:r w:rsidRPr="00471EEE">
        <w:rPr>
          <w:rFonts w:eastAsiaTheme="minorEastAsia"/>
          <w:sz w:val="22"/>
          <w:szCs w:val="20"/>
        </w:rPr>
        <w:t>Determine possible Hedge ratio</w:t>
      </w:r>
    </w:p>
    <w:p w14:paraId="090ED2FC" w14:textId="3FCC3B02" w:rsidR="00D54D85" w:rsidRPr="00471EEE" w:rsidRDefault="0055445F" w:rsidP="0054119C">
      <w:pPr>
        <w:ind w:firstLine="0"/>
        <w:rPr>
          <w:rFonts w:eastAsiaTheme="minorEastAsia"/>
          <w:sz w:val="22"/>
          <w:szCs w:val="20"/>
        </w:rPr>
      </w:pPr>
      <w:r w:rsidRPr="00471EEE">
        <w:rPr>
          <w:sz w:val="22"/>
          <w:szCs w:val="20"/>
        </w:rPr>
        <w:t xml:space="preserve">If </w:t>
      </w:r>
      <m:oMath>
        <m:r>
          <w:rPr>
            <w:rFonts w:ascii="Cambria Math" w:hAnsi="Cambria Math"/>
            <w:sz w:val="22"/>
            <w:szCs w:val="20"/>
          </w:rPr>
          <m:t>γ</m:t>
        </m:r>
      </m:oMath>
      <w:r w:rsidRPr="00471EEE">
        <w:rPr>
          <w:rFonts w:eastAsiaTheme="minorEastAsia"/>
          <w:sz w:val="22"/>
          <w:szCs w:val="20"/>
        </w:rPr>
        <w:t xml:space="preserve"> = 0, then volatility is symmetrical.</w:t>
      </w:r>
    </w:p>
    <w:p w14:paraId="19009378" w14:textId="57FE97A2" w:rsidR="0055445F" w:rsidRPr="00471EEE" w:rsidRDefault="0055445F" w:rsidP="0054119C">
      <w:pPr>
        <w:ind w:firstLine="0"/>
        <w:rPr>
          <w:rFonts w:eastAsiaTheme="minorEastAsia"/>
          <w:sz w:val="22"/>
          <w:szCs w:val="20"/>
        </w:rPr>
      </w:pPr>
      <w:r w:rsidRPr="00471EEE">
        <w:rPr>
          <w:rFonts w:eastAsiaTheme="minorEastAsia"/>
          <w:sz w:val="22"/>
          <w:szCs w:val="20"/>
        </w:rPr>
        <w:t xml:space="preserve">If </w:t>
      </w:r>
      <m:oMath>
        <m:r>
          <w:rPr>
            <w:rFonts w:ascii="Cambria Math" w:hAnsi="Cambria Math"/>
            <w:sz w:val="22"/>
            <w:szCs w:val="20"/>
          </w:rPr>
          <m:t>γ</m:t>
        </m:r>
      </m:oMath>
      <w:r w:rsidRPr="00471EEE">
        <w:rPr>
          <w:rFonts w:eastAsiaTheme="minorEastAsia"/>
          <w:sz w:val="22"/>
          <w:szCs w:val="20"/>
        </w:rPr>
        <w:t xml:space="preserve"> &gt; 0, then volatility is more sensitive to negative shocks than to positive ones.</w:t>
      </w:r>
    </w:p>
    <w:p w14:paraId="45156BB5" w14:textId="698B97F8" w:rsidR="0094429B" w:rsidRPr="00471EEE" w:rsidRDefault="0094429B" w:rsidP="0094429B">
      <w:pPr>
        <w:ind w:firstLine="0"/>
        <w:rPr>
          <w:rFonts w:eastAsiaTheme="minorEastAsia"/>
          <w:sz w:val="22"/>
          <w:szCs w:val="20"/>
        </w:rPr>
      </w:pPr>
      <w:r w:rsidRPr="00471EEE">
        <w:rPr>
          <w:rFonts w:eastAsiaTheme="minorEastAsia"/>
          <w:sz w:val="22"/>
          <w:szCs w:val="20"/>
        </w:rPr>
        <w:t xml:space="preserve">If </w:t>
      </w:r>
      <m:oMath>
        <m:r>
          <w:rPr>
            <w:rFonts w:ascii="Cambria Math" w:hAnsi="Cambria Math"/>
            <w:sz w:val="22"/>
            <w:szCs w:val="20"/>
          </w:rPr>
          <m:t>γ</m:t>
        </m:r>
      </m:oMath>
      <w:r w:rsidRPr="00471EEE">
        <w:rPr>
          <w:rFonts w:eastAsiaTheme="minorEastAsia"/>
          <w:sz w:val="22"/>
          <w:szCs w:val="20"/>
        </w:rPr>
        <w:t xml:space="preserve"> &lt; 0, then volatility is more responsive to positive shocks than to negative ones.</w:t>
      </w:r>
    </w:p>
    <w:p w14:paraId="2B520719" w14:textId="42373935" w:rsidR="00E4701A" w:rsidRPr="00471EEE" w:rsidRDefault="00E4701A" w:rsidP="0094429B">
      <w:pPr>
        <w:ind w:firstLine="0"/>
        <w:rPr>
          <w:rFonts w:eastAsiaTheme="minorEastAsia"/>
          <w:sz w:val="22"/>
          <w:szCs w:val="20"/>
        </w:rPr>
      </w:pPr>
      <w:r w:rsidRPr="00471EEE">
        <w:rPr>
          <w:rFonts w:eastAsiaTheme="minorEastAsia"/>
          <w:sz w:val="22"/>
          <w:szCs w:val="20"/>
        </w:rPr>
        <w:t xml:space="preserve">Persistence </w:t>
      </w:r>
      <w:r w:rsidR="008540A4" w:rsidRPr="00471EEE">
        <w:rPr>
          <w:rFonts w:eastAsiaTheme="minorEastAsia"/>
          <w:sz w:val="22"/>
          <w:szCs w:val="20"/>
        </w:rPr>
        <w:t xml:space="preserve">of volatility </w:t>
      </w:r>
      <w:r w:rsidRPr="00471EEE">
        <w:rPr>
          <w:rFonts w:eastAsiaTheme="minorEastAsia"/>
          <w:sz w:val="22"/>
          <w:szCs w:val="20"/>
        </w:rPr>
        <w:t xml:space="preserve">is </w:t>
      </w:r>
      <w:r w:rsidR="008540A4" w:rsidRPr="00471EEE">
        <w:rPr>
          <w:rFonts w:eastAsiaTheme="minorEastAsia"/>
          <w:sz w:val="22"/>
          <w:szCs w:val="20"/>
        </w:rPr>
        <w:t xml:space="preserve">said to be </w:t>
      </w:r>
      <w:r w:rsidR="00CE42D1" w:rsidRPr="00471EEE">
        <w:rPr>
          <w:rFonts w:eastAsiaTheme="minorEastAsia"/>
          <w:sz w:val="22"/>
          <w:szCs w:val="20"/>
        </w:rPr>
        <w:t>present where</w:t>
      </w:r>
      <w:r w:rsidRPr="00471EEE">
        <w:rPr>
          <w:rFonts w:eastAsiaTheme="minorEastAsia"/>
          <w:sz w:val="22"/>
          <w:szCs w:val="20"/>
        </w:rPr>
        <w:t xml:space="preserve"> </w:t>
      </w:r>
      <m:oMath>
        <m:r>
          <m:rPr>
            <m:sty m:val="p"/>
          </m:rPr>
          <w:rPr>
            <w:rFonts w:ascii="Cambria Math" w:hAnsi="Cambria Math"/>
            <w:sz w:val="22"/>
            <w:szCs w:val="20"/>
          </w:rPr>
          <m:t>α</m:t>
        </m:r>
        <m:r>
          <w:rPr>
            <w:rFonts w:ascii="Cambria Math" w:hAnsi="Cambria Math"/>
            <w:sz w:val="22"/>
            <w:szCs w:val="20"/>
          </w:rPr>
          <m:t>+ β+ γ/2</m:t>
        </m:r>
      </m:oMath>
      <w:r w:rsidR="008540A4" w:rsidRPr="00471EEE">
        <w:rPr>
          <w:rFonts w:eastAsiaTheme="minorEastAsia"/>
          <w:sz w:val="22"/>
          <w:szCs w:val="20"/>
        </w:rPr>
        <w:t xml:space="preserve"> &lt; 1.</w:t>
      </w:r>
    </w:p>
    <w:p w14:paraId="5B9A8FFA" w14:textId="6194089C" w:rsidR="00DB7315" w:rsidRPr="00471EEE" w:rsidRDefault="00DB7315" w:rsidP="0094429B">
      <w:pPr>
        <w:ind w:firstLine="0"/>
        <w:rPr>
          <w:rFonts w:eastAsiaTheme="minorEastAsia"/>
          <w:sz w:val="22"/>
          <w:szCs w:val="20"/>
        </w:rPr>
      </w:pPr>
      <w:r w:rsidRPr="00471EEE">
        <w:rPr>
          <w:rFonts w:eastAsiaTheme="minorEastAsia"/>
          <w:sz w:val="22"/>
          <w:szCs w:val="20"/>
        </w:rPr>
        <w:t xml:space="preserve">For a valid GARCH model, the following </w:t>
      </w:r>
      <w:r w:rsidR="00A34313" w:rsidRPr="00471EEE">
        <w:rPr>
          <w:rFonts w:eastAsiaTheme="minorEastAsia"/>
          <w:sz w:val="22"/>
          <w:szCs w:val="20"/>
        </w:rPr>
        <w:t>need apply as per the standard GARCH model</w:t>
      </w:r>
      <w:r w:rsidR="00323E81" w:rsidRPr="00471EEE">
        <w:rPr>
          <w:rFonts w:eastAsiaTheme="minorEastAsia"/>
          <w:sz w:val="22"/>
          <w:szCs w:val="20"/>
        </w:rPr>
        <w:t>:</w:t>
      </w:r>
    </w:p>
    <w:p w14:paraId="29822260" w14:textId="77777777" w:rsidR="00323E81" w:rsidRPr="00471EEE" w:rsidRDefault="00323E81" w:rsidP="00323E81">
      <w:pPr>
        <w:rPr>
          <w:rFonts w:eastAsiaTheme="minorEastAsia"/>
          <w:sz w:val="22"/>
          <w:szCs w:val="20"/>
        </w:rPr>
      </w:pPr>
      <m:oMath>
        <m:r>
          <w:rPr>
            <w:rFonts w:ascii="Cambria Math" w:hAnsi="Cambria Math"/>
            <w:sz w:val="22"/>
            <w:szCs w:val="20"/>
          </w:rPr>
          <m:t>ω</m:t>
        </m:r>
        <m:r>
          <w:rPr>
            <w:rFonts w:eastAsiaTheme="minorEastAsia"/>
            <w:sz w:val="22"/>
            <w:szCs w:val="20"/>
          </w:rPr>
          <m:t>&gt;0</m:t>
        </m:r>
      </m:oMath>
      <w:r w:rsidRPr="00471EEE">
        <w:rPr>
          <w:rFonts w:eastAsiaTheme="minorEastAsia"/>
          <w:sz w:val="22"/>
          <w:szCs w:val="20"/>
        </w:rPr>
        <w:t xml:space="preserve">, </w:t>
      </w:r>
      <m:oMath>
        <m:r>
          <m:rPr>
            <m:sty m:val="p"/>
          </m:rPr>
          <w:rPr>
            <w:rFonts w:ascii="Cambria Math" w:hAnsi="Cambria Math"/>
            <w:sz w:val="22"/>
            <w:szCs w:val="20"/>
          </w:rPr>
          <m:t>α&gt;0</m:t>
        </m:r>
      </m:oMath>
      <w:r w:rsidRPr="00471EEE">
        <w:rPr>
          <w:rFonts w:eastAsiaTheme="minorEastAsia"/>
          <w:sz w:val="22"/>
          <w:szCs w:val="20"/>
        </w:rPr>
        <w:t xml:space="preserve">, </w:t>
      </w:r>
      <m:oMath>
        <m:r>
          <w:rPr>
            <w:rFonts w:ascii="Cambria Math" w:hAnsi="Cambria Math"/>
            <w:sz w:val="22"/>
            <w:szCs w:val="20"/>
          </w:rPr>
          <m:t>β&gt;0</m:t>
        </m:r>
      </m:oMath>
      <w:r w:rsidRPr="00471EEE">
        <w:rPr>
          <w:rFonts w:eastAsiaTheme="minorEastAsia"/>
          <w:sz w:val="22"/>
          <w:szCs w:val="20"/>
        </w:rPr>
        <w:t xml:space="preserve"> and </w:t>
      </w:r>
      <m:oMath>
        <m:r>
          <m:rPr>
            <m:sty m:val="p"/>
          </m:rPr>
          <w:rPr>
            <w:rFonts w:ascii="Cambria Math" w:hAnsi="Cambria Math"/>
            <w:sz w:val="22"/>
            <w:szCs w:val="20"/>
          </w:rPr>
          <m:t>α</m:t>
        </m:r>
        <m:r>
          <w:rPr>
            <w:rFonts w:ascii="Cambria Math" w:hAnsi="Cambria Math"/>
            <w:sz w:val="22"/>
            <w:szCs w:val="20"/>
          </w:rPr>
          <m:t>+ β</m:t>
        </m:r>
      </m:oMath>
      <w:r w:rsidRPr="00471EEE">
        <w:rPr>
          <w:rFonts w:eastAsiaTheme="minorEastAsia"/>
          <w:sz w:val="22"/>
          <w:szCs w:val="20"/>
        </w:rPr>
        <w:t xml:space="preserve"> &lt; 1, </w:t>
      </w:r>
    </w:p>
    <w:p w14:paraId="580813B4" w14:textId="18C4063A" w:rsidR="00822358" w:rsidRPr="00471EEE" w:rsidRDefault="00323E81" w:rsidP="00336AFB">
      <w:pPr>
        <w:ind w:firstLine="0"/>
        <w:rPr>
          <w:rFonts w:eastAsiaTheme="minorEastAsia"/>
          <w:sz w:val="22"/>
          <w:szCs w:val="20"/>
        </w:rPr>
      </w:pPr>
      <w:r w:rsidRPr="00471EEE">
        <w:rPr>
          <w:rFonts w:eastAsiaTheme="minorEastAsia"/>
          <w:sz w:val="22"/>
          <w:szCs w:val="20"/>
        </w:rPr>
        <w:t xml:space="preserve">that is to say that the model is non-negative </w:t>
      </w:r>
      <w:r w:rsidR="00E0354C" w:rsidRPr="00471EEE">
        <w:rPr>
          <w:rFonts w:eastAsiaTheme="minorEastAsia"/>
          <w:sz w:val="22"/>
          <w:szCs w:val="20"/>
        </w:rPr>
        <w:t xml:space="preserve">when all </w:t>
      </w:r>
      <w:r w:rsidR="00AF7E06" w:rsidRPr="00471EEE">
        <w:rPr>
          <w:rFonts w:eastAsiaTheme="minorEastAsia"/>
          <w:sz w:val="22"/>
          <w:szCs w:val="20"/>
        </w:rPr>
        <w:t>coefficients</w:t>
      </w:r>
      <w:r w:rsidR="00E0354C" w:rsidRPr="00471EEE">
        <w:rPr>
          <w:rFonts w:eastAsiaTheme="minorEastAsia"/>
          <w:sz w:val="22"/>
          <w:szCs w:val="20"/>
        </w:rPr>
        <w:t xml:space="preserve"> are greater than 1 </w:t>
      </w:r>
      <w:r w:rsidR="00780275" w:rsidRPr="00471EEE">
        <w:rPr>
          <w:rFonts w:eastAsiaTheme="minorEastAsia"/>
          <w:sz w:val="22"/>
          <w:szCs w:val="20"/>
        </w:rPr>
        <w:t xml:space="preserve">as volatility cannot be negative </w:t>
      </w:r>
      <w:r w:rsidRPr="00471EEE">
        <w:rPr>
          <w:rFonts w:eastAsiaTheme="minorEastAsia"/>
          <w:sz w:val="22"/>
          <w:szCs w:val="20"/>
        </w:rPr>
        <w:t xml:space="preserve">and </w:t>
      </w:r>
      <w:r w:rsidR="00780275" w:rsidRPr="00471EEE">
        <w:rPr>
          <w:rFonts w:eastAsiaTheme="minorEastAsia"/>
          <w:sz w:val="22"/>
          <w:szCs w:val="20"/>
        </w:rPr>
        <w:t>it exhibits properties of stability and stationarity</w:t>
      </w:r>
      <w:r w:rsidR="00E0354C" w:rsidRPr="00471EEE">
        <w:rPr>
          <w:rFonts w:eastAsiaTheme="minorEastAsia"/>
          <w:sz w:val="22"/>
          <w:szCs w:val="20"/>
        </w:rPr>
        <w:t xml:space="preserve"> when </w:t>
      </w:r>
      <m:oMath>
        <m:r>
          <m:rPr>
            <m:sty m:val="p"/>
          </m:rPr>
          <w:rPr>
            <w:rFonts w:ascii="Cambria Math" w:hAnsi="Cambria Math"/>
            <w:sz w:val="22"/>
            <w:szCs w:val="20"/>
          </w:rPr>
          <m:t>α</m:t>
        </m:r>
        <m:r>
          <w:rPr>
            <w:rFonts w:ascii="Cambria Math" w:hAnsi="Cambria Math"/>
            <w:sz w:val="22"/>
            <w:szCs w:val="20"/>
          </w:rPr>
          <m:t>+ β</m:t>
        </m:r>
      </m:oMath>
      <w:r w:rsidR="00E0354C" w:rsidRPr="00471EEE">
        <w:rPr>
          <w:rFonts w:eastAsiaTheme="minorEastAsia"/>
          <w:sz w:val="22"/>
          <w:szCs w:val="20"/>
        </w:rPr>
        <w:t xml:space="preserve"> &lt; 1</w:t>
      </w:r>
      <w:r w:rsidR="00EA7D29" w:rsidRPr="00471EEE">
        <w:rPr>
          <w:rFonts w:eastAsiaTheme="minorEastAsia"/>
          <w:sz w:val="22"/>
          <w:szCs w:val="20"/>
        </w:rPr>
        <w:t xml:space="preserve"> </w:t>
      </w:r>
      <w:r w:rsidR="00EA7D29" w:rsidRPr="00471EEE">
        <w:rPr>
          <w:rFonts w:eastAsiaTheme="minorEastAsia"/>
          <w:sz w:val="22"/>
          <w:szCs w:val="20"/>
        </w:rPr>
        <w:t>(</w:t>
      </w:r>
      <w:r w:rsidR="00EA7D29" w:rsidRPr="00471EEE">
        <w:rPr>
          <w:sz w:val="22"/>
          <w:szCs w:val="20"/>
        </w:rPr>
        <w:t>Stavroyiannis 2017)</w:t>
      </w:r>
      <w:r w:rsidR="00780275" w:rsidRPr="00471EEE">
        <w:rPr>
          <w:rFonts w:eastAsiaTheme="minorEastAsia"/>
          <w:sz w:val="22"/>
          <w:szCs w:val="20"/>
        </w:rPr>
        <w:t xml:space="preserve">. </w:t>
      </w:r>
      <w:r w:rsidRPr="00471EEE">
        <w:rPr>
          <w:rFonts w:eastAsiaTheme="minorEastAsia"/>
          <w:sz w:val="22"/>
          <w:szCs w:val="20"/>
        </w:rPr>
        <w:t xml:space="preserve"> </w:t>
      </w:r>
    </w:p>
    <w:p w14:paraId="0CA5B1FB" w14:textId="1C882AA2" w:rsidR="001F49DD" w:rsidRPr="00471EEE" w:rsidRDefault="001F49DD" w:rsidP="001F49DD">
      <w:pPr>
        <w:keepNext/>
        <w:ind w:firstLine="0"/>
        <w:jc w:val="center"/>
        <w:rPr>
          <w:sz w:val="22"/>
          <w:szCs w:val="20"/>
        </w:rPr>
      </w:pPr>
      <w:r w:rsidRPr="00471EEE">
        <w:rPr>
          <w:noProof/>
          <w:sz w:val="22"/>
          <w:szCs w:val="20"/>
        </w:rPr>
        <w:lastRenderedPageBreak/>
        <w:drawing>
          <wp:inline distT="0" distB="0" distL="0" distR="0" wp14:anchorId="79A5A02B" wp14:editId="16C323EB">
            <wp:extent cx="520065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2706" t="6502" r="12450" b="19195"/>
                    <a:stretch/>
                  </pic:blipFill>
                  <pic:spPr bwMode="auto">
                    <a:xfrm>
                      <a:off x="0" y="0"/>
                      <a:ext cx="5200650" cy="2724150"/>
                    </a:xfrm>
                    <a:prstGeom prst="rect">
                      <a:avLst/>
                    </a:prstGeom>
                    <a:ln>
                      <a:noFill/>
                    </a:ln>
                    <a:extLst>
                      <a:ext uri="{53640926-AAD7-44D8-BBD7-CCE9431645EC}">
                        <a14:shadowObscured xmlns:a14="http://schemas.microsoft.com/office/drawing/2010/main"/>
                      </a:ext>
                    </a:extLst>
                  </pic:spPr>
                </pic:pic>
              </a:graphicData>
            </a:graphic>
          </wp:inline>
        </w:drawing>
      </w:r>
    </w:p>
    <w:p w14:paraId="20B05235" w14:textId="62173FD4" w:rsidR="001F49DD" w:rsidRPr="00471EEE" w:rsidRDefault="001F49DD" w:rsidP="007B6E79">
      <w:pPr>
        <w:pStyle w:val="Caption"/>
        <w:jc w:val="center"/>
        <w:rPr>
          <w:sz w:val="16"/>
          <w:szCs w:val="16"/>
        </w:rPr>
      </w:pPr>
      <w:bookmarkStart w:id="25" w:name="_Toc106716440"/>
      <w:r w:rsidRPr="00471EEE">
        <w:rPr>
          <w:sz w:val="16"/>
          <w:szCs w:val="16"/>
        </w:rPr>
        <w:t xml:space="preserve">Figure </w:t>
      </w:r>
      <w:r w:rsidR="00A34437" w:rsidRPr="00471EEE">
        <w:rPr>
          <w:sz w:val="16"/>
          <w:szCs w:val="16"/>
        </w:rPr>
        <w:t>3.</w:t>
      </w:r>
      <w:r w:rsidR="00CE3725" w:rsidRPr="00471EEE">
        <w:rPr>
          <w:sz w:val="16"/>
          <w:szCs w:val="16"/>
        </w:rPr>
        <w:fldChar w:fldCharType="begin"/>
      </w:r>
      <w:r w:rsidR="00CE3725" w:rsidRPr="00471EEE">
        <w:rPr>
          <w:sz w:val="16"/>
          <w:szCs w:val="16"/>
        </w:rPr>
        <w:instrText xml:space="preserve"> SEQ Figure \* ARABIC </w:instrText>
      </w:r>
      <w:r w:rsidR="00CE3725" w:rsidRPr="00471EEE">
        <w:rPr>
          <w:sz w:val="16"/>
          <w:szCs w:val="16"/>
        </w:rPr>
        <w:fldChar w:fldCharType="separate"/>
      </w:r>
      <w:r w:rsidR="007B6E79" w:rsidRPr="00471EEE">
        <w:rPr>
          <w:noProof/>
          <w:sz w:val="16"/>
          <w:szCs w:val="16"/>
        </w:rPr>
        <w:t>4</w:t>
      </w:r>
      <w:r w:rsidR="00CE3725" w:rsidRPr="00471EEE">
        <w:rPr>
          <w:noProof/>
          <w:sz w:val="16"/>
          <w:szCs w:val="16"/>
        </w:rPr>
        <w:fldChar w:fldCharType="end"/>
      </w:r>
      <w:r w:rsidRPr="00471EEE">
        <w:rPr>
          <w:sz w:val="16"/>
          <w:szCs w:val="16"/>
        </w:rPr>
        <w:t>: Plot of first log difference of VIX Index</w:t>
      </w:r>
      <w:bookmarkEnd w:id="25"/>
    </w:p>
    <w:p w14:paraId="428989EC" w14:textId="794082DA" w:rsidR="001F49DD" w:rsidRPr="00471EEE" w:rsidRDefault="001F49DD" w:rsidP="001F49DD">
      <w:pPr>
        <w:rPr>
          <w:sz w:val="22"/>
          <w:szCs w:val="20"/>
        </w:rPr>
      </w:pPr>
      <w:r w:rsidRPr="00471EEE">
        <w:rPr>
          <w:sz w:val="22"/>
          <w:szCs w:val="20"/>
        </w:rPr>
        <w:t xml:space="preserve">From the plot above </w:t>
      </w:r>
      <w:r w:rsidR="00BA42E7" w:rsidRPr="00471EEE">
        <w:rPr>
          <w:sz w:val="22"/>
          <w:szCs w:val="20"/>
        </w:rPr>
        <w:t xml:space="preserve">in Figure </w:t>
      </w:r>
      <w:r w:rsidR="00A34437" w:rsidRPr="00471EEE">
        <w:rPr>
          <w:sz w:val="22"/>
          <w:szCs w:val="20"/>
        </w:rPr>
        <w:t>3.</w:t>
      </w:r>
      <w:r w:rsidR="0016208C" w:rsidRPr="00471EEE">
        <w:rPr>
          <w:sz w:val="22"/>
          <w:szCs w:val="20"/>
        </w:rPr>
        <w:t>4</w:t>
      </w:r>
      <w:r w:rsidR="00BA42E7" w:rsidRPr="00471EEE">
        <w:rPr>
          <w:sz w:val="22"/>
          <w:szCs w:val="20"/>
        </w:rPr>
        <w:t xml:space="preserve">, </w:t>
      </w:r>
      <w:r w:rsidRPr="00471EEE">
        <w:rPr>
          <w:sz w:val="22"/>
          <w:szCs w:val="20"/>
        </w:rPr>
        <w:t xml:space="preserve">we determine that there is volatility clustering as we observe the tendency for there to be periods where lower volatility begets lower volatility and vice versa for high volatility. </w:t>
      </w:r>
      <w:r w:rsidR="008F04DE" w:rsidRPr="00471EEE">
        <w:rPr>
          <w:sz w:val="22"/>
          <w:szCs w:val="20"/>
        </w:rPr>
        <w:t>The same is observed for the S&amp;P500 below</w:t>
      </w:r>
      <w:r w:rsidR="00BA42E7" w:rsidRPr="00471EEE">
        <w:rPr>
          <w:sz w:val="22"/>
          <w:szCs w:val="20"/>
        </w:rPr>
        <w:t xml:space="preserve"> in Figure </w:t>
      </w:r>
      <w:r w:rsidR="00A34437" w:rsidRPr="00471EEE">
        <w:rPr>
          <w:sz w:val="22"/>
          <w:szCs w:val="20"/>
        </w:rPr>
        <w:t>3.</w:t>
      </w:r>
      <w:r w:rsidR="0016208C" w:rsidRPr="00471EEE">
        <w:rPr>
          <w:sz w:val="22"/>
          <w:szCs w:val="20"/>
        </w:rPr>
        <w:t>5</w:t>
      </w:r>
      <w:r w:rsidR="008F04DE" w:rsidRPr="00471EEE">
        <w:rPr>
          <w:sz w:val="22"/>
          <w:szCs w:val="20"/>
        </w:rPr>
        <w:t>:</w:t>
      </w:r>
    </w:p>
    <w:p w14:paraId="22289B27" w14:textId="50771773" w:rsidR="00EB3FFA" w:rsidRPr="00471EEE" w:rsidRDefault="008F04DE" w:rsidP="00EB3FFA">
      <w:pPr>
        <w:keepNext/>
        <w:jc w:val="center"/>
        <w:rPr>
          <w:sz w:val="22"/>
          <w:szCs w:val="20"/>
        </w:rPr>
      </w:pPr>
      <w:r w:rsidRPr="00471EEE">
        <w:rPr>
          <w:noProof/>
          <w:sz w:val="22"/>
          <w:szCs w:val="20"/>
        </w:rPr>
        <w:drawing>
          <wp:inline distT="0" distB="0" distL="0" distR="0" wp14:anchorId="1DBBFCC4" wp14:editId="2E0C7693">
            <wp:extent cx="5038725"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099" t="6812" r="12624" b="19505"/>
                    <a:stretch/>
                  </pic:blipFill>
                  <pic:spPr bwMode="auto">
                    <a:xfrm>
                      <a:off x="0" y="0"/>
                      <a:ext cx="5038725" cy="2743200"/>
                    </a:xfrm>
                    <a:prstGeom prst="rect">
                      <a:avLst/>
                    </a:prstGeom>
                    <a:ln>
                      <a:noFill/>
                    </a:ln>
                    <a:extLst>
                      <a:ext uri="{53640926-AAD7-44D8-BBD7-CCE9431645EC}">
                        <a14:shadowObscured xmlns:a14="http://schemas.microsoft.com/office/drawing/2010/main"/>
                      </a:ext>
                    </a:extLst>
                  </pic:spPr>
                </pic:pic>
              </a:graphicData>
            </a:graphic>
          </wp:inline>
        </w:drawing>
      </w:r>
    </w:p>
    <w:p w14:paraId="12023688" w14:textId="0CD8D0CF" w:rsidR="008F04DE" w:rsidRPr="00471EEE" w:rsidRDefault="00EB3FFA" w:rsidP="00EB3FFA">
      <w:pPr>
        <w:pStyle w:val="Caption"/>
        <w:jc w:val="center"/>
        <w:rPr>
          <w:sz w:val="16"/>
          <w:szCs w:val="16"/>
        </w:rPr>
      </w:pPr>
      <w:bookmarkStart w:id="26" w:name="_Toc106716441"/>
      <w:r w:rsidRPr="00471EEE">
        <w:rPr>
          <w:sz w:val="16"/>
          <w:szCs w:val="16"/>
        </w:rPr>
        <w:t xml:space="preserve">Figure </w:t>
      </w:r>
      <w:r w:rsidR="00A34437" w:rsidRPr="00471EEE">
        <w:rPr>
          <w:sz w:val="16"/>
          <w:szCs w:val="16"/>
        </w:rPr>
        <w:t>3.</w:t>
      </w:r>
      <w:r w:rsidR="00CE3725" w:rsidRPr="00471EEE">
        <w:rPr>
          <w:sz w:val="16"/>
          <w:szCs w:val="16"/>
        </w:rPr>
        <w:fldChar w:fldCharType="begin"/>
      </w:r>
      <w:r w:rsidR="00CE3725" w:rsidRPr="00471EEE">
        <w:rPr>
          <w:sz w:val="16"/>
          <w:szCs w:val="16"/>
        </w:rPr>
        <w:instrText xml:space="preserve"> SEQ Fi</w:instrText>
      </w:r>
      <w:r w:rsidR="00CE3725" w:rsidRPr="00471EEE">
        <w:rPr>
          <w:sz w:val="16"/>
          <w:szCs w:val="16"/>
        </w:rPr>
        <w:instrText xml:space="preserve">gure \* ARABIC </w:instrText>
      </w:r>
      <w:r w:rsidR="00CE3725" w:rsidRPr="00471EEE">
        <w:rPr>
          <w:sz w:val="16"/>
          <w:szCs w:val="16"/>
        </w:rPr>
        <w:fldChar w:fldCharType="separate"/>
      </w:r>
      <w:r w:rsidR="007B6E79" w:rsidRPr="00471EEE">
        <w:rPr>
          <w:noProof/>
          <w:sz w:val="16"/>
          <w:szCs w:val="16"/>
        </w:rPr>
        <w:t>5</w:t>
      </w:r>
      <w:r w:rsidR="00CE3725" w:rsidRPr="00471EEE">
        <w:rPr>
          <w:noProof/>
          <w:sz w:val="16"/>
          <w:szCs w:val="16"/>
        </w:rPr>
        <w:fldChar w:fldCharType="end"/>
      </w:r>
      <w:r w:rsidRPr="00471EEE">
        <w:rPr>
          <w:sz w:val="16"/>
          <w:szCs w:val="16"/>
        </w:rPr>
        <w:t>: Plot of S&amp;P500 Returns</w:t>
      </w:r>
      <w:bookmarkEnd w:id="26"/>
    </w:p>
    <w:p w14:paraId="1218178C" w14:textId="220FE4FE" w:rsidR="00CD3D90" w:rsidRPr="00471EEE" w:rsidRDefault="00CD3D90" w:rsidP="00CD3D90">
      <w:pPr>
        <w:rPr>
          <w:sz w:val="22"/>
          <w:szCs w:val="20"/>
          <w:u w:val="single"/>
        </w:rPr>
      </w:pPr>
      <w:r w:rsidRPr="00471EEE">
        <w:rPr>
          <w:sz w:val="22"/>
          <w:szCs w:val="20"/>
          <w:u w:val="single"/>
        </w:rPr>
        <w:t>Stationarity Test</w:t>
      </w:r>
      <w:r w:rsidR="007A20C3" w:rsidRPr="00471EEE">
        <w:rPr>
          <w:sz w:val="22"/>
          <w:szCs w:val="20"/>
          <w:u w:val="single"/>
        </w:rPr>
        <w:t xml:space="preserve"> Results</w:t>
      </w:r>
    </w:p>
    <w:p w14:paraId="324842B0" w14:textId="31D9F2E3" w:rsidR="000F1FDB" w:rsidRPr="00471EEE" w:rsidRDefault="000F1FDB" w:rsidP="000F1FDB">
      <w:pPr>
        <w:rPr>
          <w:sz w:val="22"/>
          <w:szCs w:val="20"/>
        </w:rPr>
      </w:pPr>
      <w:r w:rsidRPr="00471EEE">
        <w:rPr>
          <w:sz w:val="22"/>
          <w:szCs w:val="20"/>
        </w:rPr>
        <w:t>The stationarity test for</w:t>
      </w:r>
      <w:r w:rsidRPr="00471EEE">
        <w:rPr>
          <w:sz w:val="22"/>
          <w:szCs w:val="20"/>
        </w:rPr>
        <w:t xml:space="preserve"> </w:t>
      </w:r>
      <w:r w:rsidRPr="00471EEE">
        <w:rPr>
          <w:sz w:val="22"/>
          <w:szCs w:val="20"/>
        </w:rPr>
        <w:t>our VIX</w:t>
      </w:r>
      <w:r w:rsidRPr="00471EEE">
        <w:rPr>
          <w:sz w:val="22"/>
          <w:szCs w:val="20"/>
        </w:rPr>
        <w:t xml:space="preserve"> time series is stationary with a confidence level of 95% as shown in Table 3.2 below.</w:t>
      </w:r>
    </w:p>
    <w:p w14:paraId="5F969FFC" w14:textId="0D573C96" w:rsidR="001426CD" w:rsidRDefault="001426CD" w:rsidP="001426CD">
      <w:pPr>
        <w:pStyle w:val="Caption"/>
        <w:keepNext/>
        <w:jc w:val="center"/>
      </w:pPr>
      <w:r w:rsidRPr="009F7B3B">
        <w:lastRenderedPageBreak/>
        <w:t>Table 3.2: Dickey-Fuller Test VIX</w:t>
      </w:r>
    </w:p>
    <w:p w14:paraId="57662DBF" w14:textId="44A574CD" w:rsidR="000C5845" w:rsidRPr="00471EEE" w:rsidRDefault="000C5845" w:rsidP="000C5845">
      <w:pPr>
        <w:jc w:val="center"/>
        <w:rPr>
          <w:sz w:val="22"/>
          <w:szCs w:val="20"/>
        </w:rPr>
      </w:pPr>
      <w:r w:rsidRPr="00471EEE">
        <w:rPr>
          <w:sz w:val="22"/>
          <w:szCs w:val="20"/>
        </w:rPr>
        <w:drawing>
          <wp:inline distT="0" distB="0" distL="0" distR="0" wp14:anchorId="12CBFC1E" wp14:editId="5273ACD4">
            <wp:extent cx="3057525" cy="962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7525" cy="962025"/>
                    </a:xfrm>
                    <a:prstGeom prst="rect">
                      <a:avLst/>
                    </a:prstGeom>
                    <a:noFill/>
                    <a:ln>
                      <a:noFill/>
                    </a:ln>
                  </pic:spPr>
                </pic:pic>
              </a:graphicData>
            </a:graphic>
          </wp:inline>
        </w:drawing>
      </w:r>
    </w:p>
    <w:p w14:paraId="52051C16" w14:textId="2E9F9D13" w:rsidR="000C5845" w:rsidRPr="00471EEE" w:rsidRDefault="000C5845" w:rsidP="000C5845">
      <w:pPr>
        <w:rPr>
          <w:sz w:val="22"/>
          <w:szCs w:val="20"/>
        </w:rPr>
      </w:pPr>
      <w:r w:rsidRPr="00471EEE">
        <w:rPr>
          <w:sz w:val="22"/>
          <w:szCs w:val="20"/>
        </w:rPr>
        <w:t xml:space="preserve">We </w:t>
      </w:r>
      <w:r w:rsidR="004921B5" w:rsidRPr="00471EEE">
        <w:rPr>
          <w:sz w:val="22"/>
          <w:szCs w:val="20"/>
        </w:rPr>
        <w:t xml:space="preserve">also </w:t>
      </w:r>
      <w:r w:rsidRPr="00471EEE">
        <w:rPr>
          <w:sz w:val="22"/>
          <w:szCs w:val="20"/>
        </w:rPr>
        <w:t xml:space="preserve">conclude that our S&amp;P500 time series is </w:t>
      </w:r>
      <w:r w:rsidR="000F1FDB" w:rsidRPr="00471EEE">
        <w:rPr>
          <w:sz w:val="22"/>
          <w:szCs w:val="20"/>
        </w:rPr>
        <w:t>stationary with a confidence level of 95% as shown in Table 3.</w:t>
      </w:r>
      <w:r w:rsidR="00D060A9" w:rsidRPr="00471EEE">
        <w:rPr>
          <w:sz w:val="22"/>
          <w:szCs w:val="20"/>
        </w:rPr>
        <w:t>3</w:t>
      </w:r>
      <w:r w:rsidR="000F1FDB" w:rsidRPr="00471EEE">
        <w:rPr>
          <w:sz w:val="22"/>
          <w:szCs w:val="20"/>
        </w:rPr>
        <w:t xml:space="preserve"> below.</w:t>
      </w:r>
    </w:p>
    <w:p w14:paraId="073231ED" w14:textId="301DE17B" w:rsidR="001426CD" w:rsidRDefault="001426CD" w:rsidP="001426CD">
      <w:pPr>
        <w:pStyle w:val="Caption"/>
        <w:keepNext/>
        <w:jc w:val="center"/>
      </w:pPr>
      <w:r w:rsidRPr="00381825">
        <w:t>Table 3.3: Dickey-Fuller Test S&amp;P500</w:t>
      </w:r>
    </w:p>
    <w:p w14:paraId="069B2129" w14:textId="104C0D39" w:rsidR="002231A5" w:rsidRPr="00471EEE" w:rsidRDefault="000C5845" w:rsidP="00C84649">
      <w:pPr>
        <w:jc w:val="center"/>
        <w:rPr>
          <w:sz w:val="22"/>
          <w:szCs w:val="20"/>
        </w:rPr>
      </w:pPr>
      <w:r w:rsidRPr="00471EEE">
        <w:rPr>
          <w:sz w:val="22"/>
          <w:szCs w:val="20"/>
        </w:rPr>
        <w:drawing>
          <wp:inline distT="0" distB="0" distL="0" distR="0" wp14:anchorId="0D0EA767" wp14:editId="4B4BB18C">
            <wp:extent cx="3057525" cy="962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7525" cy="962025"/>
                    </a:xfrm>
                    <a:prstGeom prst="rect">
                      <a:avLst/>
                    </a:prstGeom>
                    <a:noFill/>
                    <a:ln>
                      <a:noFill/>
                    </a:ln>
                  </pic:spPr>
                </pic:pic>
              </a:graphicData>
            </a:graphic>
          </wp:inline>
        </w:drawing>
      </w:r>
    </w:p>
    <w:p w14:paraId="7CEC35EB" w14:textId="31D0A6AE" w:rsidR="00822358" w:rsidRPr="00471EEE" w:rsidRDefault="00822358" w:rsidP="00822358">
      <w:pPr>
        <w:pStyle w:val="Heading1"/>
        <w:ind w:firstLine="0"/>
        <w:rPr>
          <w:sz w:val="36"/>
          <w:szCs w:val="28"/>
        </w:rPr>
      </w:pPr>
      <w:bookmarkStart w:id="27" w:name="_Toc106747494"/>
      <w:r w:rsidRPr="00471EEE">
        <w:rPr>
          <w:sz w:val="36"/>
          <w:szCs w:val="28"/>
        </w:rPr>
        <w:t>4.0 RESULTS</w:t>
      </w:r>
      <w:bookmarkEnd w:id="27"/>
    </w:p>
    <w:p w14:paraId="02B73E9A" w14:textId="1EE03EB7" w:rsidR="00B50962" w:rsidRPr="00471EEE" w:rsidRDefault="00B50962" w:rsidP="00B50962">
      <w:pPr>
        <w:rPr>
          <w:sz w:val="22"/>
          <w:szCs w:val="20"/>
        </w:rPr>
      </w:pPr>
      <w:r w:rsidRPr="00471EEE">
        <w:rPr>
          <w:sz w:val="22"/>
          <w:szCs w:val="20"/>
        </w:rPr>
        <w:t>The LASSO results confirm the significance of four</w:t>
      </w:r>
      <w:r w:rsidR="007C1EA8" w:rsidRPr="00471EEE">
        <w:rPr>
          <w:sz w:val="22"/>
          <w:szCs w:val="20"/>
        </w:rPr>
        <w:t xml:space="preserve"> variables namely</w:t>
      </w:r>
      <w:r w:rsidRPr="00471EEE">
        <w:rPr>
          <w:sz w:val="22"/>
          <w:szCs w:val="20"/>
        </w:rPr>
        <w:t xml:space="preserve"> </w:t>
      </w:r>
      <w:r w:rsidR="007C1EA8" w:rsidRPr="00471EEE">
        <w:rPr>
          <w:sz w:val="22"/>
          <w:szCs w:val="20"/>
        </w:rPr>
        <w:t xml:space="preserve">S&amp;P500 </w:t>
      </w:r>
      <w:r w:rsidR="008D007C" w:rsidRPr="00471EEE">
        <w:rPr>
          <w:sz w:val="22"/>
          <w:szCs w:val="20"/>
        </w:rPr>
        <w:t>d</w:t>
      </w:r>
      <w:r w:rsidR="007C1EA8" w:rsidRPr="00471EEE">
        <w:rPr>
          <w:sz w:val="22"/>
          <w:szCs w:val="20"/>
        </w:rPr>
        <w:t xml:space="preserve">aily </w:t>
      </w:r>
      <w:r w:rsidR="008D007C" w:rsidRPr="00471EEE">
        <w:rPr>
          <w:sz w:val="22"/>
          <w:szCs w:val="20"/>
        </w:rPr>
        <w:t>r</w:t>
      </w:r>
      <w:r w:rsidR="007C1EA8" w:rsidRPr="00471EEE">
        <w:rPr>
          <w:sz w:val="22"/>
          <w:szCs w:val="20"/>
        </w:rPr>
        <w:t>eturns, market turnover, average daily trade volume, share of equity issuances, number of ipos and the covid lockdown dummy variable</w:t>
      </w:r>
      <w:r w:rsidR="00EB0CA9" w:rsidRPr="00471EEE">
        <w:rPr>
          <w:sz w:val="22"/>
          <w:szCs w:val="20"/>
        </w:rPr>
        <w:t xml:space="preserve"> and confirm them to be significant with a confidence level of 9</w:t>
      </w:r>
      <w:r w:rsidR="00A34437" w:rsidRPr="00471EEE">
        <w:rPr>
          <w:sz w:val="22"/>
          <w:szCs w:val="20"/>
        </w:rPr>
        <w:t>5</w:t>
      </w:r>
      <w:r w:rsidR="00EB0CA9" w:rsidRPr="00471EEE">
        <w:rPr>
          <w:sz w:val="22"/>
          <w:szCs w:val="20"/>
        </w:rPr>
        <w:t xml:space="preserve">%. </w:t>
      </w:r>
      <w:r w:rsidR="004078BE" w:rsidRPr="00471EEE">
        <w:rPr>
          <w:sz w:val="22"/>
          <w:szCs w:val="20"/>
        </w:rPr>
        <w:t xml:space="preserve"> Table </w:t>
      </w:r>
      <w:r w:rsidR="00A34437" w:rsidRPr="00471EEE">
        <w:rPr>
          <w:sz w:val="22"/>
          <w:szCs w:val="20"/>
        </w:rPr>
        <w:t>4.</w:t>
      </w:r>
      <w:r w:rsidR="004078BE" w:rsidRPr="00471EEE">
        <w:rPr>
          <w:sz w:val="22"/>
          <w:szCs w:val="20"/>
        </w:rPr>
        <w:t>1 shows our findings using the model with the significant variables using LASSO.</w:t>
      </w:r>
    </w:p>
    <w:p w14:paraId="11FD42D6" w14:textId="4C84DC99" w:rsidR="0096436B" w:rsidRPr="00471EEE" w:rsidRDefault="0096436B" w:rsidP="00E70516">
      <w:pPr>
        <w:pStyle w:val="Caption"/>
        <w:keepNext/>
        <w:jc w:val="center"/>
        <w:rPr>
          <w:sz w:val="16"/>
          <w:szCs w:val="16"/>
        </w:rPr>
      </w:pPr>
    </w:p>
    <w:p w14:paraId="720D4614" w14:textId="5F2FD905" w:rsidR="001426CD" w:rsidRDefault="001426CD" w:rsidP="001426CD">
      <w:pPr>
        <w:pStyle w:val="Caption"/>
        <w:keepNext/>
        <w:jc w:val="center"/>
      </w:pPr>
      <w:r w:rsidRPr="002A3144">
        <w:t>Table 4.1: LASSO Out-of-Sample Results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0"/>
        <w:gridCol w:w="4508"/>
      </w:tblGrid>
      <w:tr w:rsidR="00CF24C2" w:rsidRPr="00471EEE" w14:paraId="716E7926" w14:textId="77777777" w:rsidTr="004A02BA">
        <w:trPr>
          <w:jc w:val="center"/>
        </w:trPr>
        <w:tc>
          <w:tcPr>
            <w:tcW w:w="1360" w:type="dxa"/>
          </w:tcPr>
          <w:p w14:paraId="0E1DFB33" w14:textId="77777777" w:rsidR="00CF24C2" w:rsidRPr="00471EEE" w:rsidRDefault="00CF24C2" w:rsidP="00CF24C2">
            <w:pPr>
              <w:ind w:firstLine="0"/>
              <w:jc w:val="center"/>
              <w:rPr>
                <w:rFonts w:cs="Arial"/>
                <w:b/>
                <w:bCs/>
                <w:color w:val="111111"/>
                <w:spacing w:val="1"/>
                <w:sz w:val="20"/>
                <w:szCs w:val="20"/>
                <w:shd w:val="clear" w:color="auto" w:fill="FFFFFF"/>
              </w:rPr>
            </w:pPr>
            <w:r w:rsidRPr="00471EEE">
              <w:rPr>
                <w:rFonts w:cs="Arial"/>
                <w:b/>
                <w:bCs/>
                <w:color w:val="111111"/>
                <w:spacing w:val="1"/>
                <w:sz w:val="20"/>
                <w:szCs w:val="20"/>
                <w:shd w:val="clear" w:color="auto" w:fill="FFFFFF"/>
              </w:rPr>
              <w:t>STATISTIC</w:t>
            </w:r>
          </w:p>
        </w:tc>
        <w:tc>
          <w:tcPr>
            <w:tcW w:w="4508" w:type="dxa"/>
          </w:tcPr>
          <w:p w14:paraId="2F3A7A31" w14:textId="77777777" w:rsidR="00CF24C2" w:rsidRPr="00471EEE" w:rsidRDefault="00CF24C2" w:rsidP="00CF24C2">
            <w:pPr>
              <w:ind w:firstLine="0"/>
              <w:jc w:val="center"/>
              <w:rPr>
                <w:rFonts w:cs="Arial"/>
                <w:b/>
                <w:bCs/>
                <w:color w:val="111111"/>
                <w:spacing w:val="1"/>
                <w:sz w:val="20"/>
                <w:szCs w:val="20"/>
                <w:shd w:val="clear" w:color="auto" w:fill="FFFFFF"/>
              </w:rPr>
            </w:pPr>
            <w:r w:rsidRPr="00471EEE">
              <w:rPr>
                <w:rFonts w:cs="Arial"/>
                <w:b/>
                <w:bCs/>
                <w:color w:val="111111"/>
                <w:spacing w:val="1"/>
                <w:sz w:val="20"/>
                <w:szCs w:val="20"/>
                <w:shd w:val="clear" w:color="auto" w:fill="FFFFFF"/>
              </w:rPr>
              <w:t>VALUE</w:t>
            </w:r>
          </w:p>
        </w:tc>
      </w:tr>
      <w:tr w:rsidR="00CF24C2" w:rsidRPr="00471EEE" w14:paraId="46A3D128" w14:textId="77777777" w:rsidTr="004A02BA">
        <w:trPr>
          <w:jc w:val="center"/>
        </w:trPr>
        <w:tc>
          <w:tcPr>
            <w:tcW w:w="1360" w:type="dxa"/>
          </w:tcPr>
          <w:p w14:paraId="362A8E5B" w14:textId="77777777" w:rsidR="00CF24C2" w:rsidRPr="00471EEE" w:rsidRDefault="00CF24C2" w:rsidP="00CF24C2">
            <w:pPr>
              <w:ind w:firstLine="0"/>
              <w:jc w:val="center"/>
              <w:rPr>
                <w:rFonts w:cs="Arial"/>
                <w:color w:val="111111"/>
                <w:spacing w:val="1"/>
                <w:sz w:val="20"/>
                <w:szCs w:val="20"/>
                <w:shd w:val="clear" w:color="auto" w:fill="FFFFFF"/>
              </w:rPr>
            </w:pPr>
            <w:r w:rsidRPr="00471EEE">
              <w:rPr>
                <w:rFonts w:cs="Arial"/>
                <w:color w:val="111111"/>
                <w:spacing w:val="1"/>
                <w:sz w:val="20"/>
                <w:szCs w:val="20"/>
                <w:shd w:val="clear" w:color="auto" w:fill="FFFFFF"/>
              </w:rPr>
              <w:t>MSE</w:t>
            </w:r>
          </w:p>
        </w:tc>
        <w:tc>
          <w:tcPr>
            <w:tcW w:w="4508" w:type="dxa"/>
          </w:tcPr>
          <w:p w14:paraId="19A41419" w14:textId="2B7D26E5" w:rsidR="00CF24C2" w:rsidRPr="00471EEE" w:rsidRDefault="004847E1" w:rsidP="00CF24C2">
            <w:pPr>
              <w:ind w:firstLine="0"/>
              <w:jc w:val="center"/>
              <w:rPr>
                <w:rFonts w:cs="Arial"/>
                <w:color w:val="111111"/>
                <w:spacing w:val="1"/>
                <w:sz w:val="20"/>
                <w:szCs w:val="20"/>
                <w:shd w:val="clear" w:color="auto" w:fill="FFFFFF"/>
              </w:rPr>
            </w:pPr>
            <w:r w:rsidRPr="00471EEE">
              <w:rPr>
                <w:rFonts w:cs="Arial"/>
                <w:color w:val="111111"/>
                <w:spacing w:val="1"/>
                <w:sz w:val="20"/>
                <w:szCs w:val="20"/>
                <w:shd w:val="clear" w:color="auto" w:fill="FFFFFF"/>
              </w:rPr>
              <w:t>29.04605</w:t>
            </w:r>
          </w:p>
        </w:tc>
      </w:tr>
      <w:tr w:rsidR="00CF24C2" w:rsidRPr="00471EEE" w14:paraId="5CAFBC60" w14:textId="77777777" w:rsidTr="004A02BA">
        <w:trPr>
          <w:jc w:val="center"/>
        </w:trPr>
        <w:tc>
          <w:tcPr>
            <w:tcW w:w="1360" w:type="dxa"/>
          </w:tcPr>
          <w:p w14:paraId="159BCFB7" w14:textId="77777777" w:rsidR="00CF24C2" w:rsidRPr="00471EEE" w:rsidRDefault="00CF24C2" w:rsidP="00CF24C2">
            <w:pPr>
              <w:ind w:firstLine="0"/>
              <w:jc w:val="center"/>
              <w:rPr>
                <w:rFonts w:cs="Arial"/>
                <w:color w:val="111111"/>
                <w:spacing w:val="1"/>
                <w:sz w:val="20"/>
                <w:szCs w:val="20"/>
                <w:shd w:val="clear" w:color="auto" w:fill="FFFFFF"/>
              </w:rPr>
            </w:pPr>
            <w:r w:rsidRPr="00471EEE">
              <w:rPr>
                <w:rFonts w:cs="Arial"/>
                <w:color w:val="111111"/>
                <w:spacing w:val="1"/>
                <w:sz w:val="20"/>
                <w:szCs w:val="20"/>
                <w:shd w:val="clear" w:color="auto" w:fill="FFFFFF"/>
              </w:rPr>
              <w:t>RSME</w:t>
            </w:r>
          </w:p>
        </w:tc>
        <w:tc>
          <w:tcPr>
            <w:tcW w:w="4508" w:type="dxa"/>
          </w:tcPr>
          <w:p w14:paraId="157C4D57" w14:textId="1DBF509C" w:rsidR="00CF24C2" w:rsidRPr="00471EEE" w:rsidRDefault="004847E1" w:rsidP="00CF24C2">
            <w:pPr>
              <w:ind w:firstLine="0"/>
              <w:jc w:val="center"/>
              <w:rPr>
                <w:rFonts w:cs="Arial"/>
                <w:color w:val="111111"/>
                <w:spacing w:val="1"/>
                <w:sz w:val="20"/>
                <w:szCs w:val="20"/>
                <w:shd w:val="clear" w:color="auto" w:fill="FFFFFF"/>
              </w:rPr>
            </w:pPr>
            <w:r w:rsidRPr="00471EEE">
              <w:rPr>
                <w:rFonts w:cs="Arial"/>
                <w:color w:val="111111"/>
                <w:spacing w:val="1"/>
                <w:sz w:val="20"/>
                <w:szCs w:val="20"/>
                <w:shd w:val="clear" w:color="auto" w:fill="FFFFFF"/>
              </w:rPr>
              <w:t>5.389439</w:t>
            </w:r>
          </w:p>
        </w:tc>
      </w:tr>
      <w:tr w:rsidR="00CF24C2" w:rsidRPr="00471EEE" w14:paraId="1035830C" w14:textId="77777777" w:rsidTr="004A02BA">
        <w:trPr>
          <w:jc w:val="center"/>
        </w:trPr>
        <w:tc>
          <w:tcPr>
            <w:tcW w:w="1360" w:type="dxa"/>
          </w:tcPr>
          <w:p w14:paraId="5CDA8A70" w14:textId="06915A6F" w:rsidR="00CF24C2" w:rsidRPr="00471EEE" w:rsidRDefault="00C742C3" w:rsidP="00CF24C2">
            <w:pPr>
              <w:ind w:firstLine="0"/>
              <w:jc w:val="center"/>
              <w:rPr>
                <w:rFonts w:cs="Arial"/>
                <w:color w:val="111111"/>
                <w:spacing w:val="1"/>
                <w:sz w:val="20"/>
                <w:szCs w:val="20"/>
                <w:shd w:val="clear" w:color="auto" w:fill="FFFFFF"/>
              </w:rPr>
            </w:pPr>
            <w:r w:rsidRPr="00471EEE">
              <w:rPr>
                <w:rFonts w:cs="Arial"/>
                <w:color w:val="111111"/>
                <w:spacing w:val="1"/>
                <w:sz w:val="20"/>
                <w:szCs w:val="20"/>
                <w:shd w:val="clear" w:color="auto" w:fill="FFFFFF"/>
              </w:rPr>
              <w:t>R</w:t>
            </w:r>
            <w:r w:rsidR="00CF24C2" w:rsidRPr="00471EEE">
              <w:rPr>
                <w:rFonts w:cs="Arial"/>
                <w:color w:val="111111"/>
                <w:spacing w:val="1"/>
                <w:sz w:val="20"/>
                <w:szCs w:val="20"/>
                <w:shd w:val="clear" w:color="auto" w:fill="FFFFFF"/>
              </w:rPr>
              <w:t>quare</w:t>
            </w:r>
          </w:p>
        </w:tc>
        <w:tc>
          <w:tcPr>
            <w:tcW w:w="4508" w:type="dxa"/>
          </w:tcPr>
          <w:p w14:paraId="46FDC32D" w14:textId="08BB544B" w:rsidR="00CF24C2" w:rsidRPr="00471EEE" w:rsidRDefault="004847E1" w:rsidP="00CF24C2">
            <w:pPr>
              <w:ind w:firstLine="0"/>
              <w:jc w:val="center"/>
              <w:rPr>
                <w:rFonts w:cs="Arial"/>
                <w:color w:val="111111"/>
                <w:spacing w:val="1"/>
                <w:sz w:val="20"/>
                <w:szCs w:val="20"/>
                <w:shd w:val="clear" w:color="auto" w:fill="FFFFFF"/>
              </w:rPr>
            </w:pPr>
            <w:r w:rsidRPr="00471EEE">
              <w:rPr>
                <w:rFonts w:cs="Arial"/>
                <w:color w:val="111111"/>
                <w:spacing w:val="1"/>
                <w:sz w:val="20"/>
                <w:szCs w:val="20"/>
                <w:shd w:val="clear" w:color="auto" w:fill="FFFFFF"/>
              </w:rPr>
              <w:t>0.6808836</w:t>
            </w:r>
          </w:p>
        </w:tc>
      </w:tr>
    </w:tbl>
    <w:p w14:paraId="31D67FBA" w14:textId="03B2CD27" w:rsidR="00CF24C2" w:rsidRPr="00471EEE" w:rsidRDefault="008158A6" w:rsidP="00CF24C2">
      <w:pPr>
        <w:ind w:firstLine="0"/>
        <w:rPr>
          <w:sz w:val="22"/>
          <w:szCs w:val="20"/>
        </w:rPr>
      </w:pPr>
      <w:r w:rsidRPr="00471EEE">
        <w:rPr>
          <w:sz w:val="22"/>
          <w:szCs w:val="20"/>
        </w:rPr>
        <w:t xml:space="preserve">We also note that using market turnover and average daily trade volume interchangeably in the model did not yield a significant change in the MSE. </w:t>
      </w:r>
      <w:r w:rsidR="000F4C2E" w:rsidRPr="00471EEE">
        <w:rPr>
          <w:sz w:val="22"/>
          <w:szCs w:val="20"/>
        </w:rPr>
        <w:t xml:space="preserve">In relation to our data, we can confirm the significance of 3 of the 5 Baker and Wurgler </w:t>
      </w:r>
      <w:r w:rsidR="006C3277" w:rsidRPr="00471EEE">
        <w:rPr>
          <w:sz w:val="22"/>
          <w:szCs w:val="20"/>
        </w:rPr>
        <w:t xml:space="preserve">(2006) </w:t>
      </w:r>
      <w:r w:rsidR="000F4C2E" w:rsidRPr="00471EEE">
        <w:rPr>
          <w:sz w:val="22"/>
          <w:szCs w:val="20"/>
        </w:rPr>
        <w:t>sentiment proxies in market turnover, share of equity issuances and number of ipos.</w:t>
      </w:r>
      <w:r w:rsidR="004078BE" w:rsidRPr="00471EEE">
        <w:rPr>
          <w:sz w:val="22"/>
          <w:szCs w:val="20"/>
        </w:rPr>
        <w:t xml:space="preserve"> </w:t>
      </w:r>
    </w:p>
    <w:p w14:paraId="367F4462" w14:textId="627F76FC" w:rsidR="00CF0A45" w:rsidRPr="00471EEE" w:rsidRDefault="00CF0A45" w:rsidP="00CF24C2">
      <w:pPr>
        <w:ind w:firstLine="0"/>
        <w:rPr>
          <w:sz w:val="22"/>
          <w:szCs w:val="20"/>
        </w:rPr>
      </w:pPr>
      <w:r w:rsidRPr="00471EEE">
        <w:rPr>
          <w:sz w:val="22"/>
          <w:szCs w:val="20"/>
        </w:rPr>
        <w:t xml:space="preserve">The MSE (Mean squared error) measures the differences or distances between the observed values and the predicted ones. It squares the differences to avoid negatives charging a higher penalty of the difference is greater. </w:t>
      </w:r>
      <w:r w:rsidR="00B34454" w:rsidRPr="00471EEE">
        <w:rPr>
          <w:sz w:val="22"/>
          <w:szCs w:val="20"/>
        </w:rPr>
        <w:t>Often time a smaller MSE means a good model</w:t>
      </w:r>
      <w:r w:rsidR="009742F7" w:rsidRPr="00471EEE">
        <w:rPr>
          <w:sz w:val="22"/>
          <w:szCs w:val="20"/>
        </w:rPr>
        <w:t xml:space="preserve"> with</w:t>
      </w:r>
      <w:r w:rsidRPr="00471EEE">
        <w:rPr>
          <w:sz w:val="22"/>
          <w:szCs w:val="20"/>
        </w:rPr>
        <w:t xml:space="preserve"> 0 mean</w:t>
      </w:r>
      <w:r w:rsidR="009742F7" w:rsidRPr="00471EEE">
        <w:rPr>
          <w:sz w:val="22"/>
          <w:szCs w:val="20"/>
        </w:rPr>
        <w:t>ing you have a perfect model where</w:t>
      </w:r>
      <w:r w:rsidRPr="00471EEE">
        <w:rPr>
          <w:sz w:val="22"/>
          <w:szCs w:val="20"/>
        </w:rPr>
        <w:t xml:space="preserve"> there are virtually no errors</w:t>
      </w:r>
      <w:r w:rsidR="00281E6A" w:rsidRPr="00471EEE">
        <w:rPr>
          <w:sz w:val="22"/>
          <w:szCs w:val="20"/>
        </w:rPr>
        <w:t xml:space="preserve"> present</w:t>
      </w:r>
      <w:r w:rsidRPr="00471EEE">
        <w:rPr>
          <w:sz w:val="22"/>
          <w:szCs w:val="20"/>
        </w:rPr>
        <w:t>. Our findings show a</w:t>
      </w:r>
      <w:r w:rsidR="00281E6A" w:rsidRPr="00471EEE">
        <w:rPr>
          <w:sz w:val="22"/>
          <w:szCs w:val="20"/>
        </w:rPr>
        <w:t xml:space="preserve"> high MSE and </w:t>
      </w:r>
      <w:r w:rsidRPr="00471EEE">
        <w:rPr>
          <w:sz w:val="22"/>
          <w:szCs w:val="20"/>
        </w:rPr>
        <w:t xml:space="preserve">RSME </w:t>
      </w:r>
      <w:r w:rsidR="00281E6A" w:rsidRPr="00471EEE">
        <w:rPr>
          <w:sz w:val="22"/>
          <w:szCs w:val="20"/>
        </w:rPr>
        <w:t xml:space="preserve">which </w:t>
      </w:r>
      <w:r w:rsidRPr="00471EEE">
        <w:rPr>
          <w:sz w:val="22"/>
          <w:szCs w:val="20"/>
        </w:rPr>
        <w:t>is the square root of MSE</w:t>
      </w:r>
      <w:r w:rsidR="00281E6A" w:rsidRPr="00471EEE">
        <w:rPr>
          <w:sz w:val="22"/>
          <w:szCs w:val="20"/>
        </w:rPr>
        <w:t xml:space="preserve"> using the values originally observed as opposed to their squared format</w:t>
      </w:r>
      <w:r w:rsidRPr="00471EEE">
        <w:rPr>
          <w:sz w:val="22"/>
          <w:szCs w:val="20"/>
        </w:rPr>
        <w:t xml:space="preserve">. Finally, the rsquare suggests </w:t>
      </w:r>
      <w:r w:rsidRPr="00471EEE">
        <w:rPr>
          <w:sz w:val="22"/>
          <w:szCs w:val="20"/>
        </w:rPr>
        <w:lastRenderedPageBreak/>
        <w:t xml:space="preserve">that our model explains </w:t>
      </w:r>
      <w:r w:rsidR="00F070B5" w:rsidRPr="00471EEE">
        <w:rPr>
          <w:sz w:val="22"/>
          <w:szCs w:val="20"/>
        </w:rPr>
        <w:t>about 68%</w:t>
      </w:r>
      <w:r w:rsidRPr="00471EEE">
        <w:rPr>
          <w:sz w:val="22"/>
          <w:szCs w:val="20"/>
        </w:rPr>
        <w:t xml:space="preserve"> of the variance in our </w:t>
      </w:r>
      <w:r w:rsidR="00F0660B" w:rsidRPr="00471EEE">
        <w:rPr>
          <w:sz w:val="22"/>
          <w:szCs w:val="20"/>
        </w:rPr>
        <w:t>out of sample data</w:t>
      </w:r>
      <w:r w:rsidR="0026534B" w:rsidRPr="00471EEE">
        <w:rPr>
          <w:sz w:val="22"/>
          <w:szCs w:val="20"/>
        </w:rPr>
        <w:t xml:space="preserve"> experiment</w:t>
      </w:r>
      <w:r w:rsidRPr="00471EEE">
        <w:rPr>
          <w:sz w:val="22"/>
          <w:szCs w:val="20"/>
        </w:rPr>
        <w:t>.</w:t>
      </w:r>
      <w:r w:rsidR="00F070B5" w:rsidRPr="00471EEE">
        <w:rPr>
          <w:sz w:val="22"/>
          <w:szCs w:val="20"/>
        </w:rPr>
        <w:t xml:space="preserve"> We can attribute this to the inability of LASSO to deal with data that may have non-constant variance, though it is still useful for inferencing</w:t>
      </w:r>
      <w:r w:rsidR="00F20A1C" w:rsidRPr="00471EEE">
        <w:rPr>
          <w:sz w:val="22"/>
          <w:szCs w:val="20"/>
        </w:rPr>
        <w:t xml:space="preserve"> purposes</w:t>
      </w:r>
      <w:r w:rsidR="00F070B5" w:rsidRPr="00471EEE">
        <w:rPr>
          <w:sz w:val="22"/>
          <w:szCs w:val="20"/>
        </w:rPr>
        <w:t xml:space="preserve">. </w:t>
      </w:r>
    </w:p>
    <w:p w14:paraId="311C2812" w14:textId="64D95722" w:rsidR="005B3053" w:rsidRDefault="005B3053" w:rsidP="005B3053">
      <w:pPr>
        <w:pStyle w:val="Caption"/>
        <w:keepNext/>
        <w:jc w:val="center"/>
      </w:pPr>
      <w:r w:rsidRPr="00C03EDE">
        <w:t>Table 4.2: DCC GJR-GARCH Parameter Results</w:t>
      </w:r>
    </w:p>
    <w:p w14:paraId="32C3097C" w14:textId="113487C8" w:rsidR="00B95DF1" w:rsidRPr="00471EEE" w:rsidRDefault="00CD11A1" w:rsidP="00B95DF1">
      <w:pPr>
        <w:ind w:firstLine="0"/>
        <w:jc w:val="center"/>
        <w:rPr>
          <w:sz w:val="22"/>
          <w:szCs w:val="20"/>
        </w:rPr>
      </w:pPr>
      <w:r w:rsidRPr="00471EEE">
        <w:rPr>
          <w:noProof/>
          <w:sz w:val="22"/>
          <w:szCs w:val="20"/>
        </w:rPr>
        <w:drawing>
          <wp:inline distT="0" distB="0" distL="0" distR="0" wp14:anchorId="15BDAA49" wp14:editId="22B3AD59">
            <wp:extent cx="5086350" cy="318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30" t="23839" r="63285" b="36842"/>
                    <a:stretch/>
                  </pic:blipFill>
                  <pic:spPr bwMode="auto">
                    <a:xfrm>
                      <a:off x="0" y="0"/>
                      <a:ext cx="5086350" cy="3181350"/>
                    </a:xfrm>
                    <a:prstGeom prst="rect">
                      <a:avLst/>
                    </a:prstGeom>
                    <a:ln>
                      <a:noFill/>
                    </a:ln>
                    <a:extLst>
                      <a:ext uri="{53640926-AAD7-44D8-BBD7-CCE9431645EC}">
                        <a14:shadowObscured xmlns:a14="http://schemas.microsoft.com/office/drawing/2010/main"/>
                      </a:ext>
                    </a:extLst>
                  </pic:spPr>
                </pic:pic>
              </a:graphicData>
            </a:graphic>
          </wp:inline>
        </w:drawing>
      </w:r>
    </w:p>
    <w:p w14:paraId="48B21EA2" w14:textId="074F119C" w:rsidR="00CA7C0E" w:rsidRPr="00471EEE" w:rsidRDefault="00CA7C0E" w:rsidP="00CA7C0E">
      <w:pPr>
        <w:ind w:firstLine="0"/>
        <w:jc w:val="center"/>
        <w:rPr>
          <w:sz w:val="22"/>
          <w:szCs w:val="20"/>
        </w:rPr>
      </w:pPr>
      <w:r w:rsidRPr="00471EEE">
        <w:rPr>
          <w:sz w:val="22"/>
          <w:szCs w:val="20"/>
        </w:rPr>
        <w:t xml:space="preserve">                                     </w:t>
      </w:r>
    </w:p>
    <w:p w14:paraId="7DDE2122" w14:textId="7D57CCFE" w:rsidR="00D11D02" w:rsidRPr="00471EEE" w:rsidRDefault="00D11D02" w:rsidP="00D11D02">
      <w:pPr>
        <w:ind w:firstLine="0"/>
        <w:rPr>
          <w:sz w:val="22"/>
          <w:szCs w:val="20"/>
        </w:rPr>
      </w:pPr>
      <w:r w:rsidRPr="00471EEE">
        <w:rPr>
          <w:sz w:val="22"/>
          <w:szCs w:val="20"/>
        </w:rPr>
        <w:t xml:space="preserve">Table </w:t>
      </w:r>
      <w:r w:rsidR="00A34437" w:rsidRPr="00471EEE">
        <w:rPr>
          <w:sz w:val="22"/>
          <w:szCs w:val="20"/>
        </w:rPr>
        <w:t>4.2</w:t>
      </w:r>
      <w:r w:rsidRPr="00471EEE">
        <w:rPr>
          <w:sz w:val="22"/>
          <w:szCs w:val="20"/>
        </w:rPr>
        <w:t xml:space="preserve"> above shows the results of the DCC and Univariate GJR-GARCH. </w:t>
      </w:r>
      <w:r w:rsidR="00D52257" w:rsidRPr="00471EEE">
        <w:rPr>
          <w:sz w:val="22"/>
          <w:szCs w:val="20"/>
        </w:rPr>
        <w:t xml:space="preserve">We observe a negative gamma for VIX but still significant. We observe that the alpha and betas of both models to be significant with a confidence level of 95%. </w:t>
      </w:r>
    </w:p>
    <w:p w14:paraId="2C60182C" w14:textId="7D8C1909" w:rsidR="002F3341" w:rsidRPr="00471EEE" w:rsidRDefault="002F3341" w:rsidP="00D11D02">
      <w:pPr>
        <w:ind w:firstLine="0"/>
        <w:rPr>
          <w:sz w:val="22"/>
          <w:szCs w:val="20"/>
        </w:rPr>
      </w:pPr>
    </w:p>
    <w:p w14:paraId="02A9724C" w14:textId="3992832F" w:rsidR="002F3341" w:rsidRPr="00471EEE" w:rsidRDefault="002F3341" w:rsidP="00D11D02">
      <w:pPr>
        <w:ind w:firstLine="0"/>
        <w:rPr>
          <w:sz w:val="22"/>
          <w:szCs w:val="20"/>
        </w:rPr>
      </w:pPr>
    </w:p>
    <w:p w14:paraId="44BF770C" w14:textId="77777777" w:rsidR="002F3341" w:rsidRPr="00471EEE" w:rsidRDefault="002F3341" w:rsidP="00D11D02">
      <w:pPr>
        <w:ind w:firstLine="0"/>
        <w:rPr>
          <w:sz w:val="22"/>
          <w:szCs w:val="20"/>
        </w:rPr>
      </w:pPr>
    </w:p>
    <w:p w14:paraId="78605921" w14:textId="2E75CCE7" w:rsidR="00912A12" w:rsidRPr="00471EEE" w:rsidRDefault="00912A12" w:rsidP="00790533">
      <w:pPr>
        <w:pStyle w:val="Caption"/>
        <w:keepNext/>
        <w:jc w:val="center"/>
        <w:rPr>
          <w:sz w:val="16"/>
          <w:szCs w:val="16"/>
        </w:rPr>
      </w:pPr>
    </w:p>
    <w:p w14:paraId="56E3DF7A" w14:textId="0D8C1901" w:rsidR="00B20EF3" w:rsidRDefault="00B20EF3" w:rsidP="00B20EF3">
      <w:pPr>
        <w:pStyle w:val="Caption"/>
        <w:keepNext/>
        <w:jc w:val="center"/>
      </w:pPr>
      <w:r w:rsidRPr="00D728D5">
        <w:t>Table 4.3: Leverage and Stationarity of Models</w:t>
      </w:r>
    </w:p>
    <w:tbl>
      <w:tblPr>
        <w:tblStyle w:val="TableGrid"/>
        <w:tblW w:w="9781" w:type="dxa"/>
        <w:tblInd w:w="-45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49"/>
        <w:gridCol w:w="2872"/>
        <w:gridCol w:w="3360"/>
      </w:tblGrid>
      <w:tr w:rsidR="005B66D2" w:rsidRPr="00471EEE" w14:paraId="15A9D671" w14:textId="77777777" w:rsidTr="00912A12">
        <w:tc>
          <w:tcPr>
            <w:tcW w:w="3549" w:type="dxa"/>
          </w:tcPr>
          <w:p w14:paraId="4F4DBDB5" w14:textId="0653FA18" w:rsidR="005B66D2" w:rsidRPr="00471EEE" w:rsidRDefault="005B66D2" w:rsidP="005B66D2">
            <w:pPr>
              <w:ind w:firstLine="0"/>
              <w:jc w:val="center"/>
              <w:rPr>
                <w:sz w:val="20"/>
                <w:szCs w:val="20"/>
              </w:rPr>
            </w:pPr>
          </w:p>
        </w:tc>
        <w:tc>
          <w:tcPr>
            <w:tcW w:w="2872" w:type="dxa"/>
          </w:tcPr>
          <w:p w14:paraId="2CC2030C" w14:textId="3A5E2F57" w:rsidR="005B66D2" w:rsidRPr="00471EEE" w:rsidRDefault="005B66D2" w:rsidP="00D11D02">
            <w:pPr>
              <w:ind w:firstLine="0"/>
              <w:rPr>
                <w:sz w:val="20"/>
                <w:szCs w:val="20"/>
              </w:rPr>
            </w:pPr>
            <w:r w:rsidRPr="00471EEE">
              <w:rPr>
                <w:sz w:val="20"/>
                <w:szCs w:val="20"/>
              </w:rPr>
              <w:t>Stationarity of Model (alpha</w:t>
            </w:r>
            <w:r w:rsidR="003D50B2" w:rsidRPr="00471EEE">
              <w:rPr>
                <w:sz w:val="20"/>
                <w:szCs w:val="20"/>
              </w:rPr>
              <w:t xml:space="preserve"> </w:t>
            </w:r>
            <w:r w:rsidRPr="00471EEE">
              <w:rPr>
                <w:sz w:val="20"/>
                <w:szCs w:val="20"/>
              </w:rPr>
              <w:t>+</w:t>
            </w:r>
            <w:r w:rsidR="003D50B2" w:rsidRPr="00471EEE">
              <w:rPr>
                <w:sz w:val="20"/>
                <w:szCs w:val="20"/>
              </w:rPr>
              <w:t xml:space="preserve"> </w:t>
            </w:r>
            <w:r w:rsidRPr="00471EEE">
              <w:rPr>
                <w:sz w:val="20"/>
                <w:szCs w:val="20"/>
              </w:rPr>
              <w:t>beta) &lt; 1</w:t>
            </w:r>
          </w:p>
        </w:tc>
        <w:tc>
          <w:tcPr>
            <w:tcW w:w="3360" w:type="dxa"/>
          </w:tcPr>
          <w:p w14:paraId="666CAC31" w14:textId="77777777" w:rsidR="005B66D2" w:rsidRPr="00471EEE" w:rsidRDefault="005B66D2" w:rsidP="00D11D02">
            <w:pPr>
              <w:ind w:firstLine="0"/>
              <w:rPr>
                <w:sz w:val="20"/>
                <w:szCs w:val="20"/>
              </w:rPr>
            </w:pPr>
            <w:r w:rsidRPr="00471EEE">
              <w:rPr>
                <w:sz w:val="20"/>
                <w:szCs w:val="20"/>
              </w:rPr>
              <w:t>Leverage Effect</w:t>
            </w:r>
          </w:p>
          <w:p w14:paraId="7473B313" w14:textId="6E4E5539" w:rsidR="005B66D2" w:rsidRPr="00471EEE" w:rsidRDefault="005B66D2" w:rsidP="00D11D02">
            <w:pPr>
              <w:ind w:firstLine="0"/>
              <w:rPr>
                <w:sz w:val="20"/>
                <w:szCs w:val="20"/>
              </w:rPr>
            </w:pPr>
            <w:r w:rsidRPr="00471EEE">
              <w:rPr>
                <w:sz w:val="20"/>
                <w:szCs w:val="20"/>
              </w:rPr>
              <w:t>(alpha + beta + gamma/2) &lt; 1</w:t>
            </w:r>
          </w:p>
        </w:tc>
      </w:tr>
      <w:tr w:rsidR="005B66D2" w:rsidRPr="00471EEE" w14:paraId="26ED1DC1" w14:textId="77777777" w:rsidTr="00912A12">
        <w:tc>
          <w:tcPr>
            <w:tcW w:w="3549" w:type="dxa"/>
          </w:tcPr>
          <w:p w14:paraId="2F946E51" w14:textId="67D95A8D" w:rsidR="005B66D2" w:rsidRPr="00471EEE" w:rsidRDefault="005B66D2" w:rsidP="00D11D02">
            <w:pPr>
              <w:ind w:firstLine="0"/>
              <w:rPr>
                <w:sz w:val="20"/>
                <w:szCs w:val="20"/>
              </w:rPr>
            </w:pPr>
            <w:r w:rsidRPr="00471EEE">
              <w:rPr>
                <w:sz w:val="20"/>
                <w:szCs w:val="20"/>
              </w:rPr>
              <w:t>VIX</w:t>
            </w:r>
          </w:p>
        </w:tc>
        <w:tc>
          <w:tcPr>
            <w:tcW w:w="2872" w:type="dxa"/>
          </w:tcPr>
          <w:p w14:paraId="0574C3F1" w14:textId="68CBA6E0" w:rsidR="005B66D2" w:rsidRPr="00471EEE" w:rsidRDefault="003D50B2" w:rsidP="00D11D02">
            <w:pPr>
              <w:ind w:firstLine="0"/>
              <w:rPr>
                <w:sz w:val="20"/>
                <w:szCs w:val="20"/>
              </w:rPr>
            </w:pPr>
            <w:r w:rsidRPr="00471EEE">
              <w:rPr>
                <w:sz w:val="20"/>
                <w:szCs w:val="20"/>
              </w:rPr>
              <w:t>0.990153</w:t>
            </w:r>
          </w:p>
        </w:tc>
        <w:tc>
          <w:tcPr>
            <w:tcW w:w="3360" w:type="dxa"/>
          </w:tcPr>
          <w:p w14:paraId="6C58D4EB" w14:textId="20937B8D" w:rsidR="005B66D2" w:rsidRPr="00471EEE" w:rsidRDefault="003D50B2" w:rsidP="00D11D02">
            <w:pPr>
              <w:ind w:firstLine="0"/>
              <w:rPr>
                <w:sz w:val="20"/>
                <w:szCs w:val="20"/>
              </w:rPr>
            </w:pPr>
            <w:r w:rsidRPr="00471EEE">
              <w:rPr>
                <w:sz w:val="20"/>
                <w:szCs w:val="20"/>
              </w:rPr>
              <w:t>0.8503255</w:t>
            </w:r>
          </w:p>
        </w:tc>
      </w:tr>
      <w:tr w:rsidR="005B66D2" w:rsidRPr="00471EEE" w14:paraId="3B24F6A9" w14:textId="77777777" w:rsidTr="00912A12">
        <w:tc>
          <w:tcPr>
            <w:tcW w:w="3549" w:type="dxa"/>
          </w:tcPr>
          <w:p w14:paraId="719B3B9E" w14:textId="19C1B401" w:rsidR="005B66D2" w:rsidRPr="00471EEE" w:rsidRDefault="005B66D2" w:rsidP="00D11D02">
            <w:pPr>
              <w:ind w:firstLine="0"/>
              <w:rPr>
                <w:sz w:val="20"/>
                <w:szCs w:val="20"/>
              </w:rPr>
            </w:pPr>
            <w:r w:rsidRPr="00471EEE">
              <w:rPr>
                <w:sz w:val="20"/>
                <w:szCs w:val="20"/>
              </w:rPr>
              <w:t>SP500</w:t>
            </w:r>
          </w:p>
        </w:tc>
        <w:tc>
          <w:tcPr>
            <w:tcW w:w="2872" w:type="dxa"/>
          </w:tcPr>
          <w:p w14:paraId="134F4E5B" w14:textId="6EEC26B2" w:rsidR="005B66D2" w:rsidRPr="00471EEE" w:rsidRDefault="003D50B2" w:rsidP="00D11D02">
            <w:pPr>
              <w:ind w:firstLine="0"/>
              <w:rPr>
                <w:sz w:val="20"/>
                <w:szCs w:val="20"/>
              </w:rPr>
            </w:pPr>
            <w:r w:rsidRPr="00471EEE">
              <w:rPr>
                <w:sz w:val="20"/>
                <w:szCs w:val="20"/>
              </w:rPr>
              <w:t>0.885642</w:t>
            </w:r>
          </w:p>
        </w:tc>
        <w:tc>
          <w:tcPr>
            <w:tcW w:w="3360" w:type="dxa"/>
          </w:tcPr>
          <w:p w14:paraId="6B4B19AD" w14:textId="4DB0B29D" w:rsidR="005B66D2" w:rsidRPr="00471EEE" w:rsidRDefault="003D50B2" w:rsidP="00D11D02">
            <w:pPr>
              <w:ind w:firstLine="0"/>
              <w:rPr>
                <w:sz w:val="20"/>
                <w:szCs w:val="20"/>
              </w:rPr>
            </w:pPr>
            <w:r w:rsidRPr="00471EEE">
              <w:rPr>
                <w:sz w:val="20"/>
                <w:szCs w:val="20"/>
              </w:rPr>
              <w:t>0.9919555</w:t>
            </w:r>
          </w:p>
        </w:tc>
      </w:tr>
      <w:tr w:rsidR="005B66D2" w:rsidRPr="00471EEE" w14:paraId="3D836E1D" w14:textId="77777777" w:rsidTr="00912A12">
        <w:tc>
          <w:tcPr>
            <w:tcW w:w="3549" w:type="dxa"/>
          </w:tcPr>
          <w:p w14:paraId="1C626F33" w14:textId="3A8F1ED3" w:rsidR="005B66D2" w:rsidRPr="00471EEE" w:rsidRDefault="005B66D2" w:rsidP="00D11D02">
            <w:pPr>
              <w:ind w:firstLine="0"/>
              <w:rPr>
                <w:sz w:val="20"/>
                <w:szCs w:val="20"/>
              </w:rPr>
            </w:pPr>
            <w:r w:rsidRPr="00471EEE">
              <w:rPr>
                <w:sz w:val="20"/>
                <w:szCs w:val="20"/>
              </w:rPr>
              <w:t>Joint</w:t>
            </w:r>
          </w:p>
        </w:tc>
        <w:tc>
          <w:tcPr>
            <w:tcW w:w="2872" w:type="dxa"/>
          </w:tcPr>
          <w:p w14:paraId="32772A76" w14:textId="7CEB0625" w:rsidR="005B66D2" w:rsidRPr="00471EEE" w:rsidRDefault="008E1050" w:rsidP="00D11D02">
            <w:pPr>
              <w:ind w:firstLine="0"/>
              <w:rPr>
                <w:sz w:val="20"/>
                <w:szCs w:val="20"/>
              </w:rPr>
            </w:pPr>
            <w:r w:rsidRPr="00471EEE">
              <w:rPr>
                <w:sz w:val="20"/>
                <w:szCs w:val="20"/>
              </w:rPr>
              <w:t>0.955195</w:t>
            </w:r>
          </w:p>
        </w:tc>
        <w:tc>
          <w:tcPr>
            <w:tcW w:w="3360" w:type="dxa"/>
          </w:tcPr>
          <w:p w14:paraId="0750B02D" w14:textId="46046A84" w:rsidR="005B66D2" w:rsidRPr="00471EEE" w:rsidRDefault="005B66D2" w:rsidP="00D11D02">
            <w:pPr>
              <w:ind w:firstLine="0"/>
              <w:rPr>
                <w:sz w:val="20"/>
                <w:szCs w:val="20"/>
              </w:rPr>
            </w:pPr>
          </w:p>
        </w:tc>
      </w:tr>
    </w:tbl>
    <w:p w14:paraId="1D5328F2" w14:textId="77777777" w:rsidR="005B66D2" w:rsidRPr="00471EEE" w:rsidRDefault="005B66D2" w:rsidP="00D11D02">
      <w:pPr>
        <w:ind w:firstLine="0"/>
        <w:rPr>
          <w:sz w:val="22"/>
          <w:szCs w:val="20"/>
        </w:rPr>
      </w:pPr>
    </w:p>
    <w:p w14:paraId="37122559" w14:textId="7FD5C464" w:rsidR="00DD534C" w:rsidRPr="00471EEE" w:rsidRDefault="00DD534C" w:rsidP="002231A5">
      <w:pPr>
        <w:rPr>
          <w:sz w:val="22"/>
          <w:szCs w:val="20"/>
        </w:rPr>
      </w:pPr>
      <w:r w:rsidRPr="00471EEE">
        <w:rPr>
          <w:sz w:val="22"/>
          <w:szCs w:val="20"/>
        </w:rPr>
        <w:t xml:space="preserve">From Table </w:t>
      </w:r>
      <w:r w:rsidR="00A34437" w:rsidRPr="00471EEE">
        <w:rPr>
          <w:sz w:val="22"/>
          <w:szCs w:val="20"/>
        </w:rPr>
        <w:t>4.</w:t>
      </w:r>
      <w:r w:rsidRPr="00471EEE">
        <w:rPr>
          <w:sz w:val="22"/>
          <w:szCs w:val="20"/>
        </w:rPr>
        <w:t xml:space="preserve">3, will observe both long term and </w:t>
      </w:r>
      <w:r w:rsidR="00032E55" w:rsidRPr="00471EEE">
        <w:rPr>
          <w:sz w:val="22"/>
          <w:szCs w:val="20"/>
        </w:rPr>
        <w:t>short-term</w:t>
      </w:r>
      <w:r w:rsidRPr="00471EEE">
        <w:rPr>
          <w:sz w:val="22"/>
          <w:szCs w:val="20"/>
        </w:rPr>
        <w:t xml:space="preserve"> significance in the spill over effects in volatility between VIX and S&amp;P500 with a confidence level of 95% are joint </w:t>
      </w:r>
      <w:r w:rsidRPr="00471EEE">
        <w:rPr>
          <w:sz w:val="22"/>
          <w:szCs w:val="20"/>
        </w:rPr>
        <w:lastRenderedPageBreak/>
        <w:t xml:space="preserve">beta and alpha are significant. We observe the negative gamma which was interpreted by Stavroyiannis (2017) on </w:t>
      </w:r>
      <w:r w:rsidR="00032E55" w:rsidRPr="00471EEE">
        <w:rPr>
          <w:sz w:val="22"/>
          <w:szCs w:val="20"/>
        </w:rPr>
        <w:t>his research paper on gold spot price as perhaps signifying the hedge properties of gold. We surmise that this may be true with regard to VIX futures as investors used then to hedge against declining returns. We also observe the leverage effect and stationarity being present.</w:t>
      </w:r>
    </w:p>
    <w:p w14:paraId="65E5B27C" w14:textId="52DAE4ED" w:rsidR="00085F7F" w:rsidRPr="00471EEE" w:rsidRDefault="002231A5" w:rsidP="00085F7F">
      <w:pPr>
        <w:rPr>
          <w:sz w:val="22"/>
          <w:szCs w:val="20"/>
        </w:rPr>
      </w:pPr>
      <w:r w:rsidRPr="00471EEE">
        <w:rPr>
          <w:sz w:val="22"/>
          <w:szCs w:val="20"/>
        </w:rPr>
        <w:t>We observe the following results from the GARCH experiment.</w:t>
      </w:r>
      <w:r w:rsidR="00695AF4" w:rsidRPr="00471EEE">
        <w:rPr>
          <w:sz w:val="22"/>
          <w:szCs w:val="20"/>
        </w:rPr>
        <w:t xml:space="preserve"> </w:t>
      </w:r>
      <w:r w:rsidR="00D20840" w:rsidRPr="00471EEE">
        <w:rPr>
          <w:sz w:val="22"/>
          <w:szCs w:val="20"/>
        </w:rPr>
        <w:t>F</w:t>
      </w:r>
      <w:r w:rsidR="00695AF4" w:rsidRPr="00471EEE">
        <w:rPr>
          <w:sz w:val="22"/>
          <w:szCs w:val="20"/>
        </w:rPr>
        <w:t>igure</w:t>
      </w:r>
      <w:r w:rsidR="00D20840" w:rsidRPr="00471EEE">
        <w:rPr>
          <w:sz w:val="22"/>
          <w:szCs w:val="20"/>
        </w:rPr>
        <w:t xml:space="preserve"> </w:t>
      </w:r>
      <w:r w:rsidR="00A34437" w:rsidRPr="00471EEE">
        <w:rPr>
          <w:sz w:val="22"/>
          <w:szCs w:val="20"/>
        </w:rPr>
        <w:t>4.1</w:t>
      </w:r>
      <w:r w:rsidR="00695AF4" w:rsidRPr="00471EEE">
        <w:rPr>
          <w:sz w:val="22"/>
          <w:szCs w:val="20"/>
        </w:rPr>
        <w:t xml:space="preserve"> below shows the conditional variance through time. </w:t>
      </w:r>
      <w:r w:rsidR="00D06B50" w:rsidRPr="00471EEE">
        <w:rPr>
          <w:sz w:val="22"/>
          <w:szCs w:val="20"/>
        </w:rPr>
        <w:t xml:space="preserve">We find that the volatility of the S&amp;P500 peaks much higher than the </w:t>
      </w:r>
      <w:r w:rsidR="003547A8" w:rsidRPr="00471EEE">
        <w:rPr>
          <w:sz w:val="22"/>
          <w:szCs w:val="20"/>
        </w:rPr>
        <w:t xml:space="preserve">peak volatility </w:t>
      </w:r>
      <w:r w:rsidR="00D06B50" w:rsidRPr="00471EEE">
        <w:rPr>
          <w:sz w:val="22"/>
          <w:szCs w:val="20"/>
        </w:rPr>
        <w:t xml:space="preserve">observed in VIX within the first 100 days of the pandemic on precisely day 51. </w:t>
      </w:r>
      <w:r w:rsidR="003547A8" w:rsidRPr="00471EEE">
        <w:rPr>
          <w:sz w:val="22"/>
          <w:szCs w:val="20"/>
        </w:rPr>
        <w:t>From our time series we note that this is the 16</w:t>
      </w:r>
      <w:r w:rsidR="003547A8" w:rsidRPr="00471EEE">
        <w:rPr>
          <w:sz w:val="22"/>
          <w:szCs w:val="20"/>
          <w:vertAlign w:val="superscript"/>
        </w:rPr>
        <w:t>th</w:t>
      </w:r>
      <w:r w:rsidR="003547A8" w:rsidRPr="00471EEE">
        <w:rPr>
          <w:sz w:val="22"/>
          <w:szCs w:val="20"/>
        </w:rPr>
        <w:t xml:space="preserve"> of March 2020, the day after the announcement of US border closures in the US on the 15</w:t>
      </w:r>
      <w:r w:rsidR="003547A8" w:rsidRPr="00471EEE">
        <w:rPr>
          <w:sz w:val="22"/>
          <w:szCs w:val="20"/>
          <w:vertAlign w:val="superscript"/>
        </w:rPr>
        <w:t>th</w:t>
      </w:r>
      <w:r w:rsidR="003547A8" w:rsidRPr="00471EEE">
        <w:rPr>
          <w:sz w:val="22"/>
          <w:szCs w:val="20"/>
        </w:rPr>
        <w:t xml:space="preserve">. This remains peak volatility for both series throughout the timeline. </w:t>
      </w:r>
      <w:r w:rsidR="00085F7F" w:rsidRPr="00471EEE">
        <w:rPr>
          <w:sz w:val="22"/>
          <w:szCs w:val="20"/>
        </w:rPr>
        <w:t>Figure 4.1 shows a strong reaction to the initial news by S&amp;P500 while VIX sees greater variability over time as the S&amp;P returns mostly stabilises throughout the pandemic as per our data. This matches the findings of our gamma coefficient as it is greater than zero for returns, thus, they have a stronger response to the initial pandemic news. From the variability in VIX we can deduce that VIX responds more often and with greater variability to positive stimuli than do returns with respect to the data observed in this experiment</w:t>
      </w:r>
      <w:r w:rsidR="00A3755B" w:rsidRPr="00471EEE">
        <w:rPr>
          <w:sz w:val="22"/>
          <w:szCs w:val="20"/>
        </w:rPr>
        <w:t xml:space="preserve"> but the S&amp;P500 responds less sensitively overtime but exhibits heightened responses to initial negative news</w:t>
      </w:r>
      <w:r w:rsidR="00085F7F" w:rsidRPr="00471EEE">
        <w:rPr>
          <w:sz w:val="22"/>
          <w:szCs w:val="20"/>
        </w:rPr>
        <w:t xml:space="preserve">. </w:t>
      </w:r>
    </w:p>
    <w:p w14:paraId="10DA69F5" w14:textId="37FD1B22" w:rsidR="002231A5" w:rsidRPr="00471EEE" w:rsidRDefault="002231A5" w:rsidP="002231A5">
      <w:pPr>
        <w:rPr>
          <w:sz w:val="22"/>
          <w:szCs w:val="20"/>
        </w:rPr>
      </w:pPr>
    </w:p>
    <w:p w14:paraId="4DA8E8E2" w14:textId="77777777" w:rsidR="00B95DF1" w:rsidRPr="00471EEE" w:rsidRDefault="00B95DF1" w:rsidP="002231A5">
      <w:pPr>
        <w:rPr>
          <w:sz w:val="22"/>
          <w:szCs w:val="20"/>
        </w:rPr>
      </w:pPr>
    </w:p>
    <w:p w14:paraId="6283B4FB" w14:textId="77777777" w:rsidR="00B95DF1" w:rsidRPr="00471EEE" w:rsidRDefault="00B95DF1" w:rsidP="002231A5">
      <w:pPr>
        <w:rPr>
          <w:sz w:val="22"/>
          <w:szCs w:val="20"/>
        </w:rPr>
      </w:pPr>
    </w:p>
    <w:p w14:paraId="31730AA7" w14:textId="3F09BCFD" w:rsidR="00EF385A" w:rsidRPr="00471EEE" w:rsidRDefault="00EF385A" w:rsidP="00EF385A">
      <w:pPr>
        <w:keepNext/>
        <w:ind w:firstLine="0"/>
        <w:jc w:val="center"/>
        <w:rPr>
          <w:sz w:val="22"/>
          <w:szCs w:val="20"/>
        </w:rPr>
      </w:pPr>
      <w:r w:rsidRPr="00471EEE">
        <w:rPr>
          <w:noProof/>
          <w:sz w:val="22"/>
          <w:szCs w:val="20"/>
        </w:rPr>
        <w:drawing>
          <wp:inline distT="0" distB="0" distL="0" distR="0" wp14:anchorId="4EE5E640" wp14:editId="64BF1065">
            <wp:extent cx="49911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991100" cy="2952750"/>
                    </a:xfrm>
                    <a:prstGeom prst="rect">
                      <a:avLst/>
                    </a:prstGeom>
                  </pic:spPr>
                </pic:pic>
              </a:graphicData>
            </a:graphic>
          </wp:inline>
        </w:drawing>
      </w:r>
    </w:p>
    <w:p w14:paraId="256C82E2" w14:textId="772BA734" w:rsidR="00EF385A" w:rsidRPr="00471EEE" w:rsidRDefault="00EF385A" w:rsidP="0016208C">
      <w:pPr>
        <w:pStyle w:val="Caption"/>
        <w:jc w:val="center"/>
        <w:rPr>
          <w:sz w:val="16"/>
          <w:szCs w:val="16"/>
        </w:rPr>
      </w:pPr>
      <w:r w:rsidRPr="00471EEE">
        <w:rPr>
          <w:sz w:val="16"/>
          <w:szCs w:val="16"/>
        </w:rPr>
        <w:t xml:space="preserve">Figure </w:t>
      </w:r>
      <w:r w:rsidR="00A34437" w:rsidRPr="00471EEE">
        <w:rPr>
          <w:sz w:val="16"/>
          <w:szCs w:val="16"/>
        </w:rPr>
        <w:t>4.1</w:t>
      </w:r>
      <w:r w:rsidRPr="00471EEE">
        <w:rPr>
          <w:sz w:val="16"/>
          <w:szCs w:val="16"/>
        </w:rPr>
        <w:t xml:space="preserve">: Comparison of Conditional </w:t>
      </w:r>
      <w:r w:rsidR="00BE18EC" w:rsidRPr="00471EEE">
        <w:rPr>
          <w:sz w:val="16"/>
          <w:szCs w:val="16"/>
        </w:rPr>
        <w:t>V</w:t>
      </w:r>
      <w:r w:rsidRPr="00471EEE">
        <w:rPr>
          <w:sz w:val="16"/>
          <w:szCs w:val="16"/>
        </w:rPr>
        <w:t>ariance through time</w:t>
      </w:r>
    </w:p>
    <w:p w14:paraId="276D917C" w14:textId="77777777" w:rsidR="00EF385A" w:rsidRPr="00471EEE" w:rsidRDefault="00EF385A" w:rsidP="002231A5">
      <w:pPr>
        <w:rPr>
          <w:sz w:val="22"/>
          <w:szCs w:val="20"/>
        </w:rPr>
      </w:pPr>
    </w:p>
    <w:p w14:paraId="1B269F5E" w14:textId="3B8C9297" w:rsidR="009B4419" w:rsidRPr="00471EEE" w:rsidRDefault="009B4419" w:rsidP="00085F7F">
      <w:pPr>
        <w:rPr>
          <w:sz w:val="22"/>
          <w:szCs w:val="20"/>
        </w:rPr>
      </w:pPr>
      <w:r w:rsidRPr="00471EEE">
        <w:rPr>
          <w:sz w:val="22"/>
          <w:szCs w:val="20"/>
        </w:rPr>
        <w:t>The scatter plot in Figure 4</w:t>
      </w:r>
      <w:r w:rsidR="00A34437" w:rsidRPr="00471EEE">
        <w:rPr>
          <w:sz w:val="22"/>
          <w:szCs w:val="20"/>
        </w:rPr>
        <w:t>.2</w:t>
      </w:r>
      <w:r w:rsidRPr="00471EEE">
        <w:rPr>
          <w:sz w:val="22"/>
          <w:szCs w:val="20"/>
        </w:rPr>
        <w:t xml:space="preserve"> </w:t>
      </w:r>
      <w:r w:rsidRPr="00471EEE">
        <w:rPr>
          <w:sz w:val="22"/>
          <w:szCs w:val="20"/>
        </w:rPr>
        <w:t xml:space="preserve">below </w:t>
      </w:r>
      <w:r w:rsidR="00A34437" w:rsidRPr="00471EEE">
        <w:rPr>
          <w:sz w:val="22"/>
          <w:szCs w:val="20"/>
        </w:rPr>
        <w:t>confirms this as the peak is seen to</w:t>
      </w:r>
      <w:r w:rsidR="00E43CE9" w:rsidRPr="00471EEE">
        <w:rPr>
          <w:sz w:val="22"/>
          <w:szCs w:val="20"/>
        </w:rPr>
        <w:t xml:space="preserve"> be</w:t>
      </w:r>
      <w:r w:rsidR="00A34437" w:rsidRPr="00471EEE">
        <w:rPr>
          <w:sz w:val="22"/>
          <w:szCs w:val="20"/>
        </w:rPr>
        <w:t xml:space="preserve"> at 0.009466</w:t>
      </w:r>
      <w:r w:rsidR="00E43CE9" w:rsidRPr="00471EEE">
        <w:rPr>
          <w:sz w:val="22"/>
          <w:szCs w:val="20"/>
        </w:rPr>
        <w:t xml:space="preserve"> for S&amp;P500 while it peaks at about 0.0044 foe the VIX</w:t>
      </w:r>
      <w:r w:rsidR="00A34437" w:rsidRPr="00471EEE">
        <w:rPr>
          <w:sz w:val="22"/>
          <w:szCs w:val="20"/>
        </w:rPr>
        <w:t>.</w:t>
      </w:r>
      <w:r w:rsidR="00A34437" w:rsidRPr="00471EEE">
        <w:rPr>
          <w:sz w:val="22"/>
          <w:szCs w:val="20"/>
        </w:rPr>
        <w:t xml:space="preserve"> It </w:t>
      </w:r>
      <w:r w:rsidRPr="00471EEE">
        <w:rPr>
          <w:sz w:val="22"/>
          <w:szCs w:val="20"/>
        </w:rPr>
        <w:t>shows a convergence in the conditional variance</w:t>
      </w:r>
      <w:r w:rsidR="00CE590F" w:rsidRPr="00471EEE">
        <w:rPr>
          <w:sz w:val="22"/>
          <w:szCs w:val="20"/>
        </w:rPr>
        <w:t>s</w:t>
      </w:r>
      <w:r w:rsidRPr="00471EEE">
        <w:rPr>
          <w:sz w:val="22"/>
          <w:szCs w:val="20"/>
        </w:rPr>
        <w:t xml:space="preserve"> between the two series on the lower bounds of the variance. </w:t>
      </w:r>
    </w:p>
    <w:p w14:paraId="5DB33A27" w14:textId="3FCADAC9" w:rsidR="00F45110" w:rsidRPr="00471EEE" w:rsidRDefault="00F45110" w:rsidP="00F45110">
      <w:pPr>
        <w:rPr>
          <w:sz w:val="22"/>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F45110" w:rsidRPr="00471EEE" w14:paraId="1B8090BC" w14:textId="77777777" w:rsidTr="00EF385A">
        <w:tc>
          <w:tcPr>
            <w:tcW w:w="8834" w:type="dxa"/>
          </w:tcPr>
          <w:p w14:paraId="78E985A8" w14:textId="74E7D1A4" w:rsidR="006A0FCB" w:rsidRPr="00471EEE" w:rsidRDefault="00194BD4" w:rsidP="001743E9">
            <w:pPr>
              <w:keepNext/>
              <w:ind w:firstLine="0"/>
              <w:jc w:val="center"/>
              <w:rPr>
                <w:sz w:val="20"/>
                <w:szCs w:val="20"/>
              </w:rPr>
            </w:pPr>
            <w:r w:rsidRPr="00471EEE">
              <w:rPr>
                <w:noProof/>
                <w:sz w:val="20"/>
                <w:szCs w:val="20"/>
              </w:rPr>
              <w:drawing>
                <wp:inline distT="0" distB="0" distL="0" distR="0" wp14:anchorId="5F567C34" wp14:editId="16759443">
                  <wp:extent cx="4798374" cy="2578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5041" cy="2582318"/>
                          </a:xfrm>
                          <a:prstGeom prst="rect">
                            <a:avLst/>
                          </a:prstGeom>
                        </pic:spPr>
                      </pic:pic>
                    </a:graphicData>
                  </a:graphic>
                </wp:inline>
              </w:drawing>
            </w:r>
          </w:p>
          <w:p w14:paraId="6CA89C49" w14:textId="16F31F58" w:rsidR="00F45110" w:rsidRPr="00471EEE" w:rsidRDefault="006A0FCB" w:rsidP="00477EA8">
            <w:pPr>
              <w:pStyle w:val="Caption"/>
              <w:jc w:val="center"/>
              <w:rPr>
                <w:noProof/>
                <w:sz w:val="16"/>
                <w:szCs w:val="16"/>
              </w:rPr>
            </w:pPr>
            <w:r w:rsidRPr="00471EEE">
              <w:rPr>
                <w:sz w:val="16"/>
                <w:szCs w:val="16"/>
              </w:rPr>
              <w:t xml:space="preserve">Figure </w:t>
            </w:r>
            <w:r w:rsidR="00A77370" w:rsidRPr="00471EEE">
              <w:rPr>
                <w:sz w:val="16"/>
                <w:szCs w:val="16"/>
              </w:rPr>
              <w:t>4</w:t>
            </w:r>
            <w:r w:rsidR="00834E46" w:rsidRPr="00471EEE">
              <w:rPr>
                <w:noProof/>
                <w:sz w:val="16"/>
                <w:szCs w:val="16"/>
              </w:rPr>
              <w:t>.2</w:t>
            </w:r>
            <w:r w:rsidRPr="00471EEE">
              <w:rPr>
                <w:sz w:val="16"/>
                <w:szCs w:val="16"/>
              </w:rPr>
              <w:t>: Scatter Plot of VIX Index and S&amp;P500 conditional variances</w:t>
            </w:r>
          </w:p>
        </w:tc>
      </w:tr>
    </w:tbl>
    <w:p w14:paraId="64382B15" w14:textId="77777777" w:rsidR="00F45110" w:rsidRPr="00471EEE" w:rsidRDefault="00F45110" w:rsidP="00F45110">
      <w:pPr>
        <w:rPr>
          <w:sz w:val="22"/>
          <w:szCs w:val="20"/>
        </w:rPr>
      </w:pPr>
    </w:p>
    <w:p w14:paraId="244B6EF3" w14:textId="57B0078B" w:rsidR="00822358" w:rsidRPr="00471EEE" w:rsidRDefault="00822358" w:rsidP="00336AFB">
      <w:pPr>
        <w:ind w:firstLine="0"/>
        <w:rPr>
          <w:sz w:val="22"/>
          <w:szCs w:val="20"/>
        </w:rPr>
      </w:pPr>
    </w:p>
    <w:p w14:paraId="171E428E" w14:textId="1D3088E2" w:rsidR="00653348" w:rsidRPr="00471EEE" w:rsidRDefault="00EE5046" w:rsidP="00336AFB">
      <w:pPr>
        <w:ind w:firstLine="0"/>
        <w:rPr>
          <w:sz w:val="22"/>
          <w:szCs w:val="20"/>
        </w:rPr>
      </w:pPr>
      <w:r w:rsidRPr="00471EEE">
        <w:rPr>
          <w:sz w:val="22"/>
          <w:szCs w:val="20"/>
        </w:rPr>
        <w:t xml:space="preserve">The Figure 4.3 </w:t>
      </w:r>
      <w:r w:rsidRPr="00471EEE">
        <w:rPr>
          <w:sz w:val="22"/>
          <w:szCs w:val="20"/>
        </w:rPr>
        <w:t>below</w:t>
      </w:r>
      <w:r w:rsidRPr="00471EEE">
        <w:rPr>
          <w:sz w:val="22"/>
          <w:szCs w:val="20"/>
        </w:rPr>
        <w:t xml:space="preserve"> shows that the correlation of conditional variances remains in the high negatives throughout most of the pandemic period showing the strong negative relationship between volatility and returns researched in previous literature.</w:t>
      </w:r>
    </w:p>
    <w:p w14:paraId="12F956D7" w14:textId="4495DB94" w:rsidR="00E20099" w:rsidRPr="00471EEE" w:rsidRDefault="00F2422D" w:rsidP="001743E9">
      <w:pPr>
        <w:keepNext/>
        <w:rPr>
          <w:sz w:val="22"/>
          <w:szCs w:val="20"/>
        </w:rPr>
      </w:pPr>
      <w:r w:rsidRPr="00471EEE">
        <w:rPr>
          <w:noProof/>
          <w:sz w:val="22"/>
          <w:szCs w:val="20"/>
          <w:highlight w:val="yellow"/>
        </w:rPr>
        <w:drawing>
          <wp:inline distT="0" distB="0" distL="0" distR="0" wp14:anchorId="28BCD168" wp14:editId="69B06097">
            <wp:extent cx="4121182" cy="2551814"/>
            <wp:effectExtent l="0" t="0" r="0" b="1270"/>
            <wp:docPr id="4" name="Picture 3">
              <a:extLst xmlns:a="http://schemas.openxmlformats.org/drawingml/2006/main">
                <a:ext uri="{FF2B5EF4-FFF2-40B4-BE49-F238E27FC236}">
                  <a16:creationId xmlns:a16="http://schemas.microsoft.com/office/drawing/2014/main" id="{02A9B2D1-9A57-48E0-1C2C-00E171866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2A9B2D1-9A57-48E0-1C2C-00E171866A18}"/>
                        </a:ext>
                      </a:extLst>
                    </pic:cNvPr>
                    <pic:cNvPicPr>
                      <a:picLocks noChangeAspect="1"/>
                    </pic:cNvPicPr>
                  </pic:nvPicPr>
                  <pic:blipFill>
                    <a:blip r:embed="rId22"/>
                    <a:stretch>
                      <a:fillRect/>
                    </a:stretch>
                  </pic:blipFill>
                  <pic:spPr>
                    <a:xfrm>
                      <a:off x="0" y="0"/>
                      <a:ext cx="4138024" cy="2562243"/>
                    </a:xfrm>
                    <a:prstGeom prst="rect">
                      <a:avLst/>
                    </a:prstGeom>
                  </pic:spPr>
                </pic:pic>
              </a:graphicData>
            </a:graphic>
          </wp:inline>
        </w:drawing>
      </w:r>
    </w:p>
    <w:p w14:paraId="4B7ED942" w14:textId="21EF5D8F" w:rsidR="00F2422D" w:rsidRPr="00471EEE" w:rsidRDefault="00E20099" w:rsidP="00E20099">
      <w:pPr>
        <w:pStyle w:val="Caption"/>
        <w:jc w:val="center"/>
        <w:rPr>
          <w:sz w:val="16"/>
          <w:szCs w:val="16"/>
        </w:rPr>
      </w:pPr>
      <w:r w:rsidRPr="00471EEE">
        <w:rPr>
          <w:sz w:val="16"/>
          <w:szCs w:val="16"/>
        </w:rPr>
        <w:t xml:space="preserve">Figure </w:t>
      </w:r>
      <w:r w:rsidR="00EE5046" w:rsidRPr="00471EEE">
        <w:rPr>
          <w:sz w:val="16"/>
          <w:szCs w:val="16"/>
        </w:rPr>
        <w:t>4.3</w:t>
      </w:r>
      <w:r w:rsidRPr="00471EEE">
        <w:rPr>
          <w:sz w:val="16"/>
          <w:szCs w:val="16"/>
        </w:rPr>
        <w:t>: Chart Showing Correlation of Conditional Variance</w:t>
      </w:r>
    </w:p>
    <w:p w14:paraId="667D6CED" w14:textId="74C8BC40" w:rsidR="00F45110" w:rsidRPr="00471EEE" w:rsidRDefault="00F45110" w:rsidP="00F45110">
      <w:pPr>
        <w:rPr>
          <w:sz w:val="22"/>
          <w:szCs w:val="20"/>
        </w:rPr>
      </w:pPr>
    </w:p>
    <w:p w14:paraId="12580C8E" w14:textId="32402B75" w:rsidR="002F65F8" w:rsidRPr="00471EEE" w:rsidRDefault="007D395A" w:rsidP="009B4419">
      <w:pPr>
        <w:rPr>
          <w:sz w:val="22"/>
          <w:szCs w:val="20"/>
        </w:rPr>
      </w:pPr>
      <w:r w:rsidRPr="00471EEE">
        <w:rPr>
          <w:sz w:val="22"/>
          <w:szCs w:val="20"/>
        </w:rPr>
        <w:lastRenderedPageBreak/>
        <w:t>We observe very little significant changes following the Russia-Ukraine crisis period.</w:t>
      </w:r>
      <w:r w:rsidR="00D56474" w:rsidRPr="00471EEE">
        <w:rPr>
          <w:sz w:val="22"/>
          <w:szCs w:val="20"/>
        </w:rPr>
        <w:t xml:space="preserve"> The Chart </w:t>
      </w:r>
      <w:r w:rsidR="003D0802" w:rsidRPr="00471EEE">
        <w:rPr>
          <w:sz w:val="22"/>
          <w:szCs w:val="20"/>
        </w:rPr>
        <w:t>illustrate</w:t>
      </w:r>
      <w:r w:rsidR="00B2127B" w:rsidRPr="00471EEE">
        <w:rPr>
          <w:sz w:val="22"/>
          <w:szCs w:val="20"/>
        </w:rPr>
        <w:t>s</w:t>
      </w:r>
      <w:r w:rsidR="00D56474" w:rsidRPr="00471EEE">
        <w:rPr>
          <w:sz w:val="22"/>
          <w:szCs w:val="20"/>
        </w:rPr>
        <w:t xml:space="preserve"> how the reduction in correlation corresponds to Figure </w:t>
      </w:r>
      <w:r w:rsidR="00D20840" w:rsidRPr="00471EEE">
        <w:rPr>
          <w:sz w:val="22"/>
          <w:szCs w:val="20"/>
        </w:rPr>
        <w:t>3</w:t>
      </w:r>
      <w:r w:rsidR="00AC09CB" w:rsidRPr="00471EEE">
        <w:rPr>
          <w:sz w:val="22"/>
          <w:szCs w:val="20"/>
        </w:rPr>
        <w:t xml:space="preserve"> as </w:t>
      </w:r>
      <w:r w:rsidR="00542644" w:rsidRPr="00471EEE">
        <w:rPr>
          <w:sz w:val="22"/>
          <w:szCs w:val="20"/>
        </w:rPr>
        <w:t xml:space="preserve">it closes in on 0 on three main spikes observed on days </w:t>
      </w:r>
      <w:r w:rsidR="00897588" w:rsidRPr="00471EEE">
        <w:rPr>
          <w:sz w:val="22"/>
          <w:szCs w:val="20"/>
        </w:rPr>
        <w:t xml:space="preserve">170, </w:t>
      </w:r>
      <w:r w:rsidR="00542644" w:rsidRPr="00471EEE">
        <w:rPr>
          <w:sz w:val="22"/>
          <w:szCs w:val="20"/>
        </w:rPr>
        <w:t>269</w:t>
      </w:r>
      <w:r w:rsidR="00897588" w:rsidRPr="00471EEE">
        <w:rPr>
          <w:sz w:val="22"/>
          <w:szCs w:val="20"/>
        </w:rPr>
        <w:t xml:space="preserve"> and </w:t>
      </w:r>
      <w:r w:rsidR="00542644" w:rsidRPr="00471EEE">
        <w:rPr>
          <w:sz w:val="22"/>
          <w:szCs w:val="20"/>
        </w:rPr>
        <w:t>480</w:t>
      </w:r>
      <w:r w:rsidR="0047322D" w:rsidRPr="00471EEE">
        <w:rPr>
          <w:sz w:val="22"/>
          <w:szCs w:val="20"/>
        </w:rPr>
        <w:t xml:space="preserve"> which </w:t>
      </w:r>
      <w:r w:rsidR="00A33A61" w:rsidRPr="00471EEE">
        <w:rPr>
          <w:sz w:val="22"/>
          <w:szCs w:val="20"/>
        </w:rPr>
        <w:t xml:space="preserve">uncoincidentally </w:t>
      </w:r>
      <w:r w:rsidR="0047322D" w:rsidRPr="00471EEE">
        <w:rPr>
          <w:sz w:val="22"/>
          <w:szCs w:val="20"/>
        </w:rPr>
        <w:t>correspond to 2</w:t>
      </w:r>
      <w:r w:rsidR="0047322D" w:rsidRPr="00471EEE">
        <w:rPr>
          <w:sz w:val="22"/>
          <w:szCs w:val="20"/>
          <w:vertAlign w:val="superscript"/>
        </w:rPr>
        <w:t xml:space="preserve"> </w:t>
      </w:r>
      <w:r w:rsidR="0047322D" w:rsidRPr="00471EEE">
        <w:rPr>
          <w:sz w:val="22"/>
          <w:szCs w:val="20"/>
        </w:rPr>
        <w:t>September 2020, 26 January 2021 and 24 November 2021 respectively.</w:t>
      </w:r>
      <w:r w:rsidR="007325F2" w:rsidRPr="00471EEE">
        <w:rPr>
          <w:sz w:val="22"/>
          <w:szCs w:val="20"/>
        </w:rPr>
        <w:t xml:space="preserve"> </w:t>
      </w:r>
      <w:r w:rsidR="0075293C" w:rsidRPr="00471EEE">
        <w:rPr>
          <w:sz w:val="22"/>
          <w:szCs w:val="20"/>
        </w:rPr>
        <w:t>A comparison of the two crises would be required to gain a reasonable understanding and develop the literature to investigate the change in sentiment between the two time periods</w:t>
      </w:r>
      <w:r w:rsidR="00AD5C99" w:rsidRPr="00471EEE">
        <w:rPr>
          <w:sz w:val="22"/>
          <w:szCs w:val="20"/>
        </w:rPr>
        <w:t xml:space="preserve"> of COVID-19 and Russia-Ukraine conflict.</w:t>
      </w:r>
      <w:r w:rsidR="00620D6A" w:rsidRPr="00471EEE">
        <w:rPr>
          <w:sz w:val="22"/>
          <w:szCs w:val="20"/>
        </w:rPr>
        <w:t xml:space="preserve"> Our research finds </w:t>
      </w:r>
      <w:r w:rsidR="0062632A" w:rsidRPr="00471EEE">
        <w:rPr>
          <w:sz w:val="22"/>
          <w:szCs w:val="20"/>
        </w:rPr>
        <w:t>that the variability between VIX futures and S&amp;P500 returns are highly correlated throughout the course of the pandemic and can look at the share of debts to equity issued, number of new ipos, trade volume and market turnover to get some kind of insight on the direction of the sentiment of in the market.</w:t>
      </w:r>
    </w:p>
    <w:p w14:paraId="1C182162" w14:textId="71B97F14" w:rsidR="00822358" w:rsidRPr="00471EEE" w:rsidRDefault="00822358" w:rsidP="00822358">
      <w:pPr>
        <w:pStyle w:val="Heading1"/>
        <w:ind w:firstLine="0"/>
        <w:rPr>
          <w:sz w:val="36"/>
          <w:szCs w:val="28"/>
        </w:rPr>
      </w:pPr>
      <w:bookmarkStart w:id="28" w:name="_Toc106747495"/>
      <w:r w:rsidRPr="00471EEE">
        <w:rPr>
          <w:sz w:val="36"/>
          <w:szCs w:val="28"/>
        </w:rPr>
        <w:t>5.0 CHALLENGES AND FUTURE CONSIDERATIONS</w:t>
      </w:r>
      <w:bookmarkEnd w:id="28"/>
    </w:p>
    <w:p w14:paraId="33A72ABA" w14:textId="608764E5" w:rsidR="00822358" w:rsidRPr="00471EEE" w:rsidRDefault="00822358" w:rsidP="00822358">
      <w:pPr>
        <w:rPr>
          <w:sz w:val="22"/>
          <w:szCs w:val="20"/>
        </w:rPr>
      </w:pPr>
      <w:r w:rsidRPr="00471EEE">
        <w:rPr>
          <w:sz w:val="22"/>
          <w:szCs w:val="20"/>
        </w:rPr>
        <w:t xml:space="preserve">The challenges facing any investigation can be vast. One of our very obvious challenges was the lack of data in the </w:t>
      </w:r>
      <w:r w:rsidR="00F4196F" w:rsidRPr="00471EEE">
        <w:rPr>
          <w:sz w:val="22"/>
          <w:szCs w:val="20"/>
        </w:rPr>
        <w:t xml:space="preserve">case of the </w:t>
      </w:r>
      <w:r w:rsidRPr="00471EEE">
        <w:rPr>
          <w:sz w:val="22"/>
          <w:szCs w:val="20"/>
        </w:rPr>
        <w:t xml:space="preserve">Russia-Ukraine </w:t>
      </w:r>
      <w:r w:rsidR="00F4196F" w:rsidRPr="00471EEE">
        <w:rPr>
          <w:sz w:val="22"/>
          <w:szCs w:val="20"/>
        </w:rPr>
        <w:t xml:space="preserve">conflict’s impact on the </w:t>
      </w:r>
      <w:r w:rsidR="002D6A8F" w:rsidRPr="00471EEE">
        <w:rPr>
          <w:sz w:val="22"/>
          <w:szCs w:val="20"/>
        </w:rPr>
        <w:t xml:space="preserve">VIX index and S&amp;P500. </w:t>
      </w:r>
      <w:r w:rsidR="00AD5C99" w:rsidRPr="00471EEE">
        <w:rPr>
          <w:sz w:val="22"/>
          <w:szCs w:val="20"/>
        </w:rPr>
        <w:t xml:space="preserve">Consideration for the overlapping </w:t>
      </w:r>
      <w:r w:rsidR="00033901" w:rsidRPr="00471EEE">
        <w:rPr>
          <w:sz w:val="22"/>
          <w:szCs w:val="20"/>
        </w:rPr>
        <w:t xml:space="preserve">nature of the two crises and their impact on the stock market could also be another point of study and both events are still ongoing at present. </w:t>
      </w:r>
      <w:r w:rsidR="001C702C" w:rsidRPr="00471EEE">
        <w:rPr>
          <w:sz w:val="22"/>
          <w:szCs w:val="20"/>
        </w:rPr>
        <w:t xml:space="preserve">Forecasting the models can </w:t>
      </w:r>
      <w:r w:rsidR="00AD5C99" w:rsidRPr="00471EEE">
        <w:rPr>
          <w:sz w:val="22"/>
          <w:szCs w:val="20"/>
        </w:rPr>
        <w:t xml:space="preserve">also </w:t>
      </w:r>
      <w:r w:rsidR="001C702C" w:rsidRPr="00471EEE">
        <w:rPr>
          <w:sz w:val="22"/>
          <w:szCs w:val="20"/>
        </w:rPr>
        <w:t>prove to be difficult seeing as there is not much asymptotic literature on the results of GARCH models to determine the significance of forecasts that are looking period ahead of the present.</w:t>
      </w:r>
      <w:r w:rsidR="00E20099" w:rsidRPr="00471EEE">
        <w:rPr>
          <w:sz w:val="22"/>
          <w:szCs w:val="20"/>
        </w:rPr>
        <w:t xml:space="preserve"> </w:t>
      </w:r>
      <w:r w:rsidR="00C742C3" w:rsidRPr="00471EEE">
        <w:rPr>
          <w:sz w:val="22"/>
          <w:szCs w:val="20"/>
        </w:rPr>
        <w:t xml:space="preserve">Another difficulty was in the lack of data on CEFs. The amount of data missing on Net Asset Value begs the question of the viability of using it as a proxy for CEF discounts when only data of about 60% of the CEFs was missing. </w:t>
      </w:r>
      <w:r w:rsidR="00886F91" w:rsidRPr="00471EEE">
        <w:rPr>
          <w:sz w:val="22"/>
          <w:szCs w:val="20"/>
        </w:rPr>
        <w:t xml:space="preserve">The outcomes of this paper show a potential hedging opportunity that could be explored with regards to a particular crisis period. The change in the variance of a particular portfolio can be used to </w:t>
      </w:r>
      <w:r w:rsidR="003660AB" w:rsidRPr="00471EEE">
        <w:rPr>
          <w:sz w:val="22"/>
          <w:szCs w:val="20"/>
        </w:rPr>
        <w:t xml:space="preserve">compare the impact of hedging. </w:t>
      </w:r>
      <w:r w:rsidR="004E709A" w:rsidRPr="00471EEE">
        <w:rPr>
          <w:sz w:val="22"/>
          <w:szCs w:val="20"/>
        </w:rPr>
        <w:t>C</w:t>
      </w:r>
      <w:r w:rsidR="00886F91" w:rsidRPr="00471EEE">
        <w:rPr>
          <w:sz w:val="22"/>
          <w:szCs w:val="20"/>
        </w:rPr>
        <w:t>alculate the minimum variances</w:t>
      </w:r>
      <w:r w:rsidR="003660AB" w:rsidRPr="00471EEE">
        <w:rPr>
          <w:sz w:val="22"/>
          <w:szCs w:val="20"/>
        </w:rPr>
        <w:t xml:space="preserve"> and</w:t>
      </w:r>
      <w:r w:rsidR="004E709A" w:rsidRPr="00471EEE">
        <w:rPr>
          <w:sz w:val="22"/>
          <w:szCs w:val="20"/>
        </w:rPr>
        <w:t xml:space="preserve"> change in</w:t>
      </w:r>
      <w:r w:rsidR="00886F91" w:rsidRPr="00471EEE">
        <w:rPr>
          <w:sz w:val="22"/>
          <w:szCs w:val="20"/>
        </w:rPr>
        <w:t xml:space="preserve"> returns of a portfolio hedged by VIX futures and one that is </w:t>
      </w:r>
      <w:r w:rsidR="0055177D" w:rsidRPr="00471EEE">
        <w:rPr>
          <w:sz w:val="22"/>
          <w:szCs w:val="20"/>
        </w:rPr>
        <w:t>unhedged</w:t>
      </w:r>
      <w:r w:rsidR="003660AB" w:rsidRPr="00471EEE">
        <w:rPr>
          <w:sz w:val="22"/>
          <w:szCs w:val="20"/>
        </w:rPr>
        <w:t xml:space="preserve"> across different forecast horizons</w:t>
      </w:r>
      <w:r w:rsidR="004E709A" w:rsidRPr="00471EEE">
        <w:rPr>
          <w:sz w:val="22"/>
          <w:szCs w:val="20"/>
        </w:rPr>
        <w:t xml:space="preserve"> is certainly one to consider in future studies</w:t>
      </w:r>
      <w:r w:rsidR="003660AB" w:rsidRPr="00471EEE">
        <w:rPr>
          <w:sz w:val="22"/>
          <w:szCs w:val="20"/>
        </w:rPr>
        <w:t xml:space="preserve">. </w:t>
      </w:r>
      <w:r w:rsidR="00886F91" w:rsidRPr="00471EEE">
        <w:rPr>
          <w:sz w:val="22"/>
          <w:szCs w:val="20"/>
        </w:rPr>
        <w:t xml:space="preserve">  </w:t>
      </w:r>
      <w:r w:rsidR="00033901" w:rsidRPr="00471EEE">
        <w:rPr>
          <w:sz w:val="22"/>
          <w:szCs w:val="20"/>
        </w:rPr>
        <w:t xml:space="preserve">Lastly, considering structural breaks in the VAR model or a VEC model could help mitigate some of the errors in our analysis as far as impulse response functions are concerned. </w:t>
      </w:r>
      <w:r w:rsidR="002B1396" w:rsidRPr="00471EEE">
        <w:rPr>
          <w:sz w:val="22"/>
          <w:szCs w:val="20"/>
        </w:rPr>
        <w:t>A mis-specified VAR model could often lead to spurious regression.</w:t>
      </w:r>
    </w:p>
    <w:p w14:paraId="6ED2DFA1" w14:textId="2ADA21E5" w:rsidR="00822358" w:rsidRPr="00471EEE" w:rsidRDefault="00822358" w:rsidP="000F167F">
      <w:pPr>
        <w:ind w:firstLine="0"/>
        <w:rPr>
          <w:sz w:val="22"/>
          <w:szCs w:val="20"/>
        </w:rPr>
      </w:pPr>
    </w:p>
    <w:p w14:paraId="4B198064" w14:textId="654A0595" w:rsidR="00022B98" w:rsidRPr="00471EEE" w:rsidRDefault="00822358" w:rsidP="00C742C3">
      <w:pPr>
        <w:pStyle w:val="Heading1"/>
        <w:ind w:firstLine="0"/>
        <w:rPr>
          <w:sz w:val="36"/>
          <w:szCs w:val="28"/>
        </w:rPr>
      </w:pPr>
      <w:bookmarkStart w:id="29" w:name="_Toc106747496"/>
      <w:r w:rsidRPr="00471EEE">
        <w:rPr>
          <w:sz w:val="36"/>
          <w:szCs w:val="28"/>
        </w:rPr>
        <w:t>5.0 CONCLUSION</w:t>
      </w:r>
      <w:bookmarkEnd w:id="29"/>
    </w:p>
    <w:p w14:paraId="6001E040" w14:textId="64B9C950" w:rsidR="00C742C3" w:rsidRPr="00471EEE" w:rsidRDefault="00C742C3" w:rsidP="00C742C3">
      <w:pPr>
        <w:rPr>
          <w:sz w:val="22"/>
          <w:szCs w:val="20"/>
        </w:rPr>
      </w:pPr>
      <w:r w:rsidRPr="00471EEE">
        <w:rPr>
          <w:sz w:val="22"/>
          <w:szCs w:val="20"/>
        </w:rPr>
        <w:t xml:space="preserve">Through our research, with respect to our data we can confirm the significance </w:t>
      </w:r>
      <w:r w:rsidR="00A61F9E" w:rsidRPr="00471EEE">
        <w:rPr>
          <w:sz w:val="22"/>
          <w:szCs w:val="20"/>
        </w:rPr>
        <w:t xml:space="preserve">of 3 of the factors outlined in the Baker and Wurlger (2006) sentiment index research. Using the VAR model failed to produce useful results on the impact of these sentiment indicators on </w:t>
      </w:r>
      <w:r w:rsidR="00A61F9E" w:rsidRPr="00471EEE">
        <w:rPr>
          <w:sz w:val="22"/>
          <w:szCs w:val="20"/>
        </w:rPr>
        <w:lastRenderedPageBreak/>
        <w:t xml:space="preserve">the VIX index. This may be attributed to spurious regression as the VAR model failed the ARCH test for non-constant variance and normality of residuals. The GJR-GARCH model confirms the nature of the negatively correlated relationship between the conditional variance in S&amp;P500 and the VIX index. The negative gamma </w:t>
      </w:r>
      <w:r w:rsidR="008F5603" w:rsidRPr="00471EEE">
        <w:rPr>
          <w:sz w:val="22"/>
          <w:szCs w:val="20"/>
        </w:rPr>
        <w:t xml:space="preserve">in the VIX index </w:t>
      </w:r>
      <w:r w:rsidR="00A61F9E" w:rsidRPr="00471EEE">
        <w:rPr>
          <w:sz w:val="22"/>
          <w:szCs w:val="20"/>
        </w:rPr>
        <w:t>may be attributed to the movement of corporate assets into VIX as a safe haven or hedge against market volatility</w:t>
      </w:r>
      <w:r w:rsidR="008F5603" w:rsidRPr="00471EEE">
        <w:rPr>
          <w:sz w:val="22"/>
          <w:szCs w:val="20"/>
        </w:rPr>
        <w:t xml:space="preserve"> and loss of returns</w:t>
      </w:r>
      <w:r w:rsidR="00EF5212" w:rsidRPr="00471EEE">
        <w:rPr>
          <w:sz w:val="22"/>
          <w:szCs w:val="20"/>
        </w:rPr>
        <w:t xml:space="preserve"> </w:t>
      </w:r>
      <w:r w:rsidR="00EF5212" w:rsidRPr="00471EEE">
        <w:rPr>
          <w:rFonts w:eastAsiaTheme="minorEastAsia"/>
          <w:sz w:val="22"/>
          <w:szCs w:val="20"/>
        </w:rPr>
        <w:t>(</w:t>
      </w:r>
      <w:r w:rsidR="00EF5212" w:rsidRPr="00471EEE">
        <w:rPr>
          <w:sz w:val="22"/>
          <w:szCs w:val="20"/>
        </w:rPr>
        <w:t>Stavroyiannis 2017)</w:t>
      </w:r>
      <w:r w:rsidR="008F5603" w:rsidRPr="00471EEE">
        <w:rPr>
          <w:sz w:val="22"/>
          <w:szCs w:val="20"/>
        </w:rPr>
        <w:t>. S&amp;P500 was initially more sensitive to the news of border closure than the VIX confirming an asymmetric response towards the negative whereas VIX towards the positive. As the correlation of the conditional variances of both series</w:t>
      </w:r>
      <w:r w:rsidR="0096365E" w:rsidRPr="00471EEE">
        <w:rPr>
          <w:sz w:val="22"/>
          <w:szCs w:val="20"/>
        </w:rPr>
        <w:t xml:space="preserve"> average around -0.8, we observe a joint persistence and spill over effect in the long-term and short-term volatilities of the two as evidenced by the significant joint betas and gammas.</w:t>
      </w:r>
    </w:p>
    <w:p w14:paraId="1B4D3C5A" w14:textId="7D1113B2" w:rsidR="007B277A" w:rsidRPr="00471EEE" w:rsidRDefault="007B277A" w:rsidP="00C742C3">
      <w:pPr>
        <w:rPr>
          <w:sz w:val="22"/>
          <w:szCs w:val="20"/>
        </w:rPr>
      </w:pPr>
    </w:p>
    <w:p w14:paraId="132D8D0D" w14:textId="5588E917" w:rsidR="007B277A" w:rsidRPr="00471EEE" w:rsidRDefault="007B277A" w:rsidP="00C742C3">
      <w:pPr>
        <w:rPr>
          <w:sz w:val="22"/>
          <w:szCs w:val="20"/>
        </w:rPr>
      </w:pPr>
    </w:p>
    <w:p w14:paraId="0062E822" w14:textId="6D700C7B" w:rsidR="007B277A" w:rsidRPr="00471EEE" w:rsidRDefault="007B277A" w:rsidP="00C742C3">
      <w:pPr>
        <w:rPr>
          <w:sz w:val="22"/>
          <w:szCs w:val="20"/>
        </w:rPr>
      </w:pPr>
    </w:p>
    <w:p w14:paraId="7E9BCA5C" w14:textId="198A0F4B" w:rsidR="007B277A" w:rsidRDefault="007B277A" w:rsidP="00C742C3">
      <w:pPr>
        <w:rPr>
          <w:sz w:val="22"/>
          <w:szCs w:val="20"/>
        </w:rPr>
      </w:pPr>
    </w:p>
    <w:p w14:paraId="60796EBC" w14:textId="2D9A0EDF" w:rsidR="003811FC" w:rsidRDefault="003811FC" w:rsidP="00C742C3">
      <w:pPr>
        <w:rPr>
          <w:sz w:val="22"/>
          <w:szCs w:val="20"/>
        </w:rPr>
      </w:pPr>
    </w:p>
    <w:p w14:paraId="0A393C0F" w14:textId="50C1C405" w:rsidR="003811FC" w:rsidRDefault="003811FC" w:rsidP="00C742C3">
      <w:pPr>
        <w:rPr>
          <w:sz w:val="22"/>
          <w:szCs w:val="20"/>
        </w:rPr>
      </w:pPr>
    </w:p>
    <w:p w14:paraId="3489D2FA" w14:textId="266F8E86" w:rsidR="003811FC" w:rsidRDefault="003811FC" w:rsidP="00C742C3">
      <w:pPr>
        <w:rPr>
          <w:sz w:val="22"/>
          <w:szCs w:val="20"/>
        </w:rPr>
      </w:pPr>
    </w:p>
    <w:p w14:paraId="20BB6C05" w14:textId="512BBE47" w:rsidR="003811FC" w:rsidRDefault="003811FC" w:rsidP="00C742C3">
      <w:pPr>
        <w:rPr>
          <w:sz w:val="22"/>
          <w:szCs w:val="20"/>
        </w:rPr>
      </w:pPr>
    </w:p>
    <w:p w14:paraId="162F880E" w14:textId="388347E5" w:rsidR="003811FC" w:rsidRDefault="003811FC" w:rsidP="00C742C3">
      <w:pPr>
        <w:rPr>
          <w:sz w:val="22"/>
          <w:szCs w:val="20"/>
        </w:rPr>
      </w:pPr>
    </w:p>
    <w:p w14:paraId="1F69E89F" w14:textId="3D0DD9BA" w:rsidR="003811FC" w:rsidRDefault="003811FC" w:rsidP="00C742C3">
      <w:pPr>
        <w:rPr>
          <w:sz w:val="22"/>
          <w:szCs w:val="20"/>
        </w:rPr>
      </w:pPr>
    </w:p>
    <w:p w14:paraId="576696BA" w14:textId="15B13577" w:rsidR="003811FC" w:rsidRDefault="003811FC" w:rsidP="00C742C3">
      <w:pPr>
        <w:rPr>
          <w:sz w:val="22"/>
          <w:szCs w:val="20"/>
        </w:rPr>
      </w:pPr>
    </w:p>
    <w:p w14:paraId="4A5CCC2E" w14:textId="6511D228" w:rsidR="003811FC" w:rsidRDefault="003811FC" w:rsidP="00C742C3">
      <w:pPr>
        <w:rPr>
          <w:sz w:val="22"/>
          <w:szCs w:val="20"/>
        </w:rPr>
      </w:pPr>
    </w:p>
    <w:p w14:paraId="77B83360" w14:textId="7097EAD3" w:rsidR="003811FC" w:rsidRDefault="003811FC" w:rsidP="00C742C3">
      <w:pPr>
        <w:rPr>
          <w:sz w:val="22"/>
          <w:szCs w:val="20"/>
        </w:rPr>
      </w:pPr>
    </w:p>
    <w:p w14:paraId="0F1891B9" w14:textId="3C9B1D6E" w:rsidR="003811FC" w:rsidRDefault="003811FC" w:rsidP="00C742C3">
      <w:pPr>
        <w:rPr>
          <w:sz w:val="22"/>
          <w:szCs w:val="20"/>
        </w:rPr>
      </w:pPr>
    </w:p>
    <w:p w14:paraId="25C4D9C8" w14:textId="77777777" w:rsidR="003811FC" w:rsidRPr="00471EEE" w:rsidRDefault="003811FC" w:rsidP="00C742C3">
      <w:pPr>
        <w:rPr>
          <w:sz w:val="22"/>
          <w:szCs w:val="20"/>
        </w:rPr>
      </w:pPr>
    </w:p>
    <w:p w14:paraId="5C42703D" w14:textId="0BE398D0" w:rsidR="00685B8C" w:rsidRDefault="00685B8C" w:rsidP="00CC5F1A">
      <w:pPr>
        <w:ind w:firstLine="0"/>
        <w:rPr>
          <w:sz w:val="22"/>
          <w:szCs w:val="20"/>
        </w:rPr>
      </w:pPr>
    </w:p>
    <w:p w14:paraId="356A1E28" w14:textId="77777777" w:rsidR="003811FC" w:rsidRPr="00471EEE" w:rsidRDefault="003811FC" w:rsidP="00CC5F1A">
      <w:pPr>
        <w:ind w:firstLine="0"/>
        <w:rPr>
          <w:sz w:val="22"/>
          <w:szCs w:val="20"/>
        </w:rPr>
      </w:pPr>
    </w:p>
    <w:p w14:paraId="20D37491" w14:textId="25B547B7" w:rsidR="007B277A" w:rsidRPr="00471EEE" w:rsidRDefault="007B277A" w:rsidP="007B277A">
      <w:pPr>
        <w:pStyle w:val="Heading1"/>
        <w:rPr>
          <w:sz w:val="36"/>
          <w:szCs w:val="28"/>
        </w:rPr>
      </w:pPr>
      <w:bookmarkStart w:id="30" w:name="_Toc106747497"/>
      <w:r w:rsidRPr="00471EEE">
        <w:rPr>
          <w:sz w:val="36"/>
          <w:szCs w:val="28"/>
        </w:rPr>
        <w:lastRenderedPageBreak/>
        <w:t>REF</w:t>
      </w:r>
      <w:r w:rsidR="00836313" w:rsidRPr="00471EEE">
        <w:rPr>
          <w:sz w:val="36"/>
          <w:szCs w:val="28"/>
        </w:rPr>
        <w:t>E</w:t>
      </w:r>
      <w:r w:rsidRPr="00471EEE">
        <w:rPr>
          <w:sz w:val="36"/>
          <w:szCs w:val="28"/>
        </w:rPr>
        <w:t>RENCES</w:t>
      </w:r>
      <w:bookmarkEnd w:id="30"/>
    </w:p>
    <w:p w14:paraId="5D24039E" w14:textId="77777777" w:rsidR="009E6626" w:rsidRPr="00471EEE" w:rsidRDefault="009E6626" w:rsidP="00803C49">
      <w:pPr>
        <w:rPr>
          <w:sz w:val="22"/>
          <w:szCs w:val="20"/>
        </w:rPr>
      </w:pPr>
    </w:p>
    <w:p w14:paraId="40CB8405" w14:textId="3E4F9AC2" w:rsidR="002757A7" w:rsidRPr="00471EEE" w:rsidRDefault="002757A7" w:rsidP="008448CF">
      <w:pPr>
        <w:ind w:left="720" w:hanging="720"/>
        <w:rPr>
          <w:sz w:val="22"/>
          <w:szCs w:val="20"/>
        </w:rPr>
      </w:pPr>
      <w:r w:rsidRPr="00471EEE">
        <w:rPr>
          <w:sz w:val="22"/>
          <w:szCs w:val="20"/>
        </w:rPr>
        <w:t>Baek, Seungho, Sunil K. Mohanty, and Mina Glambosky. 2020. "COVID-19 and Stock Market Volatility: An Industry Level Analysis." Finance Research Letters 37 (11): 101748. doi:https://doi.org/10.1016/j.frl.2020.101748. https://www.proquest.com/scholarly-journals/covid-19-stock-market-volatility-industry-level/docview/2440904326/se-2?accountid=10382.</w:t>
      </w:r>
    </w:p>
    <w:p w14:paraId="46E6A560" w14:textId="1EBE0E10" w:rsidR="00766DDE" w:rsidRPr="00471EEE" w:rsidRDefault="00766DDE" w:rsidP="008448CF">
      <w:pPr>
        <w:ind w:left="720" w:hanging="720"/>
        <w:rPr>
          <w:sz w:val="22"/>
          <w:szCs w:val="20"/>
        </w:rPr>
      </w:pPr>
      <w:r w:rsidRPr="00471EEE">
        <w:rPr>
          <w:sz w:val="22"/>
          <w:szCs w:val="20"/>
        </w:rPr>
        <w:t>Baker, Malcolm and Jeffrey Wurgler. 2000. "The Equity Share in New Issues and Aggregate Stock Returns." The Journal of Finance 55 (5) (10): 2219-2257. https://www.proquest.com/scholarly-journals/equity-share-new-issues-aggregate-stock-returns/docview/194717447/se-2?accountid=10382.</w:t>
      </w:r>
    </w:p>
    <w:p w14:paraId="7C7E2CF9" w14:textId="7C96DA2D" w:rsidR="00B14236" w:rsidRDefault="00B14236" w:rsidP="008448CF">
      <w:pPr>
        <w:ind w:left="720" w:hanging="720"/>
        <w:rPr>
          <w:sz w:val="22"/>
          <w:szCs w:val="20"/>
        </w:rPr>
      </w:pPr>
      <w:r w:rsidRPr="00B14236">
        <w:rPr>
          <w:sz w:val="22"/>
          <w:szCs w:val="20"/>
        </w:rPr>
        <w:t>Baker, Malcolm and Jeffrey Wurgler. 200</w:t>
      </w:r>
      <w:r>
        <w:rPr>
          <w:sz w:val="22"/>
          <w:szCs w:val="20"/>
        </w:rPr>
        <w:t>6</w:t>
      </w:r>
      <w:r w:rsidRPr="00B14236">
        <w:rPr>
          <w:sz w:val="22"/>
          <w:szCs w:val="20"/>
        </w:rPr>
        <w:t>. "</w:t>
      </w:r>
      <w:r w:rsidRPr="00B14236">
        <w:t xml:space="preserve"> </w:t>
      </w:r>
      <w:r w:rsidRPr="00B14236">
        <w:rPr>
          <w:sz w:val="22"/>
          <w:szCs w:val="20"/>
        </w:rPr>
        <w:t xml:space="preserve">Investor Sentiment and the Cross-Section of Stock Returns." The Journal of Finance </w:t>
      </w:r>
      <w:r>
        <w:rPr>
          <w:sz w:val="22"/>
          <w:szCs w:val="20"/>
        </w:rPr>
        <w:t>61</w:t>
      </w:r>
      <w:r w:rsidRPr="00B14236">
        <w:rPr>
          <w:sz w:val="22"/>
          <w:szCs w:val="20"/>
        </w:rPr>
        <w:t xml:space="preserve"> (</w:t>
      </w:r>
      <w:r>
        <w:rPr>
          <w:sz w:val="22"/>
          <w:szCs w:val="20"/>
        </w:rPr>
        <w:t>4</w:t>
      </w:r>
      <w:r w:rsidRPr="00B14236">
        <w:rPr>
          <w:sz w:val="22"/>
          <w:szCs w:val="20"/>
        </w:rPr>
        <w:t>): 1645-1680. https://doi.org/10.1111/j.1540-6261.2006.00885.x.</w:t>
      </w:r>
    </w:p>
    <w:p w14:paraId="77CB8CE2" w14:textId="2F44C674" w:rsidR="003C1619" w:rsidRDefault="003C1619" w:rsidP="008448CF">
      <w:pPr>
        <w:ind w:left="720" w:hanging="720"/>
        <w:rPr>
          <w:sz w:val="22"/>
          <w:szCs w:val="20"/>
        </w:rPr>
      </w:pPr>
      <w:r w:rsidRPr="003C1619">
        <w:rPr>
          <w:sz w:val="22"/>
          <w:szCs w:val="20"/>
        </w:rPr>
        <w:t>Baker, Malcolm and Je</w:t>
      </w:r>
      <w:r>
        <w:rPr>
          <w:sz w:val="22"/>
          <w:szCs w:val="20"/>
        </w:rPr>
        <w:t>remy C.</w:t>
      </w:r>
      <w:r w:rsidRPr="003C1619">
        <w:rPr>
          <w:sz w:val="22"/>
          <w:szCs w:val="20"/>
        </w:rPr>
        <w:t xml:space="preserve"> </w:t>
      </w:r>
      <w:r>
        <w:rPr>
          <w:sz w:val="22"/>
          <w:szCs w:val="20"/>
        </w:rPr>
        <w:t>Stein</w:t>
      </w:r>
      <w:r w:rsidRPr="003C1619">
        <w:rPr>
          <w:sz w:val="22"/>
          <w:szCs w:val="20"/>
        </w:rPr>
        <w:t>. 200</w:t>
      </w:r>
      <w:r>
        <w:rPr>
          <w:sz w:val="22"/>
          <w:szCs w:val="20"/>
        </w:rPr>
        <w:t>4</w:t>
      </w:r>
      <w:r w:rsidRPr="003C1619">
        <w:rPr>
          <w:sz w:val="22"/>
          <w:szCs w:val="20"/>
        </w:rPr>
        <w:t>. "</w:t>
      </w:r>
      <w:r w:rsidRPr="003C1619">
        <w:t xml:space="preserve"> </w:t>
      </w:r>
      <w:r w:rsidRPr="003C1619">
        <w:rPr>
          <w:sz w:val="22"/>
          <w:szCs w:val="20"/>
        </w:rPr>
        <w:t xml:space="preserve">Market liquidity as a sentiment indicator." Journal of Financial Markets </w:t>
      </w:r>
      <w:r>
        <w:rPr>
          <w:sz w:val="22"/>
          <w:szCs w:val="20"/>
        </w:rPr>
        <w:t>7</w:t>
      </w:r>
      <w:r w:rsidRPr="003C1619">
        <w:rPr>
          <w:sz w:val="22"/>
          <w:szCs w:val="20"/>
        </w:rPr>
        <w:t xml:space="preserve"> (</w:t>
      </w:r>
      <w:r>
        <w:rPr>
          <w:sz w:val="22"/>
          <w:szCs w:val="20"/>
        </w:rPr>
        <w:t>3</w:t>
      </w:r>
      <w:r w:rsidRPr="003C1619">
        <w:rPr>
          <w:sz w:val="22"/>
          <w:szCs w:val="20"/>
        </w:rPr>
        <w:t>): 271-299. https://doi.org/10.1016/j.finmar.2003.11.005.</w:t>
      </w:r>
    </w:p>
    <w:p w14:paraId="5F59CCCE" w14:textId="0B37D3F8" w:rsidR="0097552F" w:rsidRPr="00471EEE" w:rsidRDefault="0097552F" w:rsidP="008448CF">
      <w:pPr>
        <w:ind w:left="720" w:hanging="720"/>
        <w:rPr>
          <w:sz w:val="22"/>
          <w:szCs w:val="20"/>
        </w:rPr>
      </w:pPr>
      <w:r w:rsidRPr="00471EEE">
        <w:rPr>
          <w:sz w:val="22"/>
          <w:szCs w:val="20"/>
        </w:rPr>
        <w:t>Bilyk, Oleh, Paweł Sakowski, and Robert Ślepaczuk. 2020. Investing in VIX Futures Based on Rolling GARCH Models Forecasts. St. Louis: Federal Reserve Bank of St Louis. https://www.proquest.com/working-papers/investing-vix-futures-based-on-rolling-garch/docview/2586446942/se-2.</w:t>
      </w:r>
    </w:p>
    <w:p w14:paraId="69A63FC3" w14:textId="0CD4EB76" w:rsidR="00482D37" w:rsidRPr="00471EEE" w:rsidRDefault="00482D37" w:rsidP="008448CF">
      <w:pPr>
        <w:ind w:left="720" w:hanging="720"/>
        <w:rPr>
          <w:sz w:val="22"/>
          <w:szCs w:val="20"/>
        </w:rPr>
      </w:pPr>
      <w:r w:rsidRPr="00471EEE">
        <w:rPr>
          <w:sz w:val="22"/>
          <w:szCs w:val="20"/>
        </w:rPr>
        <w:t>Chen, Tong and Zhuo Huang. 2021. "Pricing VIX Options with Realized Volatility." The Journal of Futures Markets 41 (8) (08): 1180-1200. doi:https://doi.org/10.1002/fut.22201. https://www.proquest.com/scholarly-journals/pricing-vix-options-with-realized-volatility/docview/2552119007/se-2?accountid=10382.</w:t>
      </w:r>
    </w:p>
    <w:p w14:paraId="06F95EF1" w14:textId="790815BC" w:rsidR="007B083B" w:rsidRDefault="007B083B" w:rsidP="007B083B">
      <w:pPr>
        <w:ind w:left="720" w:hanging="720"/>
        <w:rPr>
          <w:sz w:val="22"/>
          <w:szCs w:val="20"/>
        </w:rPr>
      </w:pPr>
      <w:r w:rsidRPr="00471EEE">
        <w:rPr>
          <w:sz w:val="22"/>
          <w:szCs w:val="20"/>
        </w:rPr>
        <w:t>Chen</w:t>
      </w:r>
      <w:r>
        <w:rPr>
          <w:sz w:val="22"/>
          <w:szCs w:val="20"/>
        </w:rPr>
        <w:t>g</w:t>
      </w:r>
      <w:r w:rsidRPr="00471EEE">
        <w:rPr>
          <w:sz w:val="22"/>
          <w:szCs w:val="20"/>
        </w:rPr>
        <w:t xml:space="preserve">, </w:t>
      </w:r>
      <w:r w:rsidRPr="007B083B">
        <w:rPr>
          <w:sz w:val="22"/>
          <w:szCs w:val="20"/>
        </w:rPr>
        <w:t>Ing-Haw</w:t>
      </w:r>
      <w:r w:rsidRPr="00471EEE">
        <w:rPr>
          <w:sz w:val="22"/>
          <w:szCs w:val="20"/>
        </w:rPr>
        <w:t>. 202</w:t>
      </w:r>
      <w:r>
        <w:rPr>
          <w:sz w:val="22"/>
          <w:szCs w:val="20"/>
        </w:rPr>
        <w:t>0</w:t>
      </w:r>
      <w:r w:rsidRPr="00471EEE">
        <w:rPr>
          <w:sz w:val="22"/>
          <w:szCs w:val="20"/>
        </w:rPr>
        <w:t xml:space="preserve">. "Pricing VIX Options with Realized Volatility." </w:t>
      </w:r>
      <w:r w:rsidRPr="007B083B">
        <w:rPr>
          <w:sz w:val="22"/>
          <w:szCs w:val="20"/>
        </w:rPr>
        <w:t>The Review of Asset Pricing Studies</w:t>
      </w:r>
      <w:r w:rsidRPr="00471EEE">
        <w:rPr>
          <w:sz w:val="22"/>
          <w:szCs w:val="20"/>
        </w:rPr>
        <w:t xml:space="preserve"> </w:t>
      </w:r>
      <w:r>
        <w:rPr>
          <w:sz w:val="22"/>
          <w:szCs w:val="20"/>
        </w:rPr>
        <w:t>10</w:t>
      </w:r>
      <w:r w:rsidRPr="00471EEE">
        <w:rPr>
          <w:sz w:val="22"/>
          <w:szCs w:val="20"/>
        </w:rPr>
        <w:t xml:space="preserve"> (</w:t>
      </w:r>
      <w:r>
        <w:rPr>
          <w:sz w:val="22"/>
          <w:szCs w:val="20"/>
        </w:rPr>
        <w:t>4</w:t>
      </w:r>
      <w:r w:rsidRPr="00471EEE">
        <w:rPr>
          <w:sz w:val="22"/>
          <w:szCs w:val="20"/>
        </w:rPr>
        <w:t xml:space="preserve">): </w:t>
      </w:r>
      <w:r w:rsidRPr="007B083B">
        <w:rPr>
          <w:sz w:val="22"/>
          <w:szCs w:val="20"/>
        </w:rPr>
        <w:t>635–668</w:t>
      </w:r>
      <w:r w:rsidRPr="00471EEE">
        <w:rPr>
          <w:sz w:val="22"/>
          <w:szCs w:val="20"/>
        </w:rPr>
        <w:t xml:space="preserve">. </w:t>
      </w:r>
      <w:r w:rsidRPr="007B083B">
        <w:rPr>
          <w:sz w:val="22"/>
          <w:szCs w:val="20"/>
        </w:rPr>
        <w:t>https://doi.org/10.1093/rapstu/raaa010</w:t>
      </w:r>
      <w:r w:rsidRPr="00471EEE">
        <w:rPr>
          <w:sz w:val="22"/>
          <w:szCs w:val="20"/>
        </w:rPr>
        <w:t>.</w:t>
      </w:r>
    </w:p>
    <w:p w14:paraId="577582DF" w14:textId="572D7BF6" w:rsidR="00B1124D" w:rsidRPr="00471EEE" w:rsidRDefault="00B1124D" w:rsidP="008448CF">
      <w:pPr>
        <w:ind w:left="720" w:hanging="720"/>
        <w:rPr>
          <w:sz w:val="22"/>
          <w:szCs w:val="20"/>
        </w:rPr>
      </w:pPr>
      <w:r w:rsidRPr="00471EEE">
        <w:rPr>
          <w:sz w:val="22"/>
          <w:szCs w:val="20"/>
        </w:rPr>
        <w:t>Chia-Lin, Chang, Hsieh Tai-Lin, and Michael McAleer. 2018. "Connecting VIX and Stock Index ETF with VAR and Diagonal BEKK." Journal of Risk and Financial Management 11 (4): 58. doi:https://doi.org/10.3390/jrfm11040058. https://www.proquest.com/scholarly-journals/connecting-vix-stock-index-etf-with-var-diagonal/docview/2582803721/se-2.</w:t>
      </w:r>
    </w:p>
    <w:p w14:paraId="5D2C04DA" w14:textId="502893BB" w:rsidR="0097552F" w:rsidRPr="00471EEE" w:rsidRDefault="0097552F" w:rsidP="008448CF">
      <w:pPr>
        <w:ind w:left="720" w:hanging="720"/>
        <w:rPr>
          <w:sz w:val="22"/>
          <w:szCs w:val="20"/>
        </w:rPr>
      </w:pPr>
      <w:r w:rsidRPr="00471EEE">
        <w:rPr>
          <w:sz w:val="22"/>
          <w:szCs w:val="20"/>
        </w:rPr>
        <w:lastRenderedPageBreak/>
        <w:t>Dima, Bogdan, Ştefana Maria Dima, and Roxana Ioan. 2021. "Remarks on the Behaviour of Financial Market Efficiency during the COVID-19 Pandemic. the Case of VIX." Finance Research Letters 43 (11): 101967. doi:https://doi.org/10.1016/j.frl.2021.101967. https://www.proquest.com/scholarly-journals/remarks-on-behaviour-financial-market-efficiency/docview/2601486781/se-2?accountid=10382.</w:t>
      </w:r>
    </w:p>
    <w:p w14:paraId="1BF10D74" w14:textId="6C5D8FCB" w:rsidR="00864220" w:rsidRPr="00471EEE" w:rsidRDefault="00864220" w:rsidP="008448CF">
      <w:pPr>
        <w:ind w:left="720" w:hanging="720"/>
        <w:rPr>
          <w:sz w:val="22"/>
          <w:szCs w:val="20"/>
        </w:rPr>
      </w:pPr>
      <w:r w:rsidRPr="00471EEE">
        <w:rPr>
          <w:sz w:val="22"/>
          <w:szCs w:val="20"/>
        </w:rPr>
        <w:t>Glosten, Lawrence R., Ravi Jagannathan, and David E. Runkle. 1993. "On the Relation between the Expected Value and the Volatility of the Nominal Excess Return on Stocks." Journal of Finance 48 (5) (12): 1779-1801. https://www.proquest.com/scholarly-journals/on-relation-between-expected-value-volatility/docview/38480705/se-2.</w:t>
      </w:r>
    </w:p>
    <w:p w14:paraId="7425FDAC" w14:textId="09E11BB8" w:rsidR="00632EA8" w:rsidRPr="00471EEE" w:rsidRDefault="00632EA8" w:rsidP="008448CF">
      <w:pPr>
        <w:ind w:left="720" w:hanging="720"/>
        <w:rPr>
          <w:sz w:val="22"/>
          <w:szCs w:val="20"/>
        </w:rPr>
      </w:pPr>
      <w:r w:rsidRPr="00471EEE">
        <w:rPr>
          <w:sz w:val="22"/>
          <w:szCs w:val="20"/>
        </w:rPr>
        <w:t>Grima, Simon, Letife Özdemir, Ercan Özen, and Inna Romānova. 2021. "The Interactions between COVID-19 Cases in the USA, the VIX Index and Major Stock Markets." International Journal of Financial Studies 9 (2): 26. doi:https://doi.org/10.3390/ijfs9020026. https://www.proquest.com/scholarly-journals/interactions-between-covid-19-cases-usa-vix-index/docview/2544496352/se-2.</w:t>
      </w:r>
    </w:p>
    <w:p w14:paraId="60260FAE" w14:textId="38FAC397" w:rsidR="00AD3F0B" w:rsidRPr="00AD3F0B" w:rsidRDefault="00AD3F0B" w:rsidP="008448CF">
      <w:pPr>
        <w:ind w:left="720" w:hanging="720"/>
        <w:rPr>
          <w:sz w:val="22"/>
          <w:szCs w:val="20"/>
        </w:rPr>
      </w:pPr>
      <w:r w:rsidRPr="00AD3F0B">
        <w:rPr>
          <w:sz w:val="22"/>
          <w:szCs w:val="20"/>
        </w:rPr>
        <w:t>Jain</w:t>
      </w:r>
      <w:r>
        <w:rPr>
          <w:sz w:val="22"/>
          <w:szCs w:val="20"/>
        </w:rPr>
        <w:t xml:space="preserve">, </w:t>
      </w:r>
      <w:r w:rsidRPr="00AD3F0B">
        <w:rPr>
          <w:sz w:val="22"/>
          <w:szCs w:val="20"/>
        </w:rPr>
        <w:t>Devik and Noel Randewich</w:t>
      </w:r>
      <w:r>
        <w:rPr>
          <w:sz w:val="22"/>
          <w:szCs w:val="20"/>
        </w:rPr>
        <w:t>. 2022. “</w:t>
      </w:r>
      <w:r w:rsidRPr="00AD3F0B">
        <w:rPr>
          <w:sz w:val="22"/>
          <w:szCs w:val="20"/>
        </w:rPr>
        <w:t>Wall Street ends sharply lower as Ukraine crisis sows fear</w:t>
      </w:r>
      <w:r>
        <w:rPr>
          <w:sz w:val="22"/>
          <w:szCs w:val="20"/>
        </w:rPr>
        <w:t xml:space="preserve">”. </w:t>
      </w:r>
      <w:r>
        <w:rPr>
          <w:i/>
          <w:iCs/>
          <w:sz w:val="22"/>
          <w:szCs w:val="20"/>
        </w:rPr>
        <w:t>Reuters</w:t>
      </w:r>
      <w:r>
        <w:rPr>
          <w:sz w:val="22"/>
          <w:szCs w:val="20"/>
        </w:rPr>
        <w:t xml:space="preserve">, March 2, 2022. </w:t>
      </w:r>
      <w:r w:rsidRPr="00AD3F0B">
        <w:rPr>
          <w:sz w:val="22"/>
          <w:szCs w:val="20"/>
        </w:rPr>
        <w:t>https://www.reuters.com/business/futures-fall-russia-ukraine-crisis-escalates-2022-03-01/</w:t>
      </w:r>
    </w:p>
    <w:p w14:paraId="7F4ABFD5" w14:textId="577FE2A1" w:rsidR="006022E6" w:rsidRPr="00471EEE" w:rsidRDefault="006022E6" w:rsidP="008448CF">
      <w:pPr>
        <w:ind w:left="720" w:hanging="720"/>
        <w:rPr>
          <w:sz w:val="22"/>
          <w:szCs w:val="20"/>
        </w:rPr>
      </w:pPr>
      <w:r w:rsidRPr="00471EEE">
        <w:rPr>
          <w:sz w:val="22"/>
          <w:szCs w:val="20"/>
        </w:rPr>
        <w:t>Lei, Violet U. T. and So, Simon M. S. and Zou, Maggie. 2012. Investor Sentiment - Relationship between VIX and Trading Volume.  SSRN. http://dx.doi.org/10.2139/ssrn.2136802</w:t>
      </w:r>
    </w:p>
    <w:p w14:paraId="21B020A5" w14:textId="4075B919" w:rsidR="00B1124D" w:rsidRPr="00471EEE" w:rsidRDefault="00B1124D" w:rsidP="008448CF">
      <w:pPr>
        <w:ind w:left="720" w:hanging="720"/>
        <w:rPr>
          <w:sz w:val="22"/>
          <w:szCs w:val="20"/>
        </w:rPr>
      </w:pPr>
      <w:r w:rsidRPr="00471EEE">
        <w:rPr>
          <w:sz w:val="22"/>
          <w:szCs w:val="20"/>
        </w:rPr>
        <w:t>Liu, Qiang, Qiao Gaoxiu and Shuxin Guo. 2015 Variance Risk Premium and VIX Pricing: A Simple GARCH Approach. Sichuan: Southwestern University. http://dx.doi.org/10.2139/ssrn.2155993</w:t>
      </w:r>
    </w:p>
    <w:p w14:paraId="6644DA29" w14:textId="6C949F52" w:rsidR="00D2216C" w:rsidRDefault="00D2216C" w:rsidP="008448CF">
      <w:pPr>
        <w:ind w:left="720" w:hanging="720"/>
        <w:rPr>
          <w:sz w:val="22"/>
          <w:szCs w:val="20"/>
        </w:rPr>
      </w:pPr>
      <w:r w:rsidRPr="00D2216C">
        <w:rPr>
          <w:sz w:val="22"/>
          <w:szCs w:val="20"/>
        </w:rPr>
        <w:t>lplresearch</w:t>
      </w:r>
      <w:r>
        <w:rPr>
          <w:sz w:val="22"/>
          <w:szCs w:val="20"/>
        </w:rPr>
        <w:t>.</w:t>
      </w:r>
      <w:r w:rsidRPr="00D2216C">
        <w:rPr>
          <w:sz w:val="22"/>
          <w:szCs w:val="20"/>
        </w:rPr>
        <w:t xml:space="preserve"> 2022</w:t>
      </w:r>
      <w:r>
        <w:rPr>
          <w:sz w:val="22"/>
          <w:szCs w:val="20"/>
        </w:rPr>
        <w:t>. “</w:t>
      </w:r>
      <w:r w:rsidRPr="00D2216C">
        <w:rPr>
          <w:sz w:val="22"/>
          <w:szCs w:val="20"/>
        </w:rPr>
        <w:t>What Is the VIX Index And How Has It Responded To Russia-Ukraine Conflict?</w:t>
      </w:r>
      <w:r>
        <w:rPr>
          <w:sz w:val="22"/>
          <w:szCs w:val="20"/>
        </w:rPr>
        <w:t xml:space="preserve">. </w:t>
      </w:r>
      <w:r w:rsidRPr="00D2216C">
        <w:rPr>
          <w:sz w:val="22"/>
          <w:szCs w:val="20"/>
        </w:rPr>
        <w:t>Macro Market Movers</w:t>
      </w:r>
      <w:r>
        <w:rPr>
          <w:sz w:val="22"/>
          <w:szCs w:val="20"/>
        </w:rPr>
        <w:t xml:space="preserve">, </w:t>
      </w:r>
      <w:r w:rsidR="00EC122B">
        <w:rPr>
          <w:sz w:val="22"/>
          <w:szCs w:val="20"/>
        </w:rPr>
        <w:t xml:space="preserve">Accessed May 2022. </w:t>
      </w:r>
      <w:r w:rsidR="00EC122B" w:rsidRPr="00EC122B">
        <w:rPr>
          <w:sz w:val="22"/>
          <w:szCs w:val="20"/>
        </w:rPr>
        <w:t>https://lplresearch.com/2022/02/25/what-is-the-vix-index-and-how-has-it-responded-to-russia-ukraine-conflict/</w:t>
      </w:r>
      <w:r w:rsidR="00EC122B">
        <w:rPr>
          <w:sz w:val="22"/>
          <w:szCs w:val="20"/>
        </w:rPr>
        <w:t>.</w:t>
      </w:r>
    </w:p>
    <w:p w14:paraId="24CE9FE2" w14:textId="385D16EA" w:rsidR="00BB7426" w:rsidRDefault="00BB7426" w:rsidP="008448CF">
      <w:pPr>
        <w:ind w:left="720" w:hanging="720"/>
        <w:rPr>
          <w:sz w:val="22"/>
          <w:szCs w:val="20"/>
        </w:rPr>
      </w:pPr>
      <w:r w:rsidRPr="00BB7426">
        <w:rPr>
          <w:sz w:val="22"/>
          <w:szCs w:val="20"/>
        </w:rPr>
        <w:t>MCNEILL, ALAS TAIR. 2022. "MP Urges More Sanctions as Russia Invades Ukraine: Smith's Plea to Parliament." Stirling Observer, Feb 25, 6. https://www.proquest.com/newspapers/mp-urges-more-sanctions-as-russia-invades-ukraine/docview/2632246944/se-2?accountid=10382.</w:t>
      </w:r>
    </w:p>
    <w:p w14:paraId="6250A215" w14:textId="2B8EEAB3" w:rsidR="00B1124D" w:rsidRPr="00471EEE" w:rsidRDefault="00B1124D" w:rsidP="008448CF">
      <w:pPr>
        <w:ind w:left="720" w:hanging="720"/>
        <w:rPr>
          <w:sz w:val="22"/>
          <w:szCs w:val="20"/>
        </w:rPr>
      </w:pPr>
      <w:r w:rsidRPr="00471EEE">
        <w:rPr>
          <w:sz w:val="22"/>
          <w:szCs w:val="20"/>
        </w:rPr>
        <w:lastRenderedPageBreak/>
        <w:t>Peter, Reinhard Hansen, Zhuo Huang, Tong Chen, and Tianyi Wang. 2021. Realized GARCH, CBOE VIX, and the Volatility Risk Premium. Ithaca: Cornell University Library, arXiv.org. https://www.proquest.com/working-papers/realized-garch-cboe-vix-volatility-risk-premium/docview/2609530077/se-2.</w:t>
      </w:r>
    </w:p>
    <w:p w14:paraId="3E251EA5" w14:textId="0F6110E3" w:rsidR="00930D85" w:rsidRPr="00471EEE" w:rsidRDefault="00930D85" w:rsidP="008448CF">
      <w:pPr>
        <w:ind w:left="720" w:hanging="720"/>
        <w:rPr>
          <w:sz w:val="22"/>
          <w:szCs w:val="20"/>
        </w:rPr>
      </w:pPr>
      <w:r w:rsidRPr="00471EEE">
        <w:rPr>
          <w:sz w:val="22"/>
          <w:szCs w:val="20"/>
        </w:rPr>
        <w:t>Rahman, Mohammad Mazibar, Chi Guotai, Anupam Das Gupta, Mahmud Hossain and Mohammad Zoynul Abedin. 2021. Impact of early COVID-19 pandemic on the US and European stock markets and volatility forecasting, Economic Research-Ekonomska Istraživanja, doi: 10.1080/1331677X.2021.1997626</w:t>
      </w:r>
    </w:p>
    <w:p w14:paraId="7EE95918" w14:textId="41ECFBCE" w:rsidR="00CC5F1A" w:rsidRDefault="00CC5F1A" w:rsidP="008448CF">
      <w:pPr>
        <w:ind w:left="720" w:hanging="720"/>
        <w:rPr>
          <w:sz w:val="22"/>
          <w:szCs w:val="20"/>
        </w:rPr>
      </w:pPr>
      <w:r w:rsidRPr="00CC5F1A">
        <w:rPr>
          <w:sz w:val="22"/>
          <w:szCs w:val="20"/>
        </w:rPr>
        <w:t>REGULY, ERIC. 2020. "WHO Declares Coronavirus a Pandemic as Italy Shuts Down: GLOBAL CRISIS." The Globe and Mail, Mar 12. https://www.proquest.com/newspapers/who-declares-coronavirus-pandemic-as-italy-shuts/docview/2376109911/se-2?accountid=10382.</w:t>
      </w:r>
    </w:p>
    <w:p w14:paraId="658E506D" w14:textId="1CF85BE0" w:rsidR="008043B4" w:rsidRPr="00471EEE" w:rsidRDefault="008043B4" w:rsidP="008448CF">
      <w:pPr>
        <w:ind w:left="720" w:hanging="720"/>
        <w:rPr>
          <w:sz w:val="22"/>
          <w:szCs w:val="20"/>
        </w:rPr>
      </w:pPr>
      <w:r w:rsidRPr="00471EEE">
        <w:rPr>
          <w:sz w:val="22"/>
          <w:szCs w:val="20"/>
        </w:rPr>
        <w:t>Sharma, Sakshi, and Kunjana Malik. “Comovement of Fear Index, Stock Returns, Brent Oil Prices in BRIC Countries: The Case of COVID-19.” The Indian Economic Journal, (March 2022). https://doi.org/10.1177/00194662221082188.</w:t>
      </w:r>
    </w:p>
    <w:p w14:paraId="2CD470AC" w14:textId="2165C2CD" w:rsidR="007A0F72" w:rsidRDefault="007A0F72" w:rsidP="008448CF">
      <w:pPr>
        <w:ind w:left="720" w:hanging="720"/>
        <w:rPr>
          <w:sz w:val="22"/>
          <w:szCs w:val="20"/>
        </w:rPr>
      </w:pPr>
      <w:r>
        <w:rPr>
          <w:sz w:val="22"/>
          <w:szCs w:val="20"/>
        </w:rPr>
        <w:t>Smales, Lee.A. 2022. “</w:t>
      </w:r>
      <w:r w:rsidRPr="007A0F72">
        <w:rPr>
          <w:sz w:val="22"/>
          <w:szCs w:val="20"/>
        </w:rPr>
        <w:t>Spreading the fear: The central role of CBOE VIX in global stock market uncertainty</w:t>
      </w:r>
      <w:r>
        <w:rPr>
          <w:sz w:val="22"/>
          <w:szCs w:val="20"/>
        </w:rPr>
        <w:t xml:space="preserve">”. </w:t>
      </w:r>
      <w:r w:rsidRPr="007A0F72">
        <w:rPr>
          <w:sz w:val="22"/>
          <w:szCs w:val="20"/>
        </w:rPr>
        <w:t>Global Finance Journal</w:t>
      </w:r>
      <w:r>
        <w:rPr>
          <w:sz w:val="22"/>
          <w:szCs w:val="20"/>
        </w:rPr>
        <w:t xml:space="preserve"> 51 (</w:t>
      </w:r>
      <w:r w:rsidR="0033632C" w:rsidRPr="0033632C">
        <w:rPr>
          <w:sz w:val="22"/>
          <w:szCs w:val="20"/>
        </w:rPr>
        <w:t>100679</w:t>
      </w:r>
      <w:r>
        <w:rPr>
          <w:sz w:val="22"/>
          <w:szCs w:val="20"/>
        </w:rPr>
        <w:t>)</w:t>
      </w:r>
      <w:r w:rsidR="0033632C">
        <w:rPr>
          <w:sz w:val="22"/>
          <w:szCs w:val="20"/>
        </w:rPr>
        <w:t xml:space="preserve">. </w:t>
      </w:r>
      <w:r w:rsidR="0033632C" w:rsidRPr="0033632C">
        <w:rPr>
          <w:sz w:val="22"/>
          <w:szCs w:val="20"/>
        </w:rPr>
        <w:t>https://doi.org/10.1016/j.gfj.2021.100679</w:t>
      </w:r>
      <w:r w:rsidR="00396687">
        <w:rPr>
          <w:sz w:val="22"/>
          <w:szCs w:val="20"/>
        </w:rPr>
        <w:t>.</w:t>
      </w:r>
    </w:p>
    <w:p w14:paraId="75BA9DF2" w14:textId="33C878F0" w:rsidR="005C2DE7" w:rsidRPr="00471EEE" w:rsidRDefault="00B1124D" w:rsidP="008448CF">
      <w:pPr>
        <w:ind w:left="720" w:hanging="720"/>
        <w:rPr>
          <w:sz w:val="22"/>
          <w:szCs w:val="20"/>
        </w:rPr>
      </w:pPr>
      <w:r w:rsidRPr="00471EEE">
        <w:rPr>
          <w:sz w:val="22"/>
          <w:szCs w:val="20"/>
        </w:rPr>
        <w:t xml:space="preserve">Stavroyiannis, Stavros. 2017. A Note on the Nelson Cao Inequality Constraints in the GJR-GARCH Model: Is there a Leverage Effect?. Ithaca: Cornell University Library, arXiv.org. </w:t>
      </w:r>
      <w:r w:rsidR="00540FBC" w:rsidRPr="00471EEE">
        <w:rPr>
          <w:sz w:val="22"/>
          <w:szCs w:val="20"/>
        </w:rPr>
        <w:t>https://www.proquest.com/working-papers/note-on-nelson-cao-inequality-constraints-gjr/docview/2074239634/se-2</w:t>
      </w:r>
      <w:r w:rsidRPr="00471EEE">
        <w:rPr>
          <w:sz w:val="22"/>
          <w:szCs w:val="20"/>
        </w:rPr>
        <w:t>.</w:t>
      </w:r>
    </w:p>
    <w:p w14:paraId="7E56FE32" w14:textId="58DBE0F5" w:rsidR="00577316" w:rsidRPr="00471EEE" w:rsidRDefault="00577316" w:rsidP="008448CF">
      <w:pPr>
        <w:ind w:left="720" w:hanging="720"/>
        <w:rPr>
          <w:sz w:val="22"/>
          <w:szCs w:val="20"/>
        </w:rPr>
      </w:pPr>
      <w:r w:rsidRPr="00471EEE">
        <w:rPr>
          <w:sz w:val="22"/>
          <w:szCs w:val="20"/>
        </w:rPr>
        <w:t>Tibshirani, R. 1996. "Regression Shrinkage and Selection Via the Lasso." Journal of the Royal Statistical Society 58 (1): 267-288. https://www.proquest.com/scholarly-journals/regression-shrinkage-selection-via-lasso/docview/38901058/se-2?accountid=10382.</w:t>
      </w:r>
    </w:p>
    <w:p w14:paraId="03A20553" w14:textId="085576F7" w:rsidR="00396687" w:rsidRDefault="00396687" w:rsidP="008448CF">
      <w:pPr>
        <w:ind w:left="720" w:hanging="720"/>
        <w:rPr>
          <w:sz w:val="22"/>
          <w:szCs w:val="20"/>
        </w:rPr>
      </w:pPr>
      <w:r>
        <w:rPr>
          <w:sz w:val="22"/>
          <w:szCs w:val="20"/>
        </w:rPr>
        <w:t>Vera-Valdes</w:t>
      </w:r>
      <w:r w:rsidRPr="00396687">
        <w:rPr>
          <w:sz w:val="22"/>
          <w:szCs w:val="20"/>
        </w:rPr>
        <w:t xml:space="preserve">, </w:t>
      </w:r>
      <w:r>
        <w:rPr>
          <w:sz w:val="22"/>
          <w:szCs w:val="20"/>
        </w:rPr>
        <w:t>J. Eduardo</w:t>
      </w:r>
      <w:r w:rsidRPr="00396687">
        <w:rPr>
          <w:sz w:val="22"/>
          <w:szCs w:val="20"/>
        </w:rPr>
        <w:t>. 2022. “The persistence of financial volatility after COVID-19”. Finance Research Letters</w:t>
      </w:r>
      <w:r>
        <w:rPr>
          <w:sz w:val="22"/>
          <w:szCs w:val="20"/>
        </w:rPr>
        <w:t xml:space="preserve"> 44</w:t>
      </w:r>
      <w:r w:rsidRPr="00396687">
        <w:rPr>
          <w:sz w:val="22"/>
          <w:szCs w:val="20"/>
        </w:rPr>
        <w:t xml:space="preserve"> (102056). https://doi.org/10.1016/j.frl.2021.102056</w:t>
      </w:r>
      <w:r>
        <w:rPr>
          <w:sz w:val="22"/>
          <w:szCs w:val="20"/>
        </w:rPr>
        <w:t>.</w:t>
      </w:r>
    </w:p>
    <w:p w14:paraId="282B9D45" w14:textId="57EEEA5E" w:rsidR="00540FBC" w:rsidRPr="00471EEE" w:rsidRDefault="00540FBC" w:rsidP="008448CF">
      <w:pPr>
        <w:ind w:left="720" w:hanging="720"/>
        <w:rPr>
          <w:sz w:val="22"/>
          <w:szCs w:val="20"/>
        </w:rPr>
      </w:pPr>
      <w:r w:rsidRPr="00471EEE">
        <w:rPr>
          <w:sz w:val="22"/>
          <w:szCs w:val="20"/>
        </w:rPr>
        <w:t>Wang, Qing, Mo Bai, and Mai Huang. 2021. "Empirical Examination on the Drivers of the U.S. Equity Returns in the during the COVID-19 Crisis." Frontiers in Public Health 9: 679475. doi:https://doi.org/10.3389/fpubh.2021.679475. https://www.proquest.com/scholarly-journals/empirical-examination-on-drivers-u-s-equity/docview/2538049488/se-2?accountid=10382.</w:t>
      </w:r>
    </w:p>
    <w:p w14:paraId="2A305AFB" w14:textId="77777777" w:rsidR="00A473FC" w:rsidRPr="00471EEE" w:rsidRDefault="00A473FC" w:rsidP="005217A4">
      <w:pPr>
        <w:rPr>
          <w:sz w:val="22"/>
          <w:szCs w:val="20"/>
        </w:rPr>
      </w:pPr>
    </w:p>
    <w:p w14:paraId="7C1A8FDD" w14:textId="77777777" w:rsidR="006C05C8" w:rsidRPr="00471EEE" w:rsidRDefault="006C05C8" w:rsidP="005217A4">
      <w:pPr>
        <w:rPr>
          <w:sz w:val="22"/>
          <w:szCs w:val="20"/>
        </w:rPr>
      </w:pPr>
    </w:p>
    <w:p w14:paraId="68A58501" w14:textId="77777777" w:rsidR="009834BB" w:rsidRPr="00471EEE" w:rsidRDefault="009834BB" w:rsidP="005217A4">
      <w:pPr>
        <w:rPr>
          <w:sz w:val="22"/>
          <w:szCs w:val="20"/>
        </w:rPr>
      </w:pPr>
    </w:p>
    <w:sectPr w:rsidR="009834BB" w:rsidRPr="00471EEE" w:rsidSect="009456E3">
      <w:pgSz w:w="11906" w:h="16838"/>
      <w:pgMar w:top="1191" w:right="1474" w:bottom="1191" w:left="181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4EF7B" w14:textId="77777777" w:rsidR="00004D0A" w:rsidRDefault="00004D0A" w:rsidP="00BB05BC">
      <w:pPr>
        <w:spacing w:after="0" w:line="240" w:lineRule="auto"/>
      </w:pPr>
      <w:r>
        <w:separator/>
      </w:r>
    </w:p>
  </w:endnote>
  <w:endnote w:type="continuationSeparator" w:id="0">
    <w:p w14:paraId="0FF9DBC0" w14:textId="77777777" w:rsidR="00004D0A" w:rsidRDefault="00004D0A" w:rsidP="00BB0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4353062"/>
      <w:docPartObj>
        <w:docPartGallery w:val="Page Numbers (Bottom of Page)"/>
        <w:docPartUnique/>
      </w:docPartObj>
    </w:sdtPr>
    <w:sdtEndPr>
      <w:rPr>
        <w:noProof/>
      </w:rPr>
    </w:sdtEndPr>
    <w:sdtContent>
      <w:p w14:paraId="77F76BC4" w14:textId="72D75938" w:rsidR="00A55F16" w:rsidRDefault="00A55F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A01190" w14:textId="77777777" w:rsidR="00BB05BC" w:rsidRDefault="00BB0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80984" w14:textId="77777777" w:rsidR="00004D0A" w:rsidRDefault="00004D0A" w:rsidP="00BB05BC">
      <w:pPr>
        <w:spacing w:after="0" w:line="240" w:lineRule="auto"/>
      </w:pPr>
      <w:r>
        <w:separator/>
      </w:r>
    </w:p>
  </w:footnote>
  <w:footnote w:type="continuationSeparator" w:id="0">
    <w:p w14:paraId="54098F4C" w14:textId="77777777" w:rsidR="00004D0A" w:rsidRDefault="00004D0A" w:rsidP="00BB05BC">
      <w:pPr>
        <w:spacing w:after="0" w:line="240" w:lineRule="auto"/>
      </w:pPr>
      <w:r>
        <w:continuationSeparator/>
      </w:r>
    </w:p>
  </w:footnote>
  <w:footnote w:id="1">
    <w:p w14:paraId="1558288F" w14:textId="45296D21" w:rsidR="003C7208" w:rsidRDefault="003C7208">
      <w:pPr>
        <w:pStyle w:val="FootnoteText"/>
      </w:pPr>
      <w:r>
        <w:rPr>
          <w:rStyle w:val="FootnoteReference"/>
        </w:rPr>
        <w:footnoteRef/>
      </w:r>
      <w:r>
        <w:t xml:space="preserve"> Source: adapted from monthly data at </w:t>
      </w:r>
      <w:hyperlink r:id="rId1" w:history="1">
        <w:r w:rsidRPr="00A2750E">
          <w:rPr>
            <w:rStyle w:val="Hyperlink"/>
          </w:rPr>
          <w:t>https://www.federalreserve.gov/data/corpsecure/current.htm</w:t>
        </w:r>
      </w:hyperlink>
      <w:r>
        <w:t xml:space="preserve">. The calculated only included Bonds plus Stocks as the total. The stocks share of that total was what we defined as the share of equities issued that month. </w:t>
      </w:r>
    </w:p>
  </w:footnote>
  <w:footnote w:id="2">
    <w:p w14:paraId="78471CC4" w14:textId="35FF6A89" w:rsidR="00843DE3" w:rsidRPr="00843DE3" w:rsidRDefault="00843DE3">
      <w:pPr>
        <w:pStyle w:val="FootnoteText"/>
        <w:rPr>
          <w:lang w:val="en-US"/>
        </w:rPr>
      </w:pPr>
      <w:r>
        <w:rPr>
          <w:rStyle w:val="FootnoteReference"/>
        </w:rPr>
        <w:footnoteRef/>
      </w:r>
      <w:r>
        <w:t xml:space="preserve"> </w:t>
      </w:r>
      <w:r>
        <w:rPr>
          <w:lang w:val="en-US"/>
        </w:rPr>
        <w:t>Source: adapted from WRDS</w:t>
      </w:r>
      <w:r w:rsidR="00457893">
        <w:rPr>
          <w:lang w:val="en-US"/>
        </w:rPr>
        <w:t xml:space="preserve"> </w:t>
      </w:r>
      <w:r w:rsidR="001F6D5A">
        <w:rPr>
          <w:lang w:val="en-US"/>
        </w:rPr>
        <w:t xml:space="preserve">SAS query </w:t>
      </w:r>
      <w:r w:rsidR="00457893" w:rsidRPr="00457893">
        <w:rPr>
          <w:lang w:val="en-US"/>
        </w:rPr>
        <w:t>https://wrds-www.wharton.upenn.edu/pages/support/applications/programming-examples-and-other-topics/guide-closed-end-funds/#accessing-closed-end-fund-data-through-wrds</w:t>
      </w:r>
    </w:p>
  </w:footnote>
  <w:footnote w:id="3">
    <w:p w14:paraId="79D99B76" w14:textId="55B39B09" w:rsidR="002F121C" w:rsidRPr="002F121C" w:rsidRDefault="002F121C">
      <w:pPr>
        <w:pStyle w:val="FootnoteText"/>
        <w:rPr>
          <w:lang w:val="en-US"/>
        </w:rPr>
      </w:pPr>
      <w:r>
        <w:rPr>
          <w:rStyle w:val="FootnoteReference"/>
        </w:rPr>
        <w:footnoteRef/>
      </w:r>
      <w:r>
        <w:t xml:space="preserve"> </w:t>
      </w:r>
      <w:r>
        <w:rPr>
          <w:lang w:val="en-US"/>
        </w:rPr>
        <w:t xml:space="preserve">Source: adapted from WRDS </w:t>
      </w:r>
      <w:r w:rsidR="00EC7B6A" w:rsidRPr="00EC7B6A">
        <w:rPr>
          <w:lang w:val="en-US"/>
        </w:rPr>
        <w:t>https://wrds-www.wharton.upenn.edu/pages/get-data/compustat-capital-iq-standard-poors/compustat/north-america-daily/security-</w:t>
      </w:r>
      <w:r w:rsidR="00EC6227">
        <w:rPr>
          <w:lang w:val="en-US"/>
        </w:rPr>
        <w:t>daily</w:t>
      </w:r>
      <w:r w:rsidR="00EC7B6A" w:rsidRPr="00EC7B6A">
        <w:rPr>
          <w:lang w:val="en-US"/>
        </w:rPr>
        <w:t>/</w:t>
      </w:r>
    </w:p>
  </w:footnote>
  <w:footnote w:id="4">
    <w:p w14:paraId="73357270" w14:textId="5A534558" w:rsidR="0023152E" w:rsidRPr="0023152E" w:rsidRDefault="0023152E">
      <w:pPr>
        <w:pStyle w:val="FootnoteText"/>
        <w:rPr>
          <w:lang w:val="en-US"/>
        </w:rPr>
      </w:pPr>
      <w:r>
        <w:rPr>
          <w:rStyle w:val="FootnoteReference"/>
        </w:rPr>
        <w:footnoteRef/>
      </w:r>
      <w:r>
        <w:t xml:space="preserve"> </w:t>
      </w:r>
      <w:r w:rsidR="007A5214">
        <w:rPr>
          <w:lang w:val="en-US"/>
        </w:rPr>
        <w:t xml:space="preserve">Source: adapted from WRDS. Accessed 5 May 2022. </w:t>
      </w:r>
      <w:r w:rsidR="007A5214" w:rsidRPr="007A5214">
        <w:rPr>
          <w:lang w:val="en-US"/>
        </w:rPr>
        <w:t>https://wrds-www.wharton.upenn.edu/pages/support/manuals-and-overviews/i-b-e-s/ibes-estimates/wrds-research-notes/measuring-divergence-investors-opinion/</w:t>
      </w:r>
    </w:p>
  </w:footnote>
  <w:footnote w:id="5">
    <w:p w14:paraId="18437982" w14:textId="1914EB60" w:rsidR="00BA34EB" w:rsidRPr="00BA34EB" w:rsidRDefault="00BA34EB">
      <w:pPr>
        <w:pStyle w:val="FootnoteText"/>
        <w:rPr>
          <w:lang w:val="en-US"/>
        </w:rPr>
      </w:pPr>
      <w:r>
        <w:rPr>
          <w:rStyle w:val="FootnoteReference"/>
        </w:rPr>
        <w:footnoteRef/>
      </w:r>
      <w:r>
        <w:t xml:space="preserve"> </w:t>
      </w:r>
      <w:r w:rsidR="00CE1FAC">
        <w:rPr>
          <w:lang w:val="en-US"/>
        </w:rPr>
        <w:t xml:space="preserve">Source: adapted from WRDS </w:t>
      </w:r>
      <w:r w:rsidR="00CE1FAC" w:rsidRPr="00EC7B6A">
        <w:rPr>
          <w:lang w:val="en-US"/>
        </w:rPr>
        <w:t>https://wrds-www.wharton.upenn.edu/pages/get-data/compustat-capital-iq-standard-poors/compustat/north-america-daily/security-</w:t>
      </w:r>
      <w:r w:rsidR="00CE1FAC">
        <w:rPr>
          <w:lang w:val="en-US"/>
        </w:rPr>
        <w:t>daily</w:t>
      </w:r>
      <w:r w:rsidR="00CE1FAC" w:rsidRPr="00EC7B6A">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023F6"/>
    <w:multiLevelType w:val="hybridMultilevel"/>
    <w:tmpl w:val="B2A84BDA"/>
    <w:lvl w:ilvl="0" w:tplc="0C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B45960"/>
    <w:multiLevelType w:val="hybridMultilevel"/>
    <w:tmpl w:val="11B215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8320985"/>
    <w:multiLevelType w:val="multilevel"/>
    <w:tmpl w:val="E11CA250"/>
    <w:lvl w:ilvl="0">
      <w:start w:val="1"/>
      <w:numFmt w:val="decimal"/>
      <w:lvlText w:val="%1.0"/>
      <w:lvlJc w:val="left"/>
      <w:pPr>
        <w:ind w:left="555" w:hanging="555"/>
      </w:pPr>
      <w:rPr>
        <w:rFonts w:hint="default"/>
      </w:rPr>
    </w:lvl>
    <w:lvl w:ilvl="1">
      <w:start w:val="1"/>
      <w:numFmt w:val="decimal"/>
      <w:lvlText w:val="%1.%2"/>
      <w:lvlJc w:val="left"/>
      <w:pPr>
        <w:ind w:left="1275" w:hanging="55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70B304D"/>
    <w:multiLevelType w:val="multilevel"/>
    <w:tmpl w:val="4A4E1E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num w:numId="1" w16cid:durableId="330912747">
    <w:abstractNumId w:val="1"/>
  </w:num>
  <w:num w:numId="2" w16cid:durableId="1607226762">
    <w:abstractNumId w:val="0"/>
  </w:num>
  <w:num w:numId="3" w16cid:durableId="1004281891">
    <w:abstractNumId w:val="2"/>
  </w:num>
  <w:num w:numId="4" w16cid:durableId="645663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36D6"/>
    <w:rsid w:val="000019B9"/>
    <w:rsid w:val="00004D0A"/>
    <w:rsid w:val="00005269"/>
    <w:rsid w:val="00012D51"/>
    <w:rsid w:val="0001754C"/>
    <w:rsid w:val="0002111D"/>
    <w:rsid w:val="00022B98"/>
    <w:rsid w:val="000242CD"/>
    <w:rsid w:val="00025ABB"/>
    <w:rsid w:val="000269A6"/>
    <w:rsid w:val="00032E55"/>
    <w:rsid w:val="00033901"/>
    <w:rsid w:val="00035757"/>
    <w:rsid w:val="00040C9A"/>
    <w:rsid w:val="000513E9"/>
    <w:rsid w:val="00051C2C"/>
    <w:rsid w:val="00053937"/>
    <w:rsid w:val="00053AE1"/>
    <w:rsid w:val="0005728E"/>
    <w:rsid w:val="00060F86"/>
    <w:rsid w:val="00063A17"/>
    <w:rsid w:val="00064E20"/>
    <w:rsid w:val="00065634"/>
    <w:rsid w:val="00072ADF"/>
    <w:rsid w:val="000764BC"/>
    <w:rsid w:val="000802B0"/>
    <w:rsid w:val="0008513E"/>
    <w:rsid w:val="00085F7F"/>
    <w:rsid w:val="00087101"/>
    <w:rsid w:val="00093D31"/>
    <w:rsid w:val="00096272"/>
    <w:rsid w:val="000C102F"/>
    <w:rsid w:val="000C5845"/>
    <w:rsid w:val="000C68C6"/>
    <w:rsid w:val="000D1BA5"/>
    <w:rsid w:val="000D402D"/>
    <w:rsid w:val="000D6614"/>
    <w:rsid w:val="000E1C7A"/>
    <w:rsid w:val="000E486C"/>
    <w:rsid w:val="000E62DB"/>
    <w:rsid w:val="000F167F"/>
    <w:rsid w:val="000F1FDB"/>
    <w:rsid w:val="000F4C2E"/>
    <w:rsid w:val="001055D8"/>
    <w:rsid w:val="00127C94"/>
    <w:rsid w:val="00131B14"/>
    <w:rsid w:val="001326C0"/>
    <w:rsid w:val="00133194"/>
    <w:rsid w:val="001426CD"/>
    <w:rsid w:val="00144377"/>
    <w:rsid w:val="00151672"/>
    <w:rsid w:val="0016208C"/>
    <w:rsid w:val="00164BE9"/>
    <w:rsid w:val="00164DE3"/>
    <w:rsid w:val="00170DBD"/>
    <w:rsid w:val="001743E9"/>
    <w:rsid w:val="0019179F"/>
    <w:rsid w:val="00194BD4"/>
    <w:rsid w:val="00194F63"/>
    <w:rsid w:val="00195D79"/>
    <w:rsid w:val="001B3E19"/>
    <w:rsid w:val="001C2E73"/>
    <w:rsid w:val="001C5190"/>
    <w:rsid w:val="001C6CF6"/>
    <w:rsid w:val="001C702C"/>
    <w:rsid w:val="001D21BB"/>
    <w:rsid w:val="001D69C9"/>
    <w:rsid w:val="001F49DD"/>
    <w:rsid w:val="001F6D5A"/>
    <w:rsid w:val="0020584E"/>
    <w:rsid w:val="002231A5"/>
    <w:rsid w:val="002270A3"/>
    <w:rsid w:val="0023152E"/>
    <w:rsid w:val="0024278F"/>
    <w:rsid w:val="00244779"/>
    <w:rsid w:val="00245657"/>
    <w:rsid w:val="00257A8F"/>
    <w:rsid w:val="002645C1"/>
    <w:rsid w:val="0026534B"/>
    <w:rsid w:val="0027327C"/>
    <w:rsid w:val="00274C5E"/>
    <w:rsid w:val="002757A7"/>
    <w:rsid w:val="00281E6A"/>
    <w:rsid w:val="002830A9"/>
    <w:rsid w:val="00292058"/>
    <w:rsid w:val="002A409A"/>
    <w:rsid w:val="002B1396"/>
    <w:rsid w:val="002B51BD"/>
    <w:rsid w:val="002B724C"/>
    <w:rsid w:val="002B7574"/>
    <w:rsid w:val="002C274E"/>
    <w:rsid w:val="002C5D47"/>
    <w:rsid w:val="002C66D8"/>
    <w:rsid w:val="002D0BE0"/>
    <w:rsid w:val="002D1B8D"/>
    <w:rsid w:val="002D6A8F"/>
    <w:rsid w:val="002F121C"/>
    <w:rsid w:val="002F3341"/>
    <w:rsid w:val="002F3B7A"/>
    <w:rsid w:val="002F65F8"/>
    <w:rsid w:val="003065AE"/>
    <w:rsid w:val="0030792E"/>
    <w:rsid w:val="00307B2C"/>
    <w:rsid w:val="00311C02"/>
    <w:rsid w:val="00311E3C"/>
    <w:rsid w:val="003176AA"/>
    <w:rsid w:val="00323E81"/>
    <w:rsid w:val="0033632C"/>
    <w:rsid w:val="00336AFB"/>
    <w:rsid w:val="00351FFD"/>
    <w:rsid w:val="003541A6"/>
    <w:rsid w:val="003547A8"/>
    <w:rsid w:val="00357897"/>
    <w:rsid w:val="003611AD"/>
    <w:rsid w:val="003639A6"/>
    <w:rsid w:val="003660AB"/>
    <w:rsid w:val="003778C5"/>
    <w:rsid w:val="003811FC"/>
    <w:rsid w:val="00386E38"/>
    <w:rsid w:val="00392F4A"/>
    <w:rsid w:val="00393775"/>
    <w:rsid w:val="0039609A"/>
    <w:rsid w:val="00396687"/>
    <w:rsid w:val="00397E8C"/>
    <w:rsid w:val="003A588A"/>
    <w:rsid w:val="003B57EF"/>
    <w:rsid w:val="003C1619"/>
    <w:rsid w:val="003C3BEF"/>
    <w:rsid w:val="003C7208"/>
    <w:rsid w:val="003D0802"/>
    <w:rsid w:val="003D2249"/>
    <w:rsid w:val="003D50B2"/>
    <w:rsid w:val="003E7B68"/>
    <w:rsid w:val="004078BE"/>
    <w:rsid w:val="00412663"/>
    <w:rsid w:val="0041548B"/>
    <w:rsid w:val="00432E8A"/>
    <w:rsid w:val="00440A02"/>
    <w:rsid w:val="004417F8"/>
    <w:rsid w:val="00442C56"/>
    <w:rsid w:val="00446C00"/>
    <w:rsid w:val="00450448"/>
    <w:rsid w:val="0045132B"/>
    <w:rsid w:val="0045332D"/>
    <w:rsid w:val="00457893"/>
    <w:rsid w:val="004636D6"/>
    <w:rsid w:val="004711E2"/>
    <w:rsid w:val="00471EEE"/>
    <w:rsid w:val="00472573"/>
    <w:rsid w:val="0047322D"/>
    <w:rsid w:val="00477EA8"/>
    <w:rsid w:val="00482D37"/>
    <w:rsid w:val="004847E1"/>
    <w:rsid w:val="004910DB"/>
    <w:rsid w:val="004921B5"/>
    <w:rsid w:val="00494E1D"/>
    <w:rsid w:val="00495AF9"/>
    <w:rsid w:val="004A4B62"/>
    <w:rsid w:val="004A6F15"/>
    <w:rsid w:val="004B667E"/>
    <w:rsid w:val="004E6A14"/>
    <w:rsid w:val="004E709A"/>
    <w:rsid w:val="004F13C5"/>
    <w:rsid w:val="004F57DB"/>
    <w:rsid w:val="00503023"/>
    <w:rsid w:val="0051104A"/>
    <w:rsid w:val="00514AE8"/>
    <w:rsid w:val="00517676"/>
    <w:rsid w:val="005217A4"/>
    <w:rsid w:val="005241F6"/>
    <w:rsid w:val="00527408"/>
    <w:rsid w:val="00530214"/>
    <w:rsid w:val="00531EB1"/>
    <w:rsid w:val="00533296"/>
    <w:rsid w:val="00536F74"/>
    <w:rsid w:val="005405B5"/>
    <w:rsid w:val="00540FBC"/>
    <w:rsid w:val="0054119C"/>
    <w:rsid w:val="00542644"/>
    <w:rsid w:val="0055177D"/>
    <w:rsid w:val="0055445F"/>
    <w:rsid w:val="00554EE9"/>
    <w:rsid w:val="00572A7E"/>
    <w:rsid w:val="00573552"/>
    <w:rsid w:val="005763D3"/>
    <w:rsid w:val="00577316"/>
    <w:rsid w:val="0059753A"/>
    <w:rsid w:val="005A23DA"/>
    <w:rsid w:val="005B3053"/>
    <w:rsid w:val="005B5E0D"/>
    <w:rsid w:val="005B66D2"/>
    <w:rsid w:val="005B7D6A"/>
    <w:rsid w:val="005C2DE7"/>
    <w:rsid w:val="005D5D6B"/>
    <w:rsid w:val="005E201F"/>
    <w:rsid w:val="006022E6"/>
    <w:rsid w:val="0061078D"/>
    <w:rsid w:val="00614867"/>
    <w:rsid w:val="00615D01"/>
    <w:rsid w:val="00616D23"/>
    <w:rsid w:val="00620D6A"/>
    <w:rsid w:val="00624DC8"/>
    <w:rsid w:val="0062632A"/>
    <w:rsid w:val="00632EA8"/>
    <w:rsid w:val="00646E8E"/>
    <w:rsid w:val="0065043F"/>
    <w:rsid w:val="00653348"/>
    <w:rsid w:val="006704E5"/>
    <w:rsid w:val="00672014"/>
    <w:rsid w:val="0067291D"/>
    <w:rsid w:val="006755DA"/>
    <w:rsid w:val="00681FBA"/>
    <w:rsid w:val="00685B8C"/>
    <w:rsid w:val="00690AE3"/>
    <w:rsid w:val="00695680"/>
    <w:rsid w:val="00695AF4"/>
    <w:rsid w:val="006A0BC7"/>
    <w:rsid w:val="006A0FCB"/>
    <w:rsid w:val="006A1AD0"/>
    <w:rsid w:val="006A208E"/>
    <w:rsid w:val="006C05C8"/>
    <w:rsid w:val="006C3277"/>
    <w:rsid w:val="006C641C"/>
    <w:rsid w:val="006E3A35"/>
    <w:rsid w:val="006F19EA"/>
    <w:rsid w:val="006F23F6"/>
    <w:rsid w:val="006F2E50"/>
    <w:rsid w:val="0071413A"/>
    <w:rsid w:val="007228C3"/>
    <w:rsid w:val="00725017"/>
    <w:rsid w:val="00727D95"/>
    <w:rsid w:val="007325F2"/>
    <w:rsid w:val="00735C2B"/>
    <w:rsid w:val="00740181"/>
    <w:rsid w:val="007419BE"/>
    <w:rsid w:val="00741B45"/>
    <w:rsid w:val="00747574"/>
    <w:rsid w:val="0075293C"/>
    <w:rsid w:val="00756C6F"/>
    <w:rsid w:val="00761FF4"/>
    <w:rsid w:val="00765083"/>
    <w:rsid w:val="007665B4"/>
    <w:rsid w:val="00766DDE"/>
    <w:rsid w:val="007704A8"/>
    <w:rsid w:val="007746DF"/>
    <w:rsid w:val="00775F81"/>
    <w:rsid w:val="00776080"/>
    <w:rsid w:val="007770D0"/>
    <w:rsid w:val="00780275"/>
    <w:rsid w:val="00784133"/>
    <w:rsid w:val="00790533"/>
    <w:rsid w:val="00792DE7"/>
    <w:rsid w:val="007968EA"/>
    <w:rsid w:val="007A0F72"/>
    <w:rsid w:val="007A20C3"/>
    <w:rsid w:val="007A5214"/>
    <w:rsid w:val="007A579C"/>
    <w:rsid w:val="007B083B"/>
    <w:rsid w:val="007B277A"/>
    <w:rsid w:val="007B469C"/>
    <w:rsid w:val="007B6E79"/>
    <w:rsid w:val="007C03A5"/>
    <w:rsid w:val="007C1EA8"/>
    <w:rsid w:val="007C2282"/>
    <w:rsid w:val="007C6108"/>
    <w:rsid w:val="007D395A"/>
    <w:rsid w:val="007D6263"/>
    <w:rsid w:val="007E03AB"/>
    <w:rsid w:val="007E48F1"/>
    <w:rsid w:val="007F22A7"/>
    <w:rsid w:val="00803C49"/>
    <w:rsid w:val="00803C61"/>
    <w:rsid w:val="008043B4"/>
    <w:rsid w:val="00806D13"/>
    <w:rsid w:val="00811188"/>
    <w:rsid w:val="008111D9"/>
    <w:rsid w:val="008114A4"/>
    <w:rsid w:val="008130CC"/>
    <w:rsid w:val="008158A6"/>
    <w:rsid w:val="00820B40"/>
    <w:rsid w:val="00822358"/>
    <w:rsid w:val="00825D64"/>
    <w:rsid w:val="00834977"/>
    <w:rsid w:val="00834E46"/>
    <w:rsid w:val="00836313"/>
    <w:rsid w:val="00843A5E"/>
    <w:rsid w:val="00843DE3"/>
    <w:rsid w:val="008448CF"/>
    <w:rsid w:val="008540A4"/>
    <w:rsid w:val="00864220"/>
    <w:rsid w:val="00875035"/>
    <w:rsid w:val="00881D79"/>
    <w:rsid w:val="00886F91"/>
    <w:rsid w:val="00892CA0"/>
    <w:rsid w:val="00897588"/>
    <w:rsid w:val="0089762C"/>
    <w:rsid w:val="008A5AAB"/>
    <w:rsid w:val="008B10A1"/>
    <w:rsid w:val="008B1A4D"/>
    <w:rsid w:val="008C1D4F"/>
    <w:rsid w:val="008C3226"/>
    <w:rsid w:val="008D007C"/>
    <w:rsid w:val="008D2D7F"/>
    <w:rsid w:val="008E1050"/>
    <w:rsid w:val="008E2469"/>
    <w:rsid w:val="008E34E7"/>
    <w:rsid w:val="008E646A"/>
    <w:rsid w:val="008F04DE"/>
    <w:rsid w:val="008F5603"/>
    <w:rsid w:val="00903864"/>
    <w:rsid w:val="00912A12"/>
    <w:rsid w:val="009222C7"/>
    <w:rsid w:val="009240CC"/>
    <w:rsid w:val="00930D85"/>
    <w:rsid w:val="00940547"/>
    <w:rsid w:val="0094429B"/>
    <w:rsid w:val="009456E3"/>
    <w:rsid w:val="0094707C"/>
    <w:rsid w:val="00952F14"/>
    <w:rsid w:val="00961D21"/>
    <w:rsid w:val="0096365E"/>
    <w:rsid w:val="0096436B"/>
    <w:rsid w:val="00965C10"/>
    <w:rsid w:val="0096686D"/>
    <w:rsid w:val="009734D4"/>
    <w:rsid w:val="00973AB2"/>
    <w:rsid w:val="009742F7"/>
    <w:rsid w:val="0097552F"/>
    <w:rsid w:val="00980BB2"/>
    <w:rsid w:val="009834BB"/>
    <w:rsid w:val="00984B38"/>
    <w:rsid w:val="00993321"/>
    <w:rsid w:val="009B08BB"/>
    <w:rsid w:val="009B31CE"/>
    <w:rsid w:val="009B34D1"/>
    <w:rsid w:val="009B4419"/>
    <w:rsid w:val="009C3086"/>
    <w:rsid w:val="009D6930"/>
    <w:rsid w:val="009E3459"/>
    <w:rsid w:val="009E49FD"/>
    <w:rsid w:val="009E6626"/>
    <w:rsid w:val="00A20BEA"/>
    <w:rsid w:val="00A22CAC"/>
    <w:rsid w:val="00A33A61"/>
    <w:rsid w:val="00A34313"/>
    <w:rsid w:val="00A34437"/>
    <w:rsid w:val="00A3449E"/>
    <w:rsid w:val="00A36E35"/>
    <w:rsid w:val="00A3755B"/>
    <w:rsid w:val="00A41719"/>
    <w:rsid w:val="00A43B9D"/>
    <w:rsid w:val="00A473FC"/>
    <w:rsid w:val="00A476A1"/>
    <w:rsid w:val="00A55F16"/>
    <w:rsid w:val="00A573E8"/>
    <w:rsid w:val="00A60CC7"/>
    <w:rsid w:val="00A61C9E"/>
    <w:rsid w:val="00A61F9E"/>
    <w:rsid w:val="00A63278"/>
    <w:rsid w:val="00A77370"/>
    <w:rsid w:val="00A9325E"/>
    <w:rsid w:val="00AA099C"/>
    <w:rsid w:val="00AA5B0A"/>
    <w:rsid w:val="00AB67B3"/>
    <w:rsid w:val="00AC09CB"/>
    <w:rsid w:val="00AC3716"/>
    <w:rsid w:val="00AD1B42"/>
    <w:rsid w:val="00AD3CA6"/>
    <w:rsid w:val="00AD3F0B"/>
    <w:rsid w:val="00AD5C99"/>
    <w:rsid w:val="00AE1B28"/>
    <w:rsid w:val="00AE1EA7"/>
    <w:rsid w:val="00AE4249"/>
    <w:rsid w:val="00AE66F0"/>
    <w:rsid w:val="00AF0582"/>
    <w:rsid w:val="00AF2802"/>
    <w:rsid w:val="00AF7E06"/>
    <w:rsid w:val="00B00173"/>
    <w:rsid w:val="00B00E05"/>
    <w:rsid w:val="00B01FCB"/>
    <w:rsid w:val="00B02BD1"/>
    <w:rsid w:val="00B1124D"/>
    <w:rsid w:val="00B14236"/>
    <w:rsid w:val="00B20EF3"/>
    <w:rsid w:val="00B2127B"/>
    <w:rsid w:val="00B27AB4"/>
    <w:rsid w:val="00B3164B"/>
    <w:rsid w:val="00B34454"/>
    <w:rsid w:val="00B43D9D"/>
    <w:rsid w:val="00B459A4"/>
    <w:rsid w:val="00B46FE1"/>
    <w:rsid w:val="00B50962"/>
    <w:rsid w:val="00B54C98"/>
    <w:rsid w:val="00B559E1"/>
    <w:rsid w:val="00B56AB5"/>
    <w:rsid w:val="00B60530"/>
    <w:rsid w:val="00B62C53"/>
    <w:rsid w:val="00B6680B"/>
    <w:rsid w:val="00B702F4"/>
    <w:rsid w:val="00B711C3"/>
    <w:rsid w:val="00B73634"/>
    <w:rsid w:val="00B80DA2"/>
    <w:rsid w:val="00B8487B"/>
    <w:rsid w:val="00B877DF"/>
    <w:rsid w:val="00B87D7F"/>
    <w:rsid w:val="00B94CA0"/>
    <w:rsid w:val="00B95DF1"/>
    <w:rsid w:val="00BA0E1B"/>
    <w:rsid w:val="00BA34EB"/>
    <w:rsid w:val="00BA42E7"/>
    <w:rsid w:val="00BA70ED"/>
    <w:rsid w:val="00BB05BC"/>
    <w:rsid w:val="00BB7426"/>
    <w:rsid w:val="00BC310F"/>
    <w:rsid w:val="00BC4396"/>
    <w:rsid w:val="00BD2011"/>
    <w:rsid w:val="00BD35D3"/>
    <w:rsid w:val="00BE18EC"/>
    <w:rsid w:val="00BF20D6"/>
    <w:rsid w:val="00BF3C9B"/>
    <w:rsid w:val="00C0484C"/>
    <w:rsid w:val="00C06FCC"/>
    <w:rsid w:val="00C15433"/>
    <w:rsid w:val="00C17821"/>
    <w:rsid w:val="00C30F30"/>
    <w:rsid w:val="00C34CAF"/>
    <w:rsid w:val="00C56439"/>
    <w:rsid w:val="00C61756"/>
    <w:rsid w:val="00C62EBE"/>
    <w:rsid w:val="00C742C3"/>
    <w:rsid w:val="00C84119"/>
    <w:rsid w:val="00C84649"/>
    <w:rsid w:val="00CA1C17"/>
    <w:rsid w:val="00CA2786"/>
    <w:rsid w:val="00CA7C0E"/>
    <w:rsid w:val="00CC13E3"/>
    <w:rsid w:val="00CC5F1A"/>
    <w:rsid w:val="00CD11A1"/>
    <w:rsid w:val="00CD3D90"/>
    <w:rsid w:val="00CE1FAC"/>
    <w:rsid w:val="00CE3725"/>
    <w:rsid w:val="00CE42D1"/>
    <w:rsid w:val="00CE590F"/>
    <w:rsid w:val="00CF0A45"/>
    <w:rsid w:val="00CF143D"/>
    <w:rsid w:val="00CF24C2"/>
    <w:rsid w:val="00D0594F"/>
    <w:rsid w:val="00D060A9"/>
    <w:rsid w:val="00D06B50"/>
    <w:rsid w:val="00D06E62"/>
    <w:rsid w:val="00D11D02"/>
    <w:rsid w:val="00D15D58"/>
    <w:rsid w:val="00D17241"/>
    <w:rsid w:val="00D20840"/>
    <w:rsid w:val="00D2216C"/>
    <w:rsid w:val="00D23999"/>
    <w:rsid w:val="00D239ED"/>
    <w:rsid w:val="00D23EA5"/>
    <w:rsid w:val="00D26111"/>
    <w:rsid w:val="00D31A13"/>
    <w:rsid w:val="00D325EF"/>
    <w:rsid w:val="00D36DC3"/>
    <w:rsid w:val="00D45D10"/>
    <w:rsid w:val="00D467AC"/>
    <w:rsid w:val="00D4699E"/>
    <w:rsid w:val="00D5152E"/>
    <w:rsid w:val="00D52257"/>
    <w:rsid w:val="00D54D85"/>
    <w:rsid w:val="00D56474"/>
    <w:rsid w:val="00D61232"/>
    <w:rsid w:val="00D61D03"/>
    <w:rsid w:val="00D65AC4"/>
    <w:rsid w:val="00D65DAE"/>
    <w:rsid w:val="00D66180"/>
    <w:rsid w:val="00D703D6"/>
    <w:rsid w:val="00D72BFF"/>
    <w:rsid w:val="00D73823"/>
    <w:rsid w:val="00D73EE6"/>
    <w:rsid w:val="00D81CAD"/>
    <w:rsid w:val="00D824D0"/>
    <w:rsid w:val="00D8256B"/>
    <w:rsid w:val="00D868CA"/>
    <w:rsid w:val="00D871D1"/>
    <w:rsid w:val="00D9291C"/>
    <w:rsid w:val="00D9452E"/>
    <w:rsid w:val="00DB1695"/>
    <w:rsid w:val="00DB1E3F"/>
    <w:rsid w:val="00DB430F"/>
    <w:rsid w:val="00DB7315"/>
    <w:rsid w:val="00DC12B9"/>
    <w:rsid w:val="00DD534C"/>
    <w:rsid w:val="00DE0F10"/>
    <w:rsid w:val="00DE51DE"/>
    <w:rsid w:val="00E0100B"/>
    <w:rsid w:val="00E0354C"/>
    <w:rsid w:val="00E0413B"/>
    <w:rsid w:val="00E07D25"/>
    <w:rsid w:val="00E10506"/>
    <w:rsid w:val="00E12D9B"/>
    <w:rsid w:val="00E13989"/>
    <w:rsid w:val="00E16B1F"/>
    <w:rsid w:val="00E20099"/>
    <w:rsid w:val="00E3577B"/>
    <w:rsid w:val="00E365E9"/>
    <w:rsid w:val="00E40EAB"/>
    <w:rsid w:val="00E41188"/>
    <w:rsid w:val="00E43CE9"/>
    <w:rsid w:val="00E443DE"/>
    <w:rsid w:val="00E4701A"/>
    <w:rsid w:val="00E610C2"/>
    <w:rsid w:val="00E62A74"/>
    <w:rsid w:val="00E636BC"/>
    <w:rsid w:val="00E70516"/>
    <w:rsid w:val="00E7079D"/>
    <w:rsid w:val="00E805F2"/>
    <w:rsid w:val="00E80B5F"/>
    <w:rsid w:val="00E818CC"/>
    <w:rsid w:val="00E83D63"/>
    <w:rsid w:val="00E903BA"/>
    <w:rsid w:val="00E9180E"/>
    <w:rsid w:val="00E93E9C"/>
    <w:rsid w:val="00E94740"/>
    <w:rsid w:val="00EA1071"/>
    <w:rsid w:val="00EA5CB5"/>
    <w:rsid w:val="00EA7D29"/>
    <w:rsid w:val="00EB0CA9"/>
    <w:rsid w:val="00EB3687"/>
    <w:rsid w:val="00EB3FFA"/>
    <w:rsid w:val="00EB7C5A"/>
    <w:rsid w:val="00EC07B9"/>
    <w:rsid w:val="00EC122B"/>
    <w:rsid w:val="00EC6227"/>
    <w:rsid w:val="00EC7B6A"/>
    <w:rsid w:val="00EE4903"/>
    <w:rsid w:val="00EE5046"/>
    <w:rsid w:val="00EF385A"/>
    <w:rsid w:val="00EF5212"/>
    <w:rsid w:val="00F024DF"/>
    <w:rsid w:val="00F0279E"/>
    <w:rsid w:val="00F0660B"/>
    <w:rsid w:val="00F06E45"/>
    <w:rsid w:val="00F070B5"/>
    <w:rsid w:val="00F07E1B"/>
    <w:rsid w:val="00F140C1"/>
    <w:rsid w:val="00F144B4"/>
    <w:rsid w:val="00F15D09"/>
    <w:rsid w:val="00F2087A"/>
    <w:rsid w:val="00F20A1C"/>
    <w:rsid w:val="00F2422D"/>
    <w:rsid w:val="00F34866"/>
    <w:rsid w:val="00F35D9B"/>
    <w:rsid w:val="00F40168"/>
    <w:rsid w:val="00F41207"/>
    <w:rsid w:val="00F4196F"/>
    <w:rsid w:val="00F45110"/>
    <w:rsid w:val="00F602D8"/>
    <w:rsid w:val="00F6192D"/>
    <w:rsid w:val="00F7701C"/>
    <w:rsid w:val="00F84307"/>
    <w:rsid w:val="00F90DF5"/>
    <w:rsid w:val="00F92915"/>
    <w:rsid w:val="00F964DF"/>
    <w:rsid w:val="00FA4818"/>
    <w:rsid w:val="00FA5EFF"/>
    <w:rsid w:val="00FB28DE"/>
    <w:rsid w:val="00FB5A51"/>
    <w:rsid w:val="00FD3FD6"/>
    <w:rsid w:val="00FD4818"/>
    <w:rsid w:val="00FE40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F052"/>
  <w15:docId w15:val="{CC9803DF-1142-4A36-8D73-4DC4CA9B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F"/>
    <w:pPr>
      <w:spacing w:line="360" w:lineRule="auto"/>
      <w:ind w:firstLine="720"/>
    </w:pPr>
    <w:rPr>
      <w:rFonts w:ascii="Cambria" w:hAnsi="Cambria"/>
      <w:sz w:val="24"/>
    </w:rPr>
  </w:style>
  <w:style w:type="paragraph" w:styleId="Heading1">
    <w:name w:val="heading 1"/>
    <w:basedOn w:val="Normal"/>
    <w:next w:val="Normal"/>
    <w:link w:val="Heading1Char"/>
    <w:uiPriority w:val="9"/>
    <w:qFormat/>
    <w:rsid w:val="00471EEE"/>
    <w:pPr>
      <w:keepNext/>
      <w:keepLines/>
      <w:spacing w:before="240" w:after="0"/>
      <w:outlineLvl w:val="0"/>
    </w:pPr>
    <w:rPr>
      <w:rFonts w:eastAsiaTheme="majorEastAsia" w:cstheme="majorBidi"/>
      <w:color w:val="262626" w:themeColor="text1" w:themeTint="D9"/>
      <w:sz w:val="40"/>
      <w:szCs w:val="32"/>
    </w:rPr>
  </w:style>
  <w:style w:type="paragraph" w:styleId="Heading2">
    <w:name w:val="heading 2"/>
    <w:basedOn w:val="Normal"/>
    <w:next w:val="Normal"/>
    <w:link w:val="Heading2Char"/>
    <w:uiPriority w:val="9"/>
    <w:unhideWhenUsed/>
    <w:qFormat/>
    <w:rsid w:val="00C06FCC"/>
    <w:pPr>
      <w:keepNext/>
      <w:keepLines/>
      <w:spacing w:before="40" w:after="0"/>
      <w:outlineLvl w:val="1"/>
    </w:pPr>
    <w:rPr>
      <w:rFonts w:eastAsiaTheme="majorEastAsia" w:cstheme="majorBidi"/>
      <w:color w:val="323E4F" w:themeColor="text2" w:themeShade="BF"/>
      <w:sz w:val="32"/>
      <w:szCs w:val="26"/>
    </w:rPr>
  </w:style>
  <w:style w:type="paragraph" w:styleId="Heading3">
    <w:name w:val="heading 3"/>
    <w:basedOn w:val="Normal"/>
    <w:next w:val="Normal"/>
    <w:link w:val="Heading3Char"/>
    <w:uiPriority w:val="9"/>
    <w:unhideWhenUsed/>
    <w:qFormat/>
    <w:rsid w:val="00A41719"/>
    <w:pPr>
      <w:keepNext/>
      <w:keepLines/>
      <w:spacing w:before="40" w:after="0"/>
      <w:outlineLvl w:val="2"/>
    </w:pPr>
    <w:rPr>
      <w:rFonts w:ascii="Arial" w:eastAsiaTheme="majorEastAsia" w:hAnsi="Arial"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EEE"/>
    <w:rPr>
      <w:rFonts w:ascii="Cambria" w:eastAsiaTheme="majorEastAsia" w:hAnsi="Cambria" w:cstheme="majorBidi"/>
      <w:color w:val="262626" w:themeColor="text1" w:themeTint="D9"/>
      <w:sz w:val="40"/>
      <w:szCs w:val="32"/>
    </w:rPr>
  </w:style>
  <w:style w:type="character" w:customStyle="1" w:styleId="Heading2Char">
    <w:name w:val="Heading 2 Char"/>
    <w:basedOn w:val="DefaultParagraphFont"/>
    <w:link w:val="Heading2"/>
    <w:uiPriority w:val="9"/>
    <w:rsid w:val="00C06FCC"/>
    <w:rPr>
      <w:rFonts w:ascii="Cambria Math" w:eastAsiaTheme="majorEastAsia" w:hAnsi="Cambria Math" w:cstheme="majorBidi"/>
      <w:color w:val="323E4F" w:themeColor="text2" w:themeShade="BF"/>
      <w:sz w:val="32"/>
      <w:szCs w:val="26"/>
    </w:rPr>
  </w:style>
  <w:style w:type="paragraph" w:styleId="NoSpacing">
    <w:name w:val="No Spacing"/>
    <w:uiPriority w:val="1"/>
    <w:qFormat/>
    <w:rsid w:val="004636D6"/>
    <w:pPr>
      <w:spacing w:after="0" w:line="360" w:lineRule="auto"/>
    </w:pPr>
    <w:rPr>
      <w:rFonts w:ascii="Arial" w:hAnsi="Arial"/>
      <w:sz w:val="24"/>
    </w:rPr>
  </w:style>
  <w:style w:type="character" w:styleId="Hyperlink">
    <w:name w:val="Hyperlink"/>
    <w:basedOn w:val="DefaultParagraphFont"/>
    <w:uiPriority w:val="99"/>
    <w:unhideWhenUsed/>
    <w:rsid w:val="008130CC"/>
    <w:rPr>
      <w:color w:val="0563C1" w:themeColor="hyperlink"/>
      <w:u w:val="single"/>
    </w:rPr>
  </w:style>
  <w:style w:type="character" w:styleId="UnresolvedMention">
    <w:name w:val="Unresolved Mention"/>
    <w:basedOn w:val="DefaultParagraphFont"/>
    <w:uiPriority w:val="99"/>
    <w:semiHidden/>
    <w:unhideWhenUsed/>
    <w:rsid w:val="008130CC"/>
    <w:rPr>
      <w:color w:val="605E5C"/>
      <w:shd w:val="clear" w:color="auto" w:fill="E1DFDD"/>
    </w:rPr>
  </w:style>
  <w:style w:type="paragraph" w:styleId="Header">
    <w:name w:val="header"/>
    <w:basedOn w:val="Normal"/>
    <w:link w:val="HeaderChar"/>
    <w:uiPriority w:val="99"/>
    <w:unhideWhenUsed/>
    <w:rsid w:val="00BB05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5BC"/>
    <w:rPr>
      <w:rFonts w:ascii="Arial" w:hAnsi="Arial"/>
      <w:sz w:val="24"/>
    </w:rPr>
  </w:style>
  <w:style w:type="paragraph" w:styleId="Footer">
    <w:name w:val="footer"/>
    <w:basedOn w:val="Normal"/>
    <w:link w:val="FooterChar"/>
    <w:uiPriority w:val="99"/>
    <w:unhideWhenUsed/>
    <w:rsid w:val="00BB05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5BC"/>
    <w:rPr>
      <w:rFonts w:ascii="Arial" w:hAnsi="Arial"/>
      <w:sz w:val="24"/>
    </w:rPr>
  </w:style>
  <w:style w:type="character" w:customStyle="1" w:styleId="Heading3Char">
    <w:name w:val="Heading 3 Char"/>
    <w:basedOn w:val="DefaultParagraphFont"/>
    <w:link w:val="Heading3"/>
    <w:uiPriority w:val="9"/>
    <w:rsid w:val="00A41719"/>
    <w:rPr>
      <w:rFonts w:ascii="Arial" w:eastAsiaTheme="majorEastAsia" w:hAnsi="Arial" w:cstheme="majorBidi"/>
      <w:color w:val="1F3763" w:themeColor="accent1" w:themeShade="7F"/>
      <w:sz w:val="24"/>
      <w:szCs w:val="24"/>
    </w:rPr>
  </w:style>
  <w:style w:type="character" w:styleId="PlaceholderText">
    <w:name w:val="Placeholder Text"/>
    <w:basedOn w:val="DefaultParagraphFont"/>
    <w:uiPriority w:val="99"/>
    <w:semiHidden/>
    <w:rsid w:val="00E610C2"/>
    <w:rPr>
      <w:color w:val="808080"/>
    </w:rPr>
  </w:style>
  <w:style w:type="paragraph" w:styleId="ListParagraph">
    <w:name w:val="List Paragraph"/>
    <w:basedOn w:val="Normal"/>
    <w:uiPriority w:val="34"/>
    <w:qFormat/>
    <w:rsid w:val="003D2249"/>
    <w:pPr>
      <w:ind w:left="720"/>
      <w:contextualSpacing/>
    </w:pPr>
  </w:style>
  <w:style w:type="paragraph" w:styleId="Caption">
    <w:name w:val="caption"/>
    <w:basedOn w:val="Normal"/>
    <w:next w:val="Normal"/>
    <w:uiPriority w:val="35"/>
    <w:unhideWhenUsed/>
    <w:qFormat/>
    <w:rsid w:val="00E20099"/>
    <w:pPr>
      <w:spacing w:after="200" w:line="240" w:lineRule="auto"/>
    </w:pPr>
    <w:rPr>
      <w:i/>
      <w:iCs/>
      <w:color w:val="44546A" w:themeColor="text2"/>
      <w:sz w:val="18"/>
      <w:szCs w:val="18"/>
    </w:rPr>
  </w:style>
  <w:style w:type="table" w:styleId="TableGrid">
    <w:name w:val="Table Grid"/>
    <w:basedOn w:val="TableNormal"/>
    <w:uiPriority w:val="39"/>
    <w:rsid w:val="00F45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192D"/>
    <w:pPr>
      <w:spacing w:line="259" w:lineRule="auto"/>
      <w:ind w:firstLine="0"/>
      <w:outlineLvl w:val="9"/>
    </w:pPr>
    <w:rPr>
      <w:rFonts w:asciiTheme="majorHAnsi" w:hAnsiTheme="majorHAnsi"/>
      <w:color w:val="2F5496" w:themeColor="accent1" w:themeShade="BF"/>
      <w:sz w:val="32"/>
      <w:lang w:val="en-US"/>
    </w:rPr>
  </w:style>
  <w:style w:type="paragraph" w:styleId="TOC1">
    <w:name w:val="toc 1"/>
    <w:basedOn w:val="Normal"/>
    <w:next w:val="Normal"/>
    <w:autoRedefine/>
    <w:uiPriority w:val="39"/>
    <w:unhideWhenUsed/>
    <w:rsid w:val="00F6192D"/>
    <w:pPr>
      <w:spacing w:after="100"/>
    </w:pPr>
  </w:style>
  <w:style w:type="paragraph" w:styleId="TOC2">
    <w:name w:val="toc 2"/>
    <w:basedOn w:val="Normal"/>
    <w:next w:val="Normal"/>
    <w:autoRedefine/>
    <w:uiPriority w:val="39"/>
    <w:unhideWhenUsed/>
    <w:rsid w:val="00F6192D"/>
    <w:pPr>
      <w:spacing w:after="100"/>
      <w:ind w:left="240"/>
    </w:pPr>
  </w:style>
  <w:style w:type="paragraph" w:styleId="TOC3">
    <w:name w:val="toc 3"/>
    <w:basedOn w:val="Normal"/>
    <w:next w:val="Normal"/>
    <w:autoRedefine/>
    <w:uiPriority w:val="39"/>
    <w:unhideWhenUsed/>
    <w:rsid w:val="00F6192D"/>
    <w:pPr>
      <w:spacing w:after="100"/>
      <w:ind w:left="480"/>
    </w:pPr>
  </w:style>
  <w:style w:type="paragraph" w:styleId="FootnoteText">
    <w:name w:val="footnote text"/>
    <w:basedOn w:val="Normal"/>
    <w:link w:val="FootnoteTextChar"/>
    <w:uiPriority w:val="99"/>
    <w:semiHidden/>
    <w:unhideWhenUsed/>
    <w:rsid w:val="008C1D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1D4F"/>
    <w:rPr>
      <w:rFonts w:ascii="Cambria" w:hAnsi="Cambria"/>
      <w:sz w:val="20"/>
      <w:szCs w:val="20"/>
    </w:rPr>
  </w:style>
  <w:style w:type="character" w:styleId="FootnoteReference">
    <w:name w:val="footnote reference"/>
    <w:basedOn w:val="DefaultParagraphFont"/>
    <w:uiPriority w:val="99"/>
    <w:semiHidden/>
    <w:unhideWhenUsed/>
    <w:rsid w:val="008C1D4F"/>
    <w:rPr>
      <w:vertAlign w:val="superscript"/>
    </w:rPr>
  </w:style>
  <w:style w:type="paragraph" w:styleId="TableofFigures">
    <w:name w:val="table of figures"/>
    <w:basedOn w:val="Normal"/>
    <w:next w:val="Normal"/>
    <w:uiPriority w:val="99"/>
    <w:unhideWhenUsed/>
    <w:rsid w:val="001426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52933">
      <w:bodyDiv w:val="1"/>
      <w:marLeft w:val="0"/>
      <w:marRight w:val="0"/>
      <w:marTop w:val="0"/>
      <w:marBottom w:val="0"/>
      <w:divBdr>
        <w:top w:val="none" w:sz="0" w:space="0" w:color="auto"/>
        <w:left w:val="none" w:sz="0" w:space="0" w:color="auto"/>
        <w:bottom w:val="none" w:sz="0" w:space="0" w:color="auto"/>
        <w:right w:val="none" w:sz="0" w:space="0" w:color="auto"/>
      </w:divBdr>
    </w:div>
    <w:div w:id="384913101">
      <w:bodyDiv w:val="1"/>
      <w:marLeft w:val="0"/>
      <w:marRight w:val="0"/>
      <w:marTop w:val="0"/>
      <w:marBottom w:val="0"/>
      <w:divBdr>
        <w:top w:val="none" w:sz="0" w:space="0" w:color="auto"/>
        <w:left w:val="none" w:sz="0" w:space="0" w:color="auto"/>
        <w:bottom w:val="none" w:sz="0" w:space="0" w:color="auto"/>
        <w:right w:val="none" w:sz="0" w:space="0" w:color="auto"/>
      </w:divBdr>
    </w:div>
    <w:div w:id="1210804423">
      <w:bodyDiv w:val="1"/>
      <w:marLeft w:val="0"/>
      <w:marRight w:val="0"/>
      <w:marTop w:val="0"/>
      <w:marBottom w:val="0"/>
      <w:divBdr>
        <w:top w:val="none" w:sz="0" w:space="0" w:color="auto"/>
        <w:left w:val="none" w:sz="0" w:space="0" w:color="auto"/>
        <w:bottom w:val="none" w:sz="0" w:space="0" w:color="auto"/>
        <w:right w:val="none" w:sz="0" w:space="0" w:color="auto"/>
      </w:divBdr>
      <w:divsChild>
        <w:div w:id="81218844">
          <w:marLeft w:val="1080"/>
          <w:marRight w:val="0"/>
          <w:marTop w:val="0"/>
          <w:marBottom w:val="0"/>
          <w:divBdr>
            <w:top w:val="none" w:sz="0" w:space="0" w:color="auto"/>
            <w:left w:val="none" w:sz="0" w:space="0" w:color="auto"/>
            <w:bottom w:val="none" w:sz="0" w:space="0" w:color="auto"/>
            <w:right w:val="none" w:sz="0" w:space="0" w:color="auto"/>
          </w:divBdr>
        </w:div>
      </w:divsChild>
    </w:div>
    <w:div w:id="1809127066">
      <w:bodyDiv w:val="1"/>
      <w:marLeft w:val="0"/>
      <w:marRight w:val="0"/>
      <w:marTop w:val="0"/>
      <w:marBottom w:val="0"/>
      <w:divBdr>
        <w:top w:val="none" w:sz="0" w:space="0" w:color="auto"/>
        <w:left w:val="none" w:sz="0" w:space="0" w:color="auto"/>
        <w:bottom w:val="none" w:sz="0" w:space="0" w:color="auto"/>
        <w:right w:val="none" w:sz="0" w:space="0" w:color="auto"/>
      </w:divBdr>
      <w:divsChild>
        <w:div w:id="479346125">
          <w:marLeft w:val="10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s://www.federalreserve.gov/data/corpsecure/curre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10FC5-37D3-42E9-9728-6BD2BBB99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5453</TotalTime>
  <Pages>31</Pages>
  <Words>6940</Words>
  <Characters>39564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Swithun Czco</dc:creator>
  <cp:keywords/>
  <dc:description/>
  <cp:lastModifiedBy>Swithun Czco</cp:lastModifiedBy>
  <cp:revision>261</cp:revision>
  <dcterms:created xsi:type="dcterms:W3CDTF">2022-06-16T06:17:00Z</dcterms:created>
  <dcterms:modified xsi:type="dcterms:W3CDTF">2022-06-21T15:55:00Z</dcterms:modified>
</cp:coreProperties>
</file>