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1904" w:h="16838" w:wrap="notBeside" w:vAnchor="text" w:hAnchor="text" w:y="1"/>
        <w:widowControl w:val="0"/>
        <w:rPr>
          <w:sz w:val="2"/>
          <w:szCs w:val="2"/>
        </w:rPr>
      </w:pPr>
      <w:r>
        <w:drawing>
          <wp:inline>
            <wp:extent cx="7559040" cy="1069213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559040" cy="10692130"/>
                    </a:xfrm>
                    <a:prstGeom prst="rect"/>
                  </pic:spPr>
                </pic:pic>
              </a:graphicData>
            </a:graphic>
          </wp:inline>
        </w:drawing>
      </w:r>
    </w:p>
    <w:p>
      <w:pPr>
        <w:widowControl w:val="0"/>
        <w:spacing w:line="1" w:lineRule="exact"/>
        <w:sectPr>
          <w:footnotePr>
            <w:pos w:val="pageBottom"/>
            <w:numFmt w:val="decimal"/>
            <w:numRestart w:val="continuous"/>
          </w:footnotePr>
          <w:pgSz w:w="12142" w:h="17375"/>
          <w:pgMar w:top="168" w:right="119" w:bottom="168" w:left="119" w:header="0" w:footer="3" w:gutter="0"/>
          <w:pgNumType w:start="1"/>
          <w:cols w:space="720"/>
          <w:noEndnote/>
          <w:rtlGutter/>
          <w:docGrid w:linePitch="360"/>
        </w:sectPr>
      </w:pPr>
      <w:r>
        <mc:AlternateContent>
          <mc:Choice Requires="wps">
            <w:drawing>
              <wp:anchor distT="0" distB="0" distL="0" distR="5017135" simplePos="0" relativeHeight="125829378" behindDoc="0" locked="0" layoutInCell="1" allowOverlap="1">
                <wp:simplePos x="0" y="0"/>
                <wp:positionH relativeFrom="column">
                  <wp:posOffset>1450975</wp:posOffset>
                </wp:positionH>
                <wp:positionV relativeFrom="paragraph">
                  <wp:posOffset>277495</wp:posOffset>
                </wp:positionV>
                <wp:extent cx="2541905" cy="603250"/>
                <wp:wrapTopAndBottom/>
                <wp:docPr id="2" name="Shape 2"/>
                <a:graphic xmlns:a="http://schemas.openxmlformats.org/drawingml/2006/main">
                  <a:graphicData uri="http://schemas.microsoft.com/office/word/2010/wordprocessingShape">
                    <wps:wsp>
                      <wps:cNvSpPr txBox="1"/>
                      <wps:spPr>
                        <a:xfrm>
                          <a:ext cx="2541905" cy="603250"/>
                        </a:xfrm>
                        <a:prstGeom prst="rect"/>
                        <a:noFill/>
                      </wps:spPr>
                      <wps:txbx>
                        <w:txbxContent>
                          <w:p>
                            <w:pPr>
                              <w:pStyle w:val="Style2"/>
                              <w:keepNext w:val="0"/>
                              <w:keepLines w:val="0"/>
                              <w:widowControl w:val="0"/>
                              <w:pBdr>
                                <w:top w:val="single" w:sz="0" w:space="0" w:color="2859A6"/>
                                <w:left w:val="single" w:sz="0" w:space="0" w:color="2859A6"/>
                                <w:bottom w:val="single" w:sz="0" w:space="0" w:color="2859A6"/>
                                <w:right w:val="single" w:sz="0" w:space="0" w:color="2859A6"/>
                              </w:pBdr>
                              <w:shd w:val="clear" w:color="auto" w:fill="2859A6"/>
                              <w:bidi w:val="0"/>
                              <w:spacing w:before="0" w:after="0" w:line="240" w:lineRule="auto"/>
                              <w:ind w:left="0" w:right="0" w:firstLine="0"/>
                              <w:jc w:val="left"/>
                              <w:rPr>
                                <w:sz w:val="74"/>
                                <w:szCs w:val="74"/>
                              </w:rPr>
                            </w:pPr>
                            <w:r>
                              <w:rPr>
                                <w:rStyle w:val="CharStyle3"/>
                                <w:color w:val="FFFFFF"/>
                                <w:sz w:val="74"/>
                                <w:szCs w:val="74"/>
                              </w:rPr>
                              <w:t>H odnocení</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114.25pt;margin-top:21.850000000000001pt;width:200.15000000000001pt;height:47.5pt;z-index:-125829375;mso-wrap-distance-left:0;mso-wrap-distance-right:395.05000000000001pt" filled="f" stroked="f">
                <v:textbox inset="0,0,0,0">
                  <w:txbxContent>
                    <w:p>
                      <w:pPr>
                        <w:pStyle w:val="Style2"/>
                        <w:keepNext w:val="0"/>
                        <w:keepLines w:val="0"/>
                        <w:widowControl w:val="0"/>
                        <w:pBdr>
                          <w:top w:val="single" w:sz="0" w:space="0" w:color="2859A6"/>
                          <w:left w:val="single" w:sz="0" w:space="0" w:color="2859A6"/>
                          <w:bottom w:val="single" w:sz="0" w:space="0" w:color="2859A6"/>
                          <w:right w:val="single" w:sz="0" w:space="0" w:color="2859A6"/>
                        </w:pBdr>
                        <w:shd w:val="clear" w:color="auto" w:fill="2859A6"/>
                        <w:bidi w:val="0"/>
                        <w:spacing w:before="0" w:after="0" w:line="240" w:lineRule="auto"/>
                        <w:ind w:left="0" w:right="0" w:firstLine="0"/>
                        <w:jc w:val="left"/>
                        <w:rPr>
                          <w:sz w:val="74"/>
                          <w:szCs w:val="74"/>
                        </w:rPr>
                      </w:pPr>
                      <w:r>
                        <w:rPr>
                          <w:rStyle w:val="CharStyle3"/>
                          <w:color w:val="FFFFFF"/>
                          <w:sz w:val="74"/>
                          <w:szCs w:val="74"/>
                        </w:rPr>
                        <w:t>H odnocení</w:t>
                      </w:r>
                    </w:p>
                  </w:txbxContent>
                </v:textbox>
                <w10:wrap type="topAndBottom"/>
              </v:shape>
            </w:pict>
          </mc:Fallback>
        </mc:AlternateContent>
      </w:r>
      <w:r>
        <mc:AlternateContent>
          <mc:Choice Requires="wps">
            <w:drawing>
              <wp:anchor distT="0" distB="0" distL="0" distR="3051175" simplePos="0" relativeHeight="125829380" behindDoc="0" locked="0" layoutInCell="1" allowOverlap="1">
                <wp:simplePos x="0" y="0"/>
                <wp:positionH relativeFrom="column">
                  <wp:posOffset>1612265</wp:posOffset>
                </wp:positionH>
                <wp:positionV relativeFrom="paragraph">
                  <wp:posOffset>277495</wp:posOffset>
                </wp:positionV>
                <wp:extent cx="4507865" cy="1139825"/>
                <wp:wrapTopAndBottom/>
                <wp:docPr id="4" name="Shape 4"/>
                <a:graphic xmlns:a="http://schemas.openxmlformats.org/drawingml/2006/main">
                  <a:graphicData uri="http://schemas.microsoft.com/office/word/2010/wordprocessingShape">
                    <wps:wsp>
                      <wps:cNvSpPr txBox="1"/>
                      <wps:spPr>
                        <a:xfrm>
                          <a:ext cx="4507865" cy="1139825"/>
                        </a:xfrm>
                        <a:prstGeom prst="rect"/>
                        <a:noFill/>
                      </wps:spPr>
                      <wps:txbx>
                        <w:txbxContent>
                          <w:p>
                            <w:pPr>
                              <w:pStyle w:val="Style2"/>
                              <w:keepNext w:val="0"/>
                              <w:keepLines w:val="0"/>
                              <w:widowControl w:val="0"/>
                              <w:pBdr>
                                <w:top w:val="single" w:sz="0" w:space="0" w:color="295DA9"/>
                                <w:left w:val="single" w:sz="0" w:space="0" w:color="295DA9"/>
                                <w:bottom w:val="single" w:sz="0" w:space="0" w:color="295DA9"/>
                                <w:right w:val="single" w:sz="0" w:space="0" w:color="295DA9"/>
                              </w:pBdr>
                              <w:shd w:val="clear" w:color="auto" w:fill="295DA9"/>
                              <w:bidi w:val="0"/>
                              <w:spacing w:before="0" w:after="0" w:line="233" w:lineRule="auto"/>
                              <w:ind w:left="0" w:right="0" w:firstLine="3900"/>
                              <w:jc w:val="both"/>
                              <w:rPr>
                                <w:sz w:val="74"/>
                                <w:szCs w:val="74"/>
                              </w:rPr>
                            </w:pPr>
                            <w:r>
                              <w:rPr>
                                <w:rStyle w:val="CharStyle3"/>
                                <w:color w:val="FFFFFF"/>
                                <w:sz w:val="74"/>
                                <w:szCs w:val="74"/>
                              </w:rPr>
                              <w:t>zdrojové přiměřenOsti ES ČR</w:t>
                            </w:r>
                          </w:p>
                        </w:txbxContent>
                      </wps:txbx>
                      <wps:bodyPr lIns="0" tIns="0" rIns="0" bIns="0">
                        <a:noAutoFit/>
                      </wps:bodyPr>
                    </wps:wsp>
                  </a:graphicData>
                </a:graphic>
              </wp:anchor>
            </w:drawing>
          </mc:Choice>
          <mc:Fallback>
            <w:pict>
              <v:shape id="_x0000_s1030" type="#_x0000_t202" style="position:absolute;margin-left:126.95pt;margin-top:21.850000000000001pt;width:354.94999999999999pt;height:89.75pt;z-index:-125829373;mso-wrap-distance-left:0;mso-wrap-distance-right:240.25pt" filled="f" stroked="f">
                <v:textbox inset="0,0,0,0">
                  <w:txbxContent>
                    <w:p>
                      <w:pPr>
                        <w:pStyle w:val="Style2"/>
                        <w:keepNext w:val="0"/>
                        <w:keepLines w:val="0"/>
                        <w:widowControl w:val="0"/>
                        <w:pBdr>
                          <w:top w:val="single" w:sz="0" w:space="0" w:color="295DA9"/>
                          <w:left w:val="single" w:sz="0" w:space="0" w:color="295DA9"/>
                          <w:bottom w:val="single" w:sz="0" w:space="0" w:color="295DA9"/>
                          <w:right w:val="single" w:sz="0" w:space="0" w:color="295DA9"/>
                        </w:pBdr>
                        <w:shd w:val="clear" w:color="auto" w:fill="295DA9"/>
                        <w:bidi w:val="0"/>
                        <w:spacing w:before="0" w:after="0" w:line="233" w:lineRule="auto"/>
                        <w:ind w:left="0" w:right="0" w:firstLine="3900"/>
                        <w:jc w:val="both"/>
                        <w:rPr>
                          <w:sz w:val="74"/>
                          <w:szCs w:val="74"/>
                        </w:rPr>
                      </w:pPr>
                      <w:r>
                        <w:rPr>
                          <w:rStyle w:val="CharStyle3"/>
                          <w:color w:val="FFFFFF"/>
                          <w:sz w:val="74"/>
                          <w:szCs w:val="74"/>
                        </w:rPr>
                        <w:t>zdrojové přiměřenOsti ES ČR</w:t>
                      </w:r>
                    </w:p>
                  </w:txbxContent>
                </v:textbox>
                <w10:wrap type="topAndBottom"/>
              </v:shape>
            </w:pict>
          </mc:Fallback>
        </mc:AlternateContent>
      </w:r>
      <w:r>
        <mc:AlternateContent>
          <mc:Choice Requires="wps">
            <w:drawing>
              <wp:anchor distT="0" distB="0" distL="0" distR="4321810" simplePos="0" relativeHeight="125829382" behindDoc="0" locked="0" layoutInCell="1" allowOverlap="1">
                <wp:simplePos x="0" y="0"/>
                <wp:positionH relativeFrom="column">
                  <wp:posOffset>2249170</wp:posOffset>
                </wp:positionH>
                <wp:positionV relativeFrom="paragraph">
                  <wp:posOffset>1420495</wp:posOffset>
                </wp:positionV>
                <wp:extent cx="3237230" cy="1332230"/>
                <wp:wrapTopAndBottom/>
                <wp:docPr id="6" name="Shape 6"/>
                <a:graphic xmlns:a="http://schemas.openxmlformats.org/drawingml/2006/main">
                  <a:graphicData uri="http://schemas.microsoft.com/office/word/2010/wordprocessingShape">
                    <wps:wsp>
                      <wps:cNvSpPr txBox="1"/>
                      <wps:spPr>
                        <a:xfrm>
                          <a:ext cx="3237230" cy="1332230"/>
                        </a:xfrm>
                        <a:prstGeom prst="rect"/>
                        <a:noFill/>
                      </wps:spPr>
                      <wps:txbx>
                        <w:txbxContent>
                          <w:p>
                            <w:pPr>
                              <w:pStyle w:val="Style2"/>
                              <w:keepNext w:val="0"/>
                              <w:keepLines w:val="0"/>
                              <w:widowControl w:val="0"/>
                              <w:pBdr>
                                <w:top w:val="single" w:sz="0" w:space="0" w:color="2C5EAA"/>
                                <w:left w:val="single" w:sz="0" w:space="0" w:color="2C5EAA"/>
                                <w:bottom w:val="single" w:sz="0" w:space="0" w:color="2C5EAA"/>
                                <w:right w:val="single" w:sz="0" w:space="0" w:color="2C5EAA"/>
                              </w:pBdr>
                              <w:shd w:val="clear" w:color="auto" w:fill="2C5EAA"/>
                              <w:bidi w:val="0"/>
                              <w:spacing w:before="0" w:after="220" w:line="240" w:lineRule="auto"/>
                              <w:ind w:left="0" w:right="0" w:firstLine="0"/>
                              <w:jc w:val="left"/>
                              <w:rPr>
                                <w:sz w:val="74"/>
                                <w:szCs w:val="74"/>
                              </w:rPr>
                            </w:pPr>
                            <w:r>
                              <w:rPr>
                                <w:rStyle w:val="CharStyle3"/>
                                <w:color w:val="FFFFFF"/>
                                <w:sz w:val="74"/>
                                <w:szCs w:val="74"/>
                              </w:rPr>
                              <w:t>do roku 2040</w:t>
                            </w:r>
                          </w:p>
                          <w:p>
                            <w:pPr>
                              <w:pStyle w:val="Style2"/>
                              <w:keepNext w:val="0"/>
                              <w:keepLines w:val="0"/>
                              <w:widowControl w:val="0"/>
                              <w:pBdr>
                                <w:top w:val="single" w:sz="0" w:space="0" w:color="2C5EAA"/>
                                <w:left w:val="single" w:sz="0" w:space="0" w:color="2C5EAA"/>
                                <w:bottom w:val="single" w:sz="0" w:space="0" w:color="2C5EAA"/>
                                <w:right w:val="single" w:sz="0" w:space="0" w:color="2C5EAA"/>
                              </w:pBdr>
                              <w:shd w:val="clear" w:color="auto" w:fill="2C5EAA"/>
                              <w:bidi w:val="0"/>
                              <w:spacing w:before="0" w:after="0" w:line="240" w:lineRule="auto"/>
                              <w:ind w:left="0" w:right="0" w:firstLine="0"/>
                              <w:jc w:val="left"/>
                              <w:rPr>
                                <w:sz w:val="74"/>
                                <w:szCs w:val="74"/>
                              </w:rPr>
                            </w:pPr>
                            <w:r>
                              <w:rPr>
                                <w:rStyle w:val="CharStyle3"/>
                                <w:color w:val="FFFFFF"/>
                                <w:sz w:val="74"/>
                                <w:szCs w:val="74"/>
                              </w:rPr>
                              <w:t>MAF CZ 2022)</w:t>
                            </w:r>
                          </w:p>
                        </w:txbxContent>
                      </wps:txbx>
                      <wps:bodyPr lIns="0" tIns="0" rIns="0" bIns="0">
                        <a:noAutoFit/>
                      </wps:bodyPr>
                    </wps:wsp>
                  </a:graphicData>
                </a:graphic>
              </wp:anchor>
            </w:drawing>
          </mc:Choice>
          <mc:Fallback>
            <w:pict>
              <v:shape id="_x0000_s1032" type="#_x0000_t202" style="position:absolute;margin-left:177.09999999999999pt;margin-top:111.85000000000001pt;width:254.90000000000001pt;height:104.90000000000001pt;z-index:-125829371;mso-wrap-distance-left:0;mso-wrap-distance-right:340.30000000000001pt" filled="f" stroked="f">
                <v:textbox inset="0,0,0,0">
                  <w:txbxContent>
                    <w:p>
                      <w:pPr>
                        <w:pStyle w:val="Style2"/>
                        <w:keepNext w:val="0"/>
                        <w:keepLines w:val="0"/>
                        <w:widowControl w:val="0"/>
                        <w:pBdr>
                          <w:top w:val="single" w:sz="0" w:space="0" w:color="2C5EAA"/>
                          <w:left w:val="single" w:sz="0" w:space="0" w:color="2C5EAA"/>
                          <w:bottom w:val="single" w:sz="0" w:space="0" w:color="2C5EAA"/>
                          <w:right w:val="single" w:sz="0" w:space="0" w:color="2C5EAA"/>
                        </w:pBdr>
                        <w:shd w:val="clear" w:color="auto" w:fill="2C5EAA"/>
                        <w:bidi w:val="0"/>
                        <w:spacing w:before="0" w:after="220" w:line="240" w:lineRule="auto"/>
                        <w:ind w:left="0" w:right="0" w:firstLine="0"/>
                        <w:jc w:val="left"/>
                        <w:rPr>
                          <w:sz w:val="74"/>
                          <w:szCs w:val="74"/>
                        </w:rPr>
                      </w:pPr>
                      <w:r>
                        <w:rPr>
                          <w:rStyle w:val="CharStyle3"/>
                          <w:color w:val="FFFFFF"/>
                          <w:sz w:val="74"/>
                          <w:szCs w:val="74"/>
                        </w:rPr>
                        <w:t>do roku 2040</w:t>
                      </w:r>
                    </w:p>
                    <w:p>
                      <w:pPr>
                        <w:pStyle w:val="Style2"/>
                        <w:keepNext w:val="0"/>
                        <w:keepLines w:val="0"/>
                        <w:widowControl w:val="0"/>
                        <w:pBdr>
                          <w:top w:val="single" w:sz="0" w:space="0" w:color="2C5EAA"/>
                          <w:left w:val="single" w:sz="0" w:space="0" w:color="2C5EAA"/>
                          <w:bottom w:val="single" w:sz="0" w:space="0" w:color="2C5EAA"/>
                          <w:right w:val="single" w:sz="0" w:space="0" w:color="2C5EAA"/>
                        </w:pBdr>
                        <w:shd w:val="clear" w:color="auto" w:fill="2C5EAA"/>
                        <w:bidi w:val="0"/>
                        <w:spacing w:before="0" w:after="0" w:line="240" w:lineRule="auto"/>
                        <w:ind w:left="0" w:right="0" w:firstLine="0"/>
                        <w:jc w:val="left"/>
                        <w:rPr>
                          <w:sz w:val="74"/>
                          <w:szCs w:val="74"/>
                        </w:rPr>
                      </w:pPr>
                      <w:r>
                        <w:rPr>
                          <w:rStyle w:val="CharStyle3"/>
                          <w:color w:val="FFFFFF"/>
                          <w:sz w:val="74"/>
                          <w:szCs w:val="74"/>
                        </w:rPr>
                        <w:t>MAF CZ 2022)</w:t>
                      </w:r>
                    </w:p>
                  </w:txbxContent>
                </v:textbox>
                <w10:wrap type="topAndBottom"/>
              </v:shape>
            </w:pict>
          </mc:Fallback>
        </mc:AlternateContent>
      </w:r>
    </w:p>
    <w:p>
      <w:pPr>
        <w:pStyle w:val="Style5"/>
        <w:keepNext w:val="0"/>
        <w:keepLines w:val="0"/>
        <w:widowControl w:val="0"/>
        <w:shd w:val="clear" w:color="auto" w:fill="auto"/>
        <w:bidi w:val="0"/>
        <w:spacing w:before="0" w:after="1440" w:line="240" w:lineRule="auto"/>
        <w:ind w:left="0" w:right="0" w:firstLine="0"/>
        <w:jc w:val="center"/>
        <w:rPr>
          <w:sz w:val="40"/>
          <w:szCs w:val="40"/>
        </w:rPr>
      </w:pPr>
      <w:r>
        <w:rPr>
          <w:rStyle w:val="CharStyle6"/>
          <w:color w:val="006AB4"/>
          <w:sz w:val="40"/>
          <w:szCs w:val="40"/>
        </w:rPr>
        <w:t>Hodnocení zdrojové</w:t>
        <w:br/>
        <w:t>přiměřenosti ES ČR</w:t>
        <w:br/>
        <w:t>do roku 2040</w:t>
        <w:br/>
        <w:t>(MAF CZ)</w:t>
      </w:r>
    </w:p>
    <w:p>
      <w:pPr>
        <w:pStyle w:val="Style5"/>
        <w:keepNext w:val="0"/>
        <w:keepLines w:val="0"/>
        <w:widowControl w:val="0"/>
        <w:shd w:val="clear" w:color="auto" w:fill="auto"/>
        <w:bidi w:val="0"/>
        <w:spacing w:before="0" w:after="0" w:line="240" w:lineRule="auto"/>
        <w:ind w:left="0" w:right="0" w:firstLine="0"/>
        <w:jc w:val="center"/>
        <w:rPr>
          <w:sz w:val="40"/>
          <w:szCs w:val="40"/>
        </w:rPr>
        <w:sectPr>
          <w:footnotePr>
            <w:pos w:val="pageBottom"/>
            <w:numFmt w:val="decimal"/>
            <w:numRestart w:val="continuous"/>
          </w:footnotePr>
          <w:pgSz w:w="12142" w:h="17375"/>
          <w:pgMar w:top="6753" w:right="119" w:bottom="6563" w:left="119" w:header="0" w:footer="3" w:gutter="0"/>
          <w:pgNumType w:start="3"/>
          <w:cols w:space="720"/>
          <w:noEndnote/>
          <w:rtlGutter/>
          <w:docGrid w:linePitch="360"/>
        </w:sectPr>
      </w:pPr>
      <w:r>
        <w:rPr>
          <w:rStyle w:val="CharStyle6"/>
          <w:color w:val="006AB4"/>
          <w:sz w:val="40"/>
          <w:szCs w:val="40"/>
        </w:rPr>
        <w:t>2022</w:t>
      </w:r>
    </w:p>
    <w:p>
      <w:pPr>
        <w:widowControl w:val="0"/>
        <w:jc w:val="center"/>
        <w:rPr>
          <w:sz w:val="2"/>
          <w:szCs w:val="2"/>
        </w:rPr>
        <w:sectPr>
          <w:footnotePr>
            <w:pos w:val="pageBottom"/>
            <w:numFmt w:val="decimal"/>
            <w:numRestart w:val="continuous"/>
          </w:footnotePr>
          <w:pgSz w:w="12142" w:h="17361"/>
          <w:pgMar w:top="175" w:right="119" w:bottom="161" w:left="119" w:header="0" w:footer="3" w:gutter="0"/>
          <w:cols w:space="720"/>
          <w:noEndnote/>
          <w:rtlGutter w:val="0"/>
          <w:docGrid w:linePitch="360"/>
        </w:sectPr>
      </w:pPr>
      <w:r>
        <w:drawing>
          <wp:inline>
            <wp:extent cx="7559040" cy="10686415"/>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pic:blipFill>
                  <pic:spPr>
                    <a:xfrm>
                      <a:ext cx="7559040" cy="10686415"/>
                    </a:xfrm>
                    <a:prstGeom prst="rect"/>
                  </pic:spPr>
                </pic:pic>
              </a:graphicData>
            </a:graphic>
          </wp:inline>
        </w:drawing>
      </w:r>
    </w:p>
    <w:p>
      <w:pPr>
        <w:pStyle w:val="Style5"/>
        <w:keepNext w:val="0"/>
        <w:keepLines w:val="0"/>
        <w:widowControl w:val="0"/>
        <w:shd w:val="clear" w:color="auto" w:fill="auto"/>
        <w:bidi w:val="0"/>
        <w:spacing w:before="0" w:after="860" w:line="240" w:lineRule="auto"/>
        <w:ind w:left="0" w:right="0" w:firstLine="0"/>
        <w:jc w:val="left"/>
        <w:rPr>
          <w:sz w:val="40"/>
          <w:szCs w:val="40"/>
        </w:rPr>
      </w:pPr>
      <w:r>
        <w:rPr>
          <w:rStyle w:val="CharStyle6"/>
          <w:rFonts w:ascii="Trebuchet MS" w:eastAsia="Trebuchet MS" w:hAnsi="Trebuchet MS" w:cs="Trebuchet MS"/>
          <w:b/>
          <w:bCs/>
          <w:color w:val="006AB4"/>
          <w:sz w:val="40"/>
          <w:szCs w:val="40"/>
        </w:rPr>
        <w:t>OBSAH</w:t>
      </w:r>
    </w:p>
    <w:p>
      <w:pPr>
        <w:pStyle w:val="Style12"/>
        <w:keepNext w:val="0"/>
        <w:keepLines w:val="0"/>
        <w:widowControl w:val="0"/>
        <w:shd w:val="clear" w:color="auto" w:fill="auto"/>
        <w:tabs>
          <w:tab w:pos="9734" w:val="right"/>
        </w:tabs>
        <w:bidi w:val="0"/>
        <w:spacing w:before="0" w:after="0" w:line="240" w:lineRule="auto"/>
        <w:ind w:left="1020" w:right="0" w:firstLine="0"/>
        <w:jc w:val="both"/>
      </w:pPr>
      <w:r>
        <w:fldChar w:fldCharType="begin"/>
        <w:instrText xml:space="preserve"> TOC \o "1-5" \h \z </w:instrText>
        <w:fldChar w:fldCharType="separate"/>
      </w:r>
      <w:hyperlink w:anchor="bookmark0" w:tooltip="Current Document">
        <w:r>
          <w:rPr>
            <w:rStyle w:val="CharStyle13"/>
            <w:b/>
            <w:bCs/>
          </w:rPr>
          <w:t>Manažerské shrnutí</w:t>
          <w:tab/>
          <w:t>4</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2" w:tooltip="Current Document">
        <w:r>
          <w:rPr>
            <w:rStyle w:val="CharStyle13"/>
            <w:b/>
            <w:bCs/>
          </w:rPr>
          <w:t>Úvod</w:t>
          <w:tab/>
          <w:t>6</w:t>
        </w:r>
      </w:hyperlink>
    </w:p>
    <w:p>
      <w:pPr>
        <w:pStyle w:val="Style12"/>
        <w:keepNext w:val="0"/>
        <w:keepLines w:val="0"/>
        <w:widowControl w:val="0"/>
        <w:numPr>
          <w:ilvl w:val="0"/>
          <w:numId w:val="1"/>
        </w:numPr>
        <w:shd w:val="clear" w:color="auto" w:fill="auto"/>
        <w:tabs>
          <w:tab w:pos="932" w:val="left"/>
          <w:tab w:pos="4050" w:val="center"/>
          <w:tab w:pos="9734" w:val="right"/>
        </w:tabs>
        <w:bidi w:val="0"/>
        <w:spacing w:before="0" w:after="0" w:line="240" w:lineRule="auto"/>
        <w:ind w:left="0" w:right="0" w:firstLine="0"/>
        <w:jc w:val="left"/>
      </w:pPr>
      <w:hyperlink w:anchor="bookmark4" w:tooltip="Current Document">
        <w:r>
          <w:rPr>
            <w:rStyle w:val="CharStyle13"/>
            <w:b/>
            <w:bCs/>
          </w:rPr>
          <w:t>Stanovení hodnoty VOLL, CONE a</w:t>
          <w:tab/>
          <w:t>normy spolehlivosti pro ČR</w:t>
          <w:tab/>
          <w:t>8</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6" w:tooltip="Current Document">
        <w:r>
          <w:rPr>
            <w:rStyle w:val="CharStyle13"/>
          </w:rPr>
          <w:t>Value of Lost Load (VOLL)</w:t>
          <w:tab/>
        </w:r>
        <w:r>
          <w:rPr>
            <w:rStyle w:val="CharStyle13"/>
            <w:b/>
            <w:bCs/>
          </w:rPr>
          <w:t>8</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0" w:tooltip="Current Document">
        <w:r>
          <w:rPr>
            <w:rStyle w:val="CharStyle13"/>
          </w:rPr>
          <w:t>Cost of New Entry (CONE)</w:t>
          <w:tab/>
        </w:r>
        <w:r>
          <w:rPr>
            <w:rStyle w:val="CharStyle13"/>
            <w:b/>
            <w:bCs/>
          </w:rPr>
          <w:t>9</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3" w:tooltip="Current Document">
        <w:r>
          <w:rPr>
            <w:rStyle w:val="CharStyle13"/>
          </w:rPr>
          <w:t>Stanovení normy spolehlivosti</w:t>
          <w:tab/>
        </w:r>
        <w:r>
          <w:rPr>
            <w:rStyle w:val="CharStyle13"/>
            <w:b/>
            <w:bCs/>
          </w:rPr>
          <w:t>10</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16" w:tooltip="Current Document">
        <w:r>
          <w:rPr>
            <w:rStyle w:val="CharStyle13"/>
            <w:b/>
            <w:bCs/>
          </w:rPr>
          <w:t>ENTSO-E ERAA 2022</w:t>
          <w:tab/>
          <w:t>12</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23" w:tooltip="Current Document">
        <w:r>
          <w:rPr>
            <w:rStyle w:val="CharStyle13"/>
          </w:rPr>
          <w:t>Rozdíly MAF CZ 2021 vs. 2022</w:t>
          <w:tab/>
        </w:r>
        <w:r>
          <w:rPr>
            <w:rStyle w:val="CharStyle13"/>
            <w:b/>
            <w:bCs/>
          </w:rPr>
          <w:t>14</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25" w:tooltip="Current Document">
        <w:r>
          <w:rPr>
            <w:rStyle w:val="CharStyle13"/>
            <w:b/>
            <w:bCs/>
          </w:rPr>
          <w:t>Střednědobý výhled výrobních kapacit ES ČR</w:t>
          <w:tab/>
          <w:t>15</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r>
        <w:rPr>
          <w:rStyle w:val="CharStyle13"/>
        </w:rPr>
        <w:t>Spalovací zdroje využívající fosilní paliva</w:t>
        <w:tab/>
      </w:r>
      <w:r>
        <w:rPr>
          <w:rStyle w:val="CharStyle13"/>
          <w:b/>
          <w:bCs/>
        </w:rPr>
        <w:t>17</w:t>
      </w:r>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44" w:tooltip="Current Document">
        <w:r>
          <w:rPr>
            <w:rStyle w:val="CharStyle13"/>
          </w:rPr>
          <w:t>Uhelné elektrárny</w:t>
          <w:tab/>
        </w:r>
        <w:r>
          <w:rPr>
            <w:rStyle w:val="CharStyle13"/>
            <w:b/>
            <w:bCs/>
          </w:rPr>
          <w:t>17</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r>
        <w:rPr>
          <w:rStyle w:val="CharStyle13"/>
        </w:rPr>
        <w:t>Plynové elektrárny</w:t>
        <w:tab/>
      </w:r>
      <w:r>
        <w:rPr>
          <w:rStyle w:val="CharStyle13"/>
          <w:b/>
          <w:bCs/>
        </w:rPr>
        <w:t>19</w:t>
      </w:r>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49" w:tooltip="Current Document">
        <w:r>
          <w:rPr>
            <w:rStyle w:val="CharStyle13"/>
          </w:rPr>
          <w:t>Teplárenství</w:t>
          <w:tab/>
        </w:r>
        <w:r>
          <w:rPr>
            <w:rStyle w:val="CharStyle13"/>
            <w:b/>
            <w:bCs/>
          </w:rPr>
          <w:t>20</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51" w:tooltip="Current Document">
        <w:r>
          <w:rPr>
            <w:rStyle w:val="CharStyle13"/>
          </w:rPr>
          <w:t>Jaderné elektrárny</w:t>
          <w:tab/>
        </w:r>
        <w:r>
          <w:rPr>
            <w:rStyle w:val="CharStyle13"/>
            <w:b/>
            <w:bCs/>
          </w:rPr>
          <w:t>20</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53" w:tooltip="Current Document">
        <w:r>
          <w:rPr>
            <w:rStyle w:val="CharStyle13"/>
          </w:rPr>
          <w:t>Vodní elektrárny</w:t>
          <w:tab/>
        </w:r>
        <w:r>
          <w:rPr>
            <w:rStyle w:val="CharStyle13"/>
            <w:b/>
            <w:bCs/>
          </w:rPr>
          <w:t>21</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55" w:tooltip="Current Document">
        <w:r>
          <w:rPr>
            <w:rStyle w:val="CharStyle13"/>
          </w:rPr>
          <w:t>OZE a decentralizovaná energetika</w:t>
          <w:tab/>
        </w:r>
        <w:r>
          <w:rPr>
            <w:rStyle w:val="CharStyle13"/>
            <w:b/>
            <w:bCs/>
          </w:rPr>
          <w:t>21</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57" w:tooltip="Current Document">
        <w:r>
          <w:rPr>
            <w:rStyle w:val="CharStyle13"/>
          </w:rPr>
          <w:t>Fotovoltaické a větrné elektrárny</w:t>
          <w:tab/>
        </w:r>
        <w:r>
          <w:rPr>
            <w:rStyle w:val="CharStyle13"/>
            <w:b/>
            <w:bCs/>
          </w:rPr>
          <w:t>21</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64" w:tooltip="Current Document">
        <w:r>
          <w:rPr>
            <w:rStyle w:val="CharStyle13"/>
          </w:rPr>
          <w:t>Bioplynové stanice a využití biomasy</w:t>
          <w:tab/>
        </w:r>
        <w:r>
          <w:rPr>
            <w:rStyle w:val="CharStyle13"/>
            <w:b/>
            <w:bCs/>
          </w:rPr>
          <w:t>24</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74" w:tooltip="Current Document">
        <w:r>
          <w:rPr>
            <w:rStyle w:val="CharStyle13"/>
          </w:rPr>
          <w:t>Tuhý komunální odpad</w:t>
          <w:tab/>
        </w:r>
        <w:r>
          <w:rPr>
            <w:rStyle w:val="CharStyle13"/>
            <w:b/>
            <w:bCs/>
          </w:rPr>
          <w:t>27</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79" w:tooltip="Current Document">
        <w:r>
          <w:rPr>
            <w:rStyle w:val="CharStyle13"/>
          </w:rPr>
          <w:t>Geotermální zdroje</w:t>
          <w:tab/>
        </w:r>
        <w:r>
          <w:rPr>
            <w:rStyle w:val="CharStyle13"/>
            <w:b/>
            <w:bCs/>
          </w:rPr>
          <w:t>28</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83" w:tooltip="Current Document">
        <w:r>
          <w:rPr>
            <w:rStyle w:val="CharStyle13"/>
          </w:rPr>
          <w:t>Bateriová akumulace</w:t>
          <w:tab/>
        </w:r>
        <w:r>
          <w:rPr>
            <w:rStyle w:val="CharStyle13"/>
            <w:b/>
            <w:bCs/>
          </w:rPr>
          <w:t>29</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88" w:tooltip="Current Document">
        <w:r>
          <w:rPr>
            <w:rStyle w:val="CharStyle13"/>
          </w:rPr>
          <w:t>Vodík</w:t>
          <w:tab/>
        </w:r>
        <w:r>
          <w:rPr>
            <w:rStyle w:val="CharStyle13"/>
            <w:b/>
            <w:bCs/>
          </w:rPr>
          <w:t>31</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93" w:tooltip="Current Document">
        <w:r>
          <w:rPr>
            <w:rStyle w:val="CharStyle13"/>
          </w:rPr>
          <w:t>Elektrolyzéry</w:t>
          <w:tab/>
        </w:r>
        <w:r>
          <w:rPr>
            <w:rStyle w:val="CharStyle13"/>
            <w:b/>
            <w:bCs/>
          </w:rPr>
          <w:t>32</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97" w:tooltip="Current Document">
        <w:r>
          <w:rPr>
            <w:rStyle w:val="CharStyle13"/>
          </w:rPr>
          <w:t>Palivové články</w:t>
          <w:tab/>
        </w:r>
        <w:r>
          <w:rPr>
            <w:rStyle w:val="CharStyle13"/>
            <w:b/>
            <w:bCs/>
          </w:rPr>
          <w:t>33</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104" w:tooltip="Current Document">
        <w:r>
          <w:rPr>
            <w:rStyle w:val="CharStyle13"/>
            <w:b/>
            <w:bCs/>
          </w:rPr>
          <w:t>Spotřeba elektřiny</w:t>
          <w:tab/>
          <w:t>36</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06" w:tooltip="Current Document">
        <w:r>
          <w:rPr>
            <w:rStyle w:val="CharStyle13"/>
          </w:rPr>
          <w:t>Scénáře vývoje spotřeby</w:t>
          <w:tab/>
        </w:r>
        <w:r>
          <w:rPr>
            <w:rStyle w:val="CharStyle13"/>
            <w:b/>
            <w:bCs/>
          </w:rPr>
          <w:t>36</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10" w:tooltip="Current Document">
        <w:r>
          <w:rPr>
            <w:rStyle w:val="CharStyle13"/>
          </w:rPr>
          <w:t>Respondentní/Konzervativní scénář spotřeby</w:t>
          <w:tab/>
        </w:r>
        <w:r>
          <w:rPr>
            <w:rStyle w:val="CharStyle13"/>
            <w:b/>
            <w:bCs/>
          </w:rPr>
          <w:t>37</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24" w:tooltip="Current Document">
        <w:r>
          <w:rPr>
            <w:rStyle w:val="CharStyle13"/>
          </w:rPr>
          <w:t>Progresivní scénář spotřeby</w:t>
          <w:tab/>
        </w:r>
        <w:r>
          <w:rPr>
            <w:rStyle w:val="CharStyle13"/>
            <w:b/>
            <w:bCs/>
          </w:rPr>
          <w:t>41</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36" w:tooltip="Current Document">
        <w:r>
          <w:rPr>
            <w:rStyle w:val="CharStyle13"/>
          </w:rPr>
          <w:t>Dekarbonizační scénář spotřeby</w:t>
          <w:tab/>
        </w:r>
        <w:r>
          <w:rPr>
            <w:rStyle w:val="CharStyle13"/>
            <w:b/>
            <w:bCs/>
          </w:rPr>
          <w:t>45</w:t>
        </w:r>
      </w:hyperlink>
    </w:p>
    <w:p>
      <w:pPr>
        <w:pStyle w:val="Style12"/>
        <w:keepNext w:val="0"/>
        <w:keepLines w:val="0"/>
        <w:widowControl w:val="0"/>
        <w:numPr>
          <w:ilvl w:val="0"/>
          <w:numId w:val="1"/>
        </w:numPr>
        <w:shd w:val="clear" w:color="auto" w:fill="auto"/>
        <w:tabs>
          <w:tab w:pos="932" w:val="left"/>
          <w:tab w:pos="4064" w:val="center"/>
          <w:tab w:pos="9734" w:val="right"/>
        </w:tabs>
        <w:bidi w:val="0"/>
        <w:spacing w:before="0" w:after="0" w:line="240" w:lineRule="auto"/>
        <w:ind w:left="0" w:right="0" w:firstLine="0"/>
        <w:jc w:val="left"/>
      </w:pPr>
      <w:hyperlink w:anchor="bookmark149" w:tooltip="Current Document">
        <w:r>
          <w:rPr>
            <w:rStyle w:val="CharStyle13"/>
            <w:b/>
            <w:bCs/>
          </w:rPr>
          <w:t>Hodnocení zdrojové přiměřenosti</w:t>
          <w:tab/>
          <w:t>ES ČR</w:t>
          <w:tab/>
          <w:t>49</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51" w:tooltip="Current Document">
        <w:r>
          <w:rPr>
            <w:rStyle w:val="CharStyle13"/>
          </w:rPr>
          <w:t>Popis scénářů</w:t>
          <w:tab/>
        </w:r>
        <w:r>
          <w:rPr>
            <w:rStyle w:val="CharStyle13"/>
            <w:b/>
            <w:bCs/>
          </w:rPr>
          <w:t>49</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53" w:tooltip="Current Document">
        <w:r>
          <w:rPr>
            <w:rStyle w:val="CharStyle13"/>
          </w:rPr>
          <w:t>Společné předpoklady</w:t>
          <w:tab/>
        </w:r>
        <w:r>
          <w:rPr>
            <w:rStyle w:val="CharStyle13"/>
            <w:b/>
            <w:bCs/>
          </w:rPr>
          <w:t>49</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55" w:tooltip="Current Document">
        <w:r>
          <w:rPr>
            <w:rStyle w:val="CharStyle13"/>
          </w:rPr>
          <w:t>Respondentní scénář</w:t>
          <w:tab/>
        </w:r>
        <w:r>
          <w:rPr>
            <w:rStyle w:val="CharStyle13"/>
            <w:b/>
            <w:bCs/>
          </w:rPr>
          <w:t>49</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63" w:tooltip="Current Document">
        <w:r>
          <w:rPr>
            <w:rStyle w:val="CharStyle13"/>
          </w:rPr>
          <w:t>Konzervativní scénář</w:t>
          <w:tab/>
        </w:r>
        <w:r>
          <w:rPr>
            <w:rStyle w:val="CharStyle13"/>
            <w:b/>
            <w:bCs/>
          </w:rPr>
          <w:t>52</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70" w:tooltip="Current Document">
        <w:r>
          <w:rPr>
            <w:rStyle w:val="CharStyle13"/>
          </w:rPr>
          <w:t>Progresivní scénář</w:t>
          <w:tab/>
        </w:r>
        <w:r>
          <w:rPr>
            <w:rStyle w:val="CharStyle13"/>
            <w:b/>
            <w:bCs/>
          </w:rPr>
          <w:t>54</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77" w:tooltip="Current Document">
        <w:r>
          <w:rPr>
            <w:rStyle w:val="CharStyle13"/>
          </w:rPr>
          <w:t>Dekarbonizační scénář</w:t>
          <w:tab/>
        </w:r>
        <w:r>
          <w:rPr>
            <w:rStyle w:val="CharStyle13"/>
            <w:b/>
            <w:bCs/>
          </w:rPr>
          <w:t>56</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84" w:tooltip="Current Document">
        <w:r>
          <w:rPr>
            <w:rStyle w:val="CharStyle13"/>
          </w:rPr>
          <w:t>Podpůrné služby (PpS)</w:t>
          <w:tab/>
        </w:r>
        <w:r>
          <w:rPr>
            <w:rStyle w:val="CharStyle13"/>
            <w:b/>
            <w:bCs/>
          </w:rPr>
          <w:t>58</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188" w:tooltip="Current Document">
        <w:r>
          <w:rPr>
            <w:rStyle w:val="CharStyle13"/>
          </w:rPr>
          <w:t>Analýza výsledků simulací nasazení zdrojů</w:t>
          <w:tab/>
        </w:r>
        <w:r>
          <w:rPr>
            <w:rStyle w:val="CharStyle13"/>
            <w:b/>
            <w:bCs/>
          </w:rPr>
          <w:t>59</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191" w:tooltip="Current Document">
        <w:r>
          <w:rPr>
            <w:rStyle w:val="CharStyle13"/>
          </w:rPr>
          <w:t>Respondentní scénář</w:t>
          <w:tab/>
        </w:r>
        <w:r>
          <w:rPr>
            <w:rStyle w:val="CharStyle13"/>
            <w:b/>
            <w:bCs/>
          </w:rPr>
          <w:t>60</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r>
        <w:rPr>
          <w:rStyle w:val="CharStyle13"/>
        </w:rPr>
        <w:t>Konzervativní scénář</w:t>
        <w:tab/>
      </w:r>
      <w:r>
        <w:rPr>
          <w:rStyle w:val="CharStyle13"/>
          <w:b/>
          <w:bCs/>
        </w:rPr>
        <w:t>65</w:t>
      </w:r>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16" w:tooltip="Current Document">
        <w:r>
          <w:rPr>
            <w:rStyle w:val="CharStyle13"/>
          </w:rPr>
          <w:t>Progresivní scénář</w:t>
          <w:tab/>
        </w:r>
        <w:r>
          <w:rPr>
            <w:rStyle w:val="CharStyle13"/>
            <w:b/>
            <w:bCs/>
          </w:rPr>
          <w:t>70</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28" w:tooltip="Current Document">
        <w:r>
          <w:rPr>
            <w:rStyle w:val="CharStyle13"/>
          </w:rPr>
          <w:t>Dekarbonizační scénář</w:t>
          <w:tab/>
        </w:r>
        <w:r>
          <w:rPr>
            <w:rStyle w:val="CharStyle13"/>
            <w:b/>
            <w:bCs/>
          </w:rPr>
          <w:t>75</w:t>
        </w:r>
      </w:hyperlink>
    </w:p>
    <w:p>
      <w:pPr>
        <w:pStyle w:val="Style12"/>
        <w:keepNext w:val="0"/>
        <w:keepLines w:val="0"/>
        <w:widowControl w:val="0"/>
        <w:numPr>
          <w:ilvl w:val="1"/>
          <w:numId w:val="1"/>
        </w:numPr>
        <w:shd w:val="clear" w:color="auto" w:fill="auto"/>
        <w:tabs>
          <w:tab w:pos="932" w:val="left"/>
          <w:tab w:pos="9734" w:val="right"/>
        </w:tabs>
        <w:bidi w:val="0"/>
        <w:spacing w:before="0" w:after="0" w:line="240" w:lineRule="auto"/>
        <w:ind w:left="0" w:right="0" w:firstLine="0"/>
        <w:jc w:val="left"/>
      </w:pPr>
      <w:hyperlink w:anchor="bookmark245" w:tooltip="Current Document">
        <w:r>
          <w:rPr>
            <w:rStyle w:val="CharStyle13"/>
          </w:rPr>
          <w:t>Souhrnné vyhodnocení scénářů</w:t>
          <w:tab/>
        </w:r>
        <w:r>
          <w:rPr>
            <w:rStyle w:val="CharStyle13"/>
            <w:b/>
            <w:bCs/>
          </w:rPr>
          <w:t>80</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47" w:tooltip="Current Document">
        <w:r>
          <w:rPr>
            <w:rStyle w:val="CharStyle13"/>
          </w:rPr>
          <w:t>LOLE a EENS</w:t>
          <w:tab/>
        </w:r>
        <w:r>
          <w:rPr>
            <w:rStyle w:val="CharStyle13"/>
            <w:b/>
            <w:bCs/>
          </w:rPr>
          <w:t>80</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51" w:tooltip="Current Document">
        <w:r>
          <w:rPr>
            <w:rStyle w:val="CharStyle13"/>
          </w:rPr>
          <w:t>Útlum uhelných zdrojů</w:t>
          <w:tab/>
        </w:r>
        <w:r>
          <w:rPr>
            <w:rStyle w:val="CharStyle13"/>
            <w:b/>
            <w:bCs/>
          </w:rPr>
          <w:t>80</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55" w:tooltip="Current Document">
        <w:r>
          <w:rPr>
            <w:rStyle w:val="CharStyle13"/>
          </w:rPr>
          <w:t>Dozdrojování</w:t>
          <w:tab/>
        </w:r>
        <w:r>
          <w:rPr>
            <w:rStyle w:val="CharStyle13"/>
            <w:b/>
            <w:bCs/>
          </w:rPr>
          <w:t>81</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62" w:tooltip="Current Document">
        <w:r>
          <w:rPr>
            <w:rStyle w:val="CharStyle13"/>
          </w:rPr>
          <w:t>Spotřeba paliv</w:t>
          <w:tab/>
        </w:r>
        <w:r>
          <w:rPr>
            <w:rStyle w:val="CharStyle13"/>
            <w:b/>
            <w:bCs/>
          </w:rPr>
          <w:t>82</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79" w:tooltip="Current Document">
        <w:r>
          <w:rPr>
            <w:rStyle w:val="CharStyle13"/>
          </w:rPr>
          <w:t>Emisní stopa</w:t>
          <w:tab/>
        </w:r>
        <w:r>
          <w:rPr>
            <w:rStyle w:val="CharStyle13"/>
            <w:b/>
            <w:bCs/>
          </w:rPr>
          <w:t>87</w:t>
        </w:r>
      </w:hyperlink>
    </w:p>
    <w:p>
      <w:pPr>
        <w:pStyle w:val="Style12"/>
        <w:keepNext w:val="0"/>
        <w:keepLines w:val="0"/>
        <w:widowControl w:val="0"/>
        <w:numPr>
          <w:ilvl w:val="2"/>
          <w:numId w:val="1"/>
        </w:numPr>
        <w:shd w:val="clear" w:color="auto" w:fill="auto"/>
        <w:tabs>
          <w:tab w:pos="932" w:val="left"/>
          <w:tab w:pos="9734" w:val="right"/>
        </w:tabs>
        <w:bidi w:val="0"/>
        <w:spacing w:before="0" w:after="0" w:line="240" w:lineRule="auto"/>
        <w:ind w:left="0" w:right="0" w:firstLine="0"/>
        <w:jc w:val="left"/>
      </w:pPr>
      <w:hyperlink w:anchor="bookmark292" w:tooltip="Current Document">
        <w:r>
          <w:rPr>
            <w:rStyle w:val="CharStyle13"/>
          </w:rPr>
          <w:t>Srovnání ekonomických dopadů</w:t>
          <w:tab/>
        </w:r>
        <w:r>
          <w:rPr>
            <w:rStyle w:val="CharStyle13"/>
            <w:b/>
            <w:bCs/>
          </w:rPr>
          <w:t>91</w:t>
        </w:r>
      </w:hyperlink>
    </w:p>
    <w:p>
      <w:pPr>
        <w:pStyle w:val="Style12"/>
        <w:keepNext w:val="0"/>
        <w:keepLines w:val="0"/>
        <w:widowControl w:val="0"/>
        <w:numPr>
          <w:ilvl w:val="3"/>
          <w:numId w:val="1"/>
        </w:numPr>
        <w:shd w:val="clear" w:color="auto" w:fill="auto"/>
        <w:tabs>
          <w:tab w:pos="932" w:val="left"/>
          <w:tab w:pos="4069" w:val="center"/>
          <w:tab w:pos="9734" w:val="right"/>
        </w:tabs>
        <w:bidi w:val="0"/>
        <w:spacing w:before="0" w:after="0" w:line="240" w:lineRule="auto"/>
        <w:ind w:left="0" w:right="0" w:firstLine="0"/>
        <w:jc w:val="left"/>
      </w:pPr>
      <w:hyperlink w:anchor="bookmark294" w:tooltip="Current Document">
        <w:r>
          <w:rPr>
            <w:rStyle w:val="CharStyle13"/>
          </w:rPr>
          <w:t>Představení metodiky ekonomické</w:t>
          <w:tab/>
          <w:t>části MAF CZ</w:t>
          <w:tab/>
        </w:r>
        <w:r>
          <w:rPr>
            <w:rStyle w:val="CharStyle13"/>
            <w:b/>
            <w:bCs/>
          </w:rPr>
          <w:t>91</w:t>
        </w:r>
      </w:hyperlink>
    </w:p>
    <w:p>
      <w:pPr>
        <w:pStyle w:val="Style12"/>
        <w:keepNext w:val="0"/>
        <w:keepLines w:val="0"/>
        <w:widowControl w:val="0"/>
        <w:numPr>
          <w:ilvl w:val="3"/>
          <w:numId w:val="1"/>
        </w:numPr>
        <w:shd w:val="clear" w:color="auto" w:fill="auto"/>
        <w:tabs>
          <w:tab w:pos="932" w:val="left"/>
          <w:tab w:pos="9734" w:val="right"/>
        </w:tabs>
        <w:bidi w:val="0"/>
        <w:spacing w:before="0" w:after="0" w:line="240" w:lineRule="auto"/>
        <w:ind w:left="0" w:right="0" w:firstLine="0"/>
        <w:jc w:val="left"/>
      </w:pPr>
      <w:hyperlink w:anchor="bookmark299" w:tooltip="Current Document">
        <w:r>
          <w:rPr>
            <w:rStyle w:val="CharStyle13"/>
          </w:rPr>
          <w:t>Srovnání ekonomické náročnosti scénářů</w:t>
          <w:tab/>
        </w:r>
        <w:r>
          <w:rPr>
            <w:rStyle w:val="CharStyle13"/>
            <w:b/>
            <w:bCs/>
          </w:rPr>
          <w:t>94</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16" w:tooltip="Current Document">
        <w:r>
          <w:rPr>
            <w:rStyle w:val="CharStyle13"/>
            <w:b/>
            <w:bCs/>
          </w:rPr>
          <w:t>Náklady na provoz a řízení sítí</w:t>
          <w:tab/>
          <w:t>101</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23" w:tooltip="Current Document">
        <w:r>
          <w:rPr>
            <w:rStyle w:val="CharStyle13"/>
            <w:b/>
            <w:bCs/>
          </w:rPr>
          <w:t>Závěr</w:t>
          <w:tab/>
          <w:t>104</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25" w:tooltip="Current Document">
        <w:r>
          <w:rPr>
            <w:rStyle w:val="CharStyle13"/>
            <w:b/>
            <w:bCs/>
          </w:rPr>
          <w:t>Příloha I. - Seznam zkratek</w:t>
          <w:tab/>
          <w:t>106</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27" w:tooltip="Current Document">
        <w:r>
          <w:rPr>
            <w:rStyle w:val="CharStyle13"/>
            <w:b/>
            <w:bCs/>
          </w:rPr>
          <w:t>Příloha II. - Seznam obrázků</w:t>
          <w:tab/>
          <w:t>108</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29" w:tooltip="Current Document">
        <w:r>
          <w:rPr>
            <w:rStyle w:val="CharStyle13"/>
            <w:b/>
            <w:bCs/>
          </w:rPr>
          <w:t>Příloha III. - Seznam tabulek</w:t>
          <w:tab/>
          <w:t>110</w:t>
        </w:r>
      </w:hyperlink>
    </w:p>
    <w:p>
      <w:pPr>
        <w:pStyle w:val="Style12"/>
        <w:keepNext w:val="0"/>
        <w:keepLines w:val="0"/>
        <w:widowControl w:val="0"/>
        <w:numPr>
          <w:ilvl w:val="0"/>
          <w:numId w:val="1"/>
        </w:numPr>
        <w:shd w:val="clear" w:color="auto" w:fill="auto"/>
        <w:tabs>
          <w:tab w:pos="932" w:val="left"/>
          <w:tab w:pos="9734" w:val="right"/>
        </w:tabs>
        <w:bidi w:val="0"/>
        <w:spacing w:before="0" w:after="0" w:line="240" w:lineRule="auto"/>
        <w:ind w:left="0" w:right="0" w:firstLine="0"/>
        <w:jc w:val="left"/>
      </w:pPr>
      <w:hyperlink w:anchor="bookmark331" w:tooltip="Current Document">
        <w:r>
          <w:rPr>
            <w:rStyle w:val="CharStyle13"/>
            <w:b/>
            <w:bCs/>
          </w:rPr>
          <w:t>Příloha IV. - 12 klíčových podmínek přechodu k nízkoemisní (elektro)energetice v ČR</w:t>
          <w:tab/>
          <w:t>111</w:t>
        </w:r>
      </w:hyperlink>
      <w:r>
        <w:fldChar w:fldCharType="end"/>
      </w:r>
    </w:p>
    <w:p>
      <w:pPr>
        <w:pStyle w:val="Style15"/>
        <w:keepNext/>
        <w:keepLines/>
        <w:widowControl w:val="0"/>
        <w:shd w:val="clear" w:color="auto" w:fill="auto"/>
        <w:bidi w:val="0"/>
        <w:spacing w:before="0" w:after="5640" w:line="240" w:lineRule="auto"/>
        <w:ind w:left="0" w:right="0" w:firstLine="720"/>
        <w:jc w:val="left"/>
        <w:rPr>
          <w:sz w:val="22"/>
          <w:szCs w:val="22"/>
        </w:rPr>
      </w:pPr>
      <w:bookmarkStart w:id="0" w:name="bookmark0"/>
      <w:r>
        <w:rPr>
          <w:rStyle w:val="CharStyle16"/>
          <w:rFonts w:ascii="Segoe UI" w:eastAsia="Segoe UI" w:hAnsi="Segoe UI" w:cs="Segoe UI"/>
          <w:b/>
          <w:bCs/>
          <w:sz w:val="22"/>
          <w:szCs w:val="22"/>
        </w:rPr>
        <w:t>Manažerské shrnutí</w:t>
      </w:r>
      <w:bookmarkEnd w:id="0"/>
    </w:p>
    <w:p>
      <w:pPr>
        <w:pStyle w:val="Style19"/>
        <w:keepNext w:val="0"/>
        <w:keepLines w:val="0"/>
        <w:widowControl w:val="0"/>
        <w:shd w:val="clear" w:color="auto" w:fill="auto"/>
        <w:bidi w:val="0"/>
        <w:spacing w:before="0"/>
        <w:ind w:left="720" w:right="0" w:firstLine="20"/>
        <w:jc w:val="left"/>
      </w:pPr>
      <w:r>
        <w:rPr>
          <w:rStyle w:val="CharStyle20"/>
        </w:rPr>
        <w:t>Společnost ČEPS každoročně vypracovává národní hodnocení zdrojové přiměřenosti (MAF CZ), které v několika scénářích zobrazuje možné trajektorie vývoje českého elektroenergetického sektoru. Analýza vzniká v souladu s Nařízením Evropského parlamentu a Rady (EU) 2019/943 o vnitřním trhu s elektřinou, letošní vydání přitom obsahuje čtyři scénáře - Respondentní, Konzervativní, Progresivní a Dekarbonizační. Jednotlivé scénáře predikují, zda bude elektrizační soustava v horizontu do roku 2040 zdrojově přiměřená či nikoliv. Hodnocení zohledňuje faktory, jako je předpokládaná podoba energetického mixu, importní a exportní kapacita, výše spotřeby a socioekonomický vývoj.</w:t>
      </w:r>
    </w:p>
    <w:p>
      <w:pPr>
        <w:pStyle w:val="Style19"/>
        <w:keepNext w:val="0"/>
        <w:keepLines w:val="0"/>
        <w:widowControl w:val="0"/>
        <w:shd w:val="clear" w:color="auto" w:fill="auto"/>
        <w:tabs>
          <w:tab w:leader="hyphen" w:pos="374" w:val="left"/>
        </w:tabs>
        <w:bidi w:val="0"/>
        <w:spacing w:before="0"/>
        <w:ind w:left="0" w:right="0" w:firstLine="740"/>
        <w:jc w:val="left"/>
      </w:pPr>
      <w:r>
        <w:rPr>
          <w:rStyle w:val="CharStyle20"/>
          <w:b/>
          <w:bCs/>
        </w:rPr>
        <w:t xml:space="preserve">Respondentní scénář </w:t>
      </w:r>
      <w:r>
        <w:rPr>
          <w:rStyle w:val="CharStyle20"/>
        </w:rPr>
        <w:t xml:space="preserve">zobrazuje základní trajektorii vývoje energetického mixu založenou na plánech a strategii provozovatelů zdrojů (respondentů dotazníkového šetření). V návaznosti na plány některých provozovatelů tedy neuvažuje konec uhlí před rokem 2040. Instalovaný výkon OZE narůstá pozvolna, a naproti tomu </w:t>
      </w:r>
      <w:r>
        <w:rPr>
          <w:rStyle w:val="CharStyle20"/>
          <w:color w:val="B7B8B8"/>
        </w:rPr>
        <w:tab/>
        <w:t xml:space="preserve">— </w:t>
      </w:r>
      <w:r>
        <w:rPr>
          <w:rStyle w:val="CharStyle20"/>
        </w:rPr>
        <w:t>dochází k postupnému navyšování spotřeby v kontextu zvyšování životní úrovně a uvažované střední elektrifikace (zejména sektorů dopravy a vytápění). V důsledku realizace odchodu od uhlí až po roce 2040 se výsledné hodnoty LOLE (počet hodin s nedodávkou elektřiny za 1 rok) a EENS (celková roční nedodávka) z provedených simulací nasazení zdrojů pohybují nejníž ze všech scénářů. Maximálního LOLE 3 h a EENS 0,9 GWh dosahuje scénář v roce 2040. Soustava je tak zdrojově přiměřená v průběhu celého sledovaného období.</w:t>
      </w:r>
    </w:p>
    <w:p>
      <w:pPr>
        <w:pStyle w:val="Style19"/>
        <w:keepNext w:val="0"/>
        <w:keepLines w:val="0"/>
        <w:widowControl w:val="0"/>
        <w:shd w:val="clear" w:color="auto" w:fill="auto"/>
        <w:bidi w:val="0"/>
        <w:spacing w:before="0"/>
        <w:ind w:left="720" w:right="0" w:hanging="720"/>
        <w:jc w:val="left"/>
      </w:pPr>
      <w:r>
        <w:rPr>
          <w:rStyle w:val="CharStyle20"/>
          <w:b/>
          <w:bCs/>
          <w:color w:val="B7B8B8"/>
        </w:rPr>
        <w:t xml:space="preserve"> </w:t>
      </w:r>
      <w:r>
        <w:rPr>
          <w:rStyle w:val="CharStyle20"/>
          <w:b/>
          <w:bCs/>
        </w:rPr>
        <w:t xml:space="preserve">Konzervativní scénář </w:t>
      </w:r>
      <w:r>
        <w:rPr>
          <w:rStyle w:val="CharStyle20"/>
        </w:rPr>
        <w:t>naznačuje směr, kterým se česká elektroenergetika může ubírat v případě ukončení výroby elektřiny z uhlí do roku 2038. Z pohledu rozvoje OZE, spotřeby a dalších vstupů se tento scénář shoduje s Respondentním scénářem. Z hlediska zdrojové přiměřenosti výsledky nenaznačují vážnější problémy a ve výhledu do roku 2040 počet hodin nedodávky nepřekročí normu spolehlivosti ČR (LOLE</w:t>
      </w:r>
      <w:r>
        <w:rPr>
          <w:rStyle w:val="CharStyle20"/>
          <w:sz w:val="10"/>
          <w:szCs w:val="10"/>
        </w:rPr>
        <w:t xml:space="preserve">NS </w:t>
      </w:r>
      <w:r>
        <w:rPr>
          <w:rStyle w:val="CharStyle20"/>
        </w:rPr>
        <w:t>do 15 h/rok). Navýšení importu v roce 2035 souvisí s postupným odchodem od uhlí, který je v následujících letech částečně kompenzován plánovaným dostavením nového bloku JE Dukovany a navýšením výroby na plynových zdrojích.</w:t>
      </w:r>
    </w:p>
    <w:p>
      <w:pPr>
        <w:pStyle w:val="Style19"/>
        <w:keepNext w:val="0"/>
        <w:keepLines w:val="0"/>
        <w:widowControl w:val="0"/>
        <w:shd w:val="clear" w:color="auto" w:fill="auto"/>
        <w:bidi w:val="0"/>
        <w:spacing w:before="0" w:line="300" w:lineRule="auto"/>
        <w:ind w:left="720" w:right="0" w:firstLine="20"/>
        <w:jc w:val="left"/>
      </w:pPr>
      <w:r>
        <w:rPr>
          <w:rStyle w:val="CharStyle20"/>
          <w:b/>
          <w:bCs/>
        </w:rPr>
        <w:t xml:space="preserve">Progresivní scénář </w:t>
      </w:r>
      <w:r>
        <w:rPr>
          <w:rStyle w:val="CharStyle20"/>
        </w:rPr>
        <w:t xml:space="preserve">reflektuje vývoj spojený s plány dekarbonizovat nejen elektroenergetiku v souladu s klimatickými cíli EU. Zobrazuje trajektorii odklonu od uhlí do roku 2033, který je kombinován s ambicióznějším nárůstem instalované </w:t>
      </w:r>
      <w:r>
        <w:rPr>
          <w:rStyle w:val="CharStyle20"/>
        </w:rPr>
        <w:t>kapacity OZE a navyšující se spotřebou elektřiny v důsledku intenzivní elektrifikace. Výsledky po roce 2030 indikují razantní navýšení počtu hodin nepokrytého zatížení (až na LOLE 389 h v roce 2040) stejně jako objemu nedodané energie (EENS 798 GWh v roce 2040). Podle tohoto scénáře by elektrizační soustava ČR nesplňovala požadavek na spolehlivost. Brzké ukončení výroby na uhelných zdrojích je kompenzováno nárůstem výroby na plynových zdrojích a vysokými importy, které se pohybují na hranici technické importní schopnosti české elektrizační soustavy.</w:t>
      </w:r>
    </w:p>
    <w:p>
      <w:pPr>
        <w:pStyle w:val="Style19"/>
        <w:keepNext w:val="0"/>
        <w:keepLines w:val="0"/>
        <w:widowControl w:val="0"/>
        <w:shd w:val="clear" w:color="auto" w:fill="auto"/>
        <w:bidi w:val="0"/>
        <w:spacing w:before="0"/>
        <w:ind w:left="2660" w:right="0" w:firstLine="0"/>
        <w:jc w:val="left"/>
      </w:pPr>
      <w:r>
        <w:rPr>
          <w:rStyle w:val="CharStyle20"/>
          <w:b/>
          <w:bCs/>
        </w:rPr>
        <w:t xml:space="preserve">Dekarbonizační scénář </w:t>
      </w:r>
      <w:r>
        <w:rPr>
          <w:rStyle w:val="CharStyle20"/>
        </w:rPr>
        <w:t>je v porovnání s ostatními scénáři charakterizován rapidní dekarbonizací, kdy rozsáhlá elektrifikace, a to zejména v dopravě, vytápění a v průmyslu vede k výraznému navýšení spotřeby elektřiny. Portfolio zdrojů je založeno na konci uhlí k roku 2030 a instalovaná kapacita OZE v něm v průběhu sledovaného horizontu narůstá na téměř dvojnásobek oproti Konzervativnímu scénáři. Ani za vysokého využití plynových zdrojů a vysokých objemů importované elektřiny však není toto portfolio schopno udržet soustavu ve stavu zdrojové přiměřenosti. V roce 2030 dosahují hodnoty LOLE 105 h a objem nedodané energie 83,5 GWh. LOLE pro rok 2040 vzroste až na 1 085 h a EENS na 2 676 GWh (2 % roční spotřeby), s průměrnou hodinovou hodnotou deficitu zatížení přibližně 2 500 MW. Tyto hodnoty indikují značnou zdrojovou nepřiměřenost a scénář poukazuje na významnou potřebu rozšíření zdrojové základny ČR, případně zavedení kapacitního trhu pro udržení bezpečnosti a spolehlivosti dodávek elektřiny.</w:t>
      </w:r>
    </w:p>
    <w:p>
      <w:pPr>
        <w:pStyle w:val="Style19"/>
        <w:keepNext w:val="0"/>
        <w:keepLines w:val="0"/>
        <w:widowControl w:val="0"/>
        <w:shd w:val="clear" w:color="auto" w:fill="auto"/>
        <w:bidi w:val="0"/>
        <w:spacing w:before="0"/>
        <w:ind w:left="2660" w:right="0" w:firstLine="0"/>
        <w:jc w:val="left"/>
      </w:pPr>
      <w:r>
        <w:rPr>
          <w:rStyle w:val="CharStyle20"/>
        </w:rPr>
        <w:t>I přes implementaci úsporných opatření vzniká v důsledku významného nárůstu spotřeby elektřiny nutnost dozdrojování soustavy řiditelnými zdroji elektrické energie, konkrétně zavedením kapacitních mechanismů do české legislativy. Výsledky Progresivního a Dekarbonizačního scénáře také ukazují, že v dlouhodobém horizontu se Česká republika neobejde bez výstavby dalších nových jaderných zdrojů. Výstavba nového jaderného zdroje má navíc ve všech scénářích minimální vliv na silovou cenu elektřiny.</w:t>
      </w:r>
    </w:p>
    <w:p>
      <w:pPr>
        <w:pStyle w:val="Style19"/>
        <w:keepNext w:val="0"/>
        <w:keepLines w:val="0"/>
        <w:widowControl w:val="0"/>
        <w:shd w:val="clear" w:color="auto" w:fill="auto"/>
        <w:bidi w:val="0"/>
        <w:spacing w:before="0"/>
        <w:ind w:left="2660" w:right="0" w:firstLine="0"/>
        <w:jc w:val="left"/>
      </w:pPr>
      <w:r>
        <w:rPr>
          <w:rStyle w:val="CharStyle20"/>
        </w:rPr>
        <w:t>Simulace indikují rovněž rostoucí trend aktivace odezvy na straně spotřeby (DSR) v zahraničí jako závěrného zdroje v žebříčku zdrojů. Nutnost vyššího zapojení strany spotřeby v zahraničí je dána především nízkou dostupností evropských výrobních kapacit a nemožností importu ze vzdálenějších regionů. Zapojení zahraničního DSR však představuje velice nákladné řešení, a proto je zapotřebí nastavit vhodné podmínky na optimální rozvoj tohoto nástroje rovněž v tuzemsku.</w:t>
      </w:r>
    </w:p>
    <w:p>
      <w:pPr>
        <w:pStyle w:val="Style19"/>
        <w:keepNext w:val="0"/>
        <w:keepLines w:val="0"/>
        <w:widowControl w:val="0"/>
        <w:shd w:val="clear" w:color="auto" w:fill="auto"/>
        <w:bidi w:val="0"/>
        <w:spacing w:before="0"/>
        <w:ind w:left="2660" w:right="0" w:firstLine="0"/>
        <w:jc w:val="left"/>
      </w:pPr>
      <w:r>
        <w:rPr>
          <w:rStyle w:val="CharStyle20"/>
        </w:rPr>
        <w:t>Stoupající elektrifikace a spotřeba rovněž indikují potřebu zavádění nových nástrojů pro řízení ES ČR v oblasti flexibility, DSR, decentrálních zdrojů a digitalizace. Za účelem zabezpečení potřebného objemu Služeb systémové rovnováhy (SVR) je nutné zajistit využití přeshraničního sdílení SVR v souladu s ustanoveními uvedenými v legislativě EU.</w:t>
      </w:r>
    </w:p>
    <w:p>
      <w:pPr>
        <w:pStyle w:val="Style19"/>
        <w:keepNext w:val="0"/>
        <w:keepLines w:val="0"/>
        <w:widowControl w:val="0"/>
        <w:shd w:val="clear" w:color="auto" w:fill="auto"/>
        <w:bidi w:val="0"/>
        <w:spacing w:before="0" w:after="0"/>
        <w:ind w:left="2660" w:right="0" w:firstLine="0"/>
        <w:jc w:val="left"/>
      </w:pPr>
      <w:r>
        <w:rPr>
          <w:rStyle w:val="CharStyle20"/>
        </w:rPr>
        <w:t>Dokument kromě vyhodnocení ukazatelů zdrojové přiměřenosti bere v úvahu také environmentální a ekonomické dopady jednotlivých scénářů. Největší náklady na pokrytí tuzemské spotřeby elektřiny v letech 2025-2040 indikuje Dekarbonizační scénář. Ten je spojen s extrémně nákladným importem elektřiny ze zahraničí, vysokou výrobou z plynových zdrojů a rozsáhlými investicemi do obnovitelných zdrojů.</w:t>
      </w:r>
    </w:p>
    <w:p>
      <w:pPr>
        <w:pStyle w:val="Style19"/>
        <w:keepNext w:val="0"/>
        <w:keepLines w:val="0"/>
        <w:widowControl w:val="0"/>
        <w:shd w:val="clear" w:color="auto" w:fill="auto"/>
        <w:bidi w:val="0"/>
        <w:spacing w:before="0"/>
        <w:ind w:left="2660" w:right="0" w:firstLine="0"/>
        <w:jc w:val="left"/>
      </w:pPr>
      <w:r>
        <w:rPr>
          <w:rStyle w:val="CharStyle20"/>
        </w:rPr>
        <w:t>Nejnižší náklady naopak vykazuje Respondentní scénář, následovaný Konzervativním a Progresivním scénářem, neboť s nižší poptávkou elektřiny a pozdějším odklonem od uhlí klesá i ekonomická náročnost na pokrytí spotřeby. Z hlediska vyhodnocení environmentálních dopadů jednotlivých scénářů vychází nejvyšší emisní zátěž paradoxně u Dekarbonizačního scénáře. To je dáno zejména tím, že sektor elektroenergetiky přebere emisní zátěž jiných sektorů (zejména doprava, vytápění a průmysl), kde dochází k dekarbonizaci prostřednictvím elektrifikace.</w:t>
      </w:r>
    </w:p>
    <w:p>
      <w:pPr>
        <w:pStyle w:val="Style15"/>
        <w:keepNext/>
        <w:keepLines/>
        <w:widowControl w:val="0"/>
        <w:numPr>
          <w:ilvl w:val="0"/>
          <w:numId w:val="3"/>
        </w:numPr>
        <w:shd w:val="clear" w:color="auto" w:fill="auto"/>
        <w:tabs>
          <w:tab w:pos="1014" w:val="left"/>
        </w:tabs>
        <w:bidi w:val="0"/>
        <w:spacing w:before="0" w:after="5640" w:line="240" w:lineRule="auto"/>
        <w:ind w:left="0" w:right="0" w:firstLine="720"/>
        <w:jc w:val="left"/>
        <w:rPr>
          <w:sz w:val="22"/>
          <w:szCs w:val="22"/>
        </w:rPr>
      </w:pPr>
      <w:bookmarkStart w:id="2" w:name="bookmark2"/>
      <w:r>
        <w:rPr>
          <w:rStyle w:val="CharStyle16"/>
          <w:rFonts w:ascii="Segoe UI" w:eastAsia="Segoe UI" w:hAnsi="Segoe UI" w:cs="Segoe UI"/>
          <w:b/>
          <w:bCs/>
          <w:sz w:val="22"/>
          <w:szCs w:val="22"/>
        </w:rPr>
        <w:t>Úvod</w:t>
      </w:r>
      <w:bookmarkEnd w:id="2"/>
    </w:p>
    <w:p>
      <w:pPr>
        <w:pStyle w:val="Style19"/>
        <w:keepNext w:val="0"/>
        <w:keepLines w:val="0"/>
        <w:widowControl w:val="0"/>
        <w:shd w:val="clear" w:color="auto" w:fill="auto"/>
        <w:bidi w:val="0"/>
        <w:spacing w:before="0"/>
        <w:ind w:left="720" w:right="0" w:firstLine="0"/>
        <w:jc w:val="left"/>
      </w:pPr>
      <w:r>
        <w:rPr>
          <w:rStyle w:val="CharStyle20"/>
        </w:rPr>
        <w:t>„Hodnocení zdrojové přiměřenosti ES ČR do roku 2040“ (MAF CZ) je zpracováno v souladu s Nařízením Evropského parlamentu a Rady (EU) 2019/943 o vnitřním trhu s elektřinou (dále jen Nařízení 2019/943), a to konkrétně s články 23 a 24. Hodnocení zdrojové přiměřenosti vychází každoročně a je k dispozici na webových stránkách ČEPS a MPO.</w:t>
      </w:r>
    </w:p>
    <w:p>
      <w:pPr>
        <w:pStyle w:val="Style19"/>
        <w:keepNext w:val="0"/>
        <w:keepLines w:val="0"/>
        <w:widowControl w:val="0"/>
        <w:shd w:val="clear" w:color="auto" w:fill="auto"/>
        <w:bidi w:val="0"/>
        <w:spacing w:before="0"/>
        <w:ind w:left="720" w:right="0" w:firstLine="0"/>
        <w:jc w:val="left"/>
      </w:pPr>
      <w:r>
        <w:rPr>
          <w:rStyle w:val="CharStyle20"/>
        </w:rPr>
        <w:t>ČEPS, obdobně jako ostatní provozovatelé přenosových soustav v EU, má legislativní povinnost podílet se na zpracování evropského hodnocení zdrojové přiměřenosti (ERAA). Evropské hodnocení provádí ENTSO-E každoročně a zahrnuje centrální respondentní scénáře, které ve střednědobém horizontu deseti let mapují možnou trajektorii vývoje evropské elektroenergetiky.</w:t>
      </w:r>
    </w:p>
    <w:p>
      <w:pPr>
        <w:pStyle w:val="Style19"/>
        <w:keepNext w:val="0"/>
        <w:keepLines w:val="0"/>
        <w:widowControl w:val="0"/>
        <w:shd w:val="clear" w:color="auto" w:fill="auto"/>
        <w:tabs>
          <w:tab w:leader="hyphen" w:pos="374" w:val="left"/>
        </w:tabs>
        <w:bidi w:val="0"/>
        <w:spacing w:before="0" w:after="0"/>
        <w:ind w:left="0" w:right="0" w:firstLine="720"/>
        <w:jc w:val="left"/>
      </w:pPr>
      <w:r>
        <w:rPr>
          <w:rStyle w:val="CharStyle20"/>
        </w:rPr>
        <w:t xml:space="preserve">Nařízení 2019/943 ukládá výrobcům a dalším účastníkům trhu (v ČR např. obchodníci, zákazníci, operátor trhu a další) poskytnout provozovatelům přenosových soustav </w:t>
      </w:r>
      <w:r>
        <w:rPr>
          <w:rStyle w:val="CharStyle20"/>
          <w:color w:val="B7B8B8"/>
        </w:rPr>
        <w:tab/>
        <w:t xml:space="preserve">— </w:t>
      </w:r>
      <w:r>
        <w:rPr>
          <w:rStyle w:val="CharStyle20"/>
        </w:rPr>
        <w:t>údaje o očekávaném využívání výrobních zdrojů s přihlédnutím k dostupnosti primárních zdrojů a vhodným scénářům předpokládané poptávky a nabídky.</w:t>
      </w:r>
    </w:p>
    <w:p>
      <w:pPr>
        <w:pStyle w:val="Style19"/>
        <w:keepNext w:val="0"/>
        <w:keepLines w:val="0"/>
        <w:widowControl w:val="0"/>
        <w:shd w:val="clear" w:color="auto" w:fill="auto"/>
        <w:bidi w:val="0"/>
        <w:spacing w:before="0"/>
        <w:ind w:left="720" w:right="0" w:firstLine="0"/>
        <w:jc w:val="left"/>
      </w:pPr>
      <w:r>
        <w:rPr>
          <w:rStyle w:val="CharStyle20"/>
        </w:rPr>
        <w:t>Data získaná od provozovatelů přenosových soustav vstupují spolu s centrálními předpoklady stanovenými ENTSO-E do simulací centrálních referenčních scénářů. Tyto scénáře mohou být dále rozšířeny ve vnitrostátním hodnocení zdrojové přiměřenosti, pokud lze v daném státě proti centrálním referenčním scénářům ENTSO-E předpokládat změny v sektoru energetiky.</w:t>
      </w:r>
    </w:p>
    <w:p>
      <w:pPr>
        <w:pStyle w:val="Style19"/>
        <w:keepNext w:val="0"/>
        <w:keepLines w:val="0"/>
        <w:widowControl w:val="0"/>
        <w:shd w:val="clear" w:color="auto" w:fill="auto"/>
        <w:bidi w:val="0"/>
        <w:spacing w:before="0"/>
        <w:ind w:left="720" w:right="0" w:hanging="720"/>
        <w:jc w:val="left"/>
      </w:pPr>
      <w:r>
        <w:rPr>
          <w:rStyle w:val="CharStyle20"/>
          <w:color w:val="B7B8B8"/>
        </w:rPr>
        <w:t xml:space="preserve"> </w:t>
      </w:r>
      <w:r>
        <w:rPr>
          <w:rStyle w:val="CharStyle20"/>
        </w:rPr>
        <w:t>Proces a podmínky pro zpracování vnitrostátního hodnocení zdrojové přiměřenosti jsou definovány Nařízením 2019/943 v článku 24. Cílem vnitrostátního hodnocení zdrojové přiměřenosti je mj. určení budoucích rizik a identifikace příčin, které ke vzniku těchto rizik vedou. V návaznosti na identifikaci možných rizik by následně měl být na úrovni členského státu zpracován prováděcí plán s harmonogramem pro přijetí nápravných opatření. Vnitrostátní hodnocení zdrojové přiměřenosti přitom vychází z údajů využitých pro provedení evropského hodnocení zdrojové přiměřenosti. Evropské a vnitrostátní hodnocení jsou tedy vzájemně velmi úzce propojena, a to zejména metodicky, ale také centrálními referenčními scénáři, které musí oba dokumenty obsahovat.</w:t>
      </w:r>
    </w:p>
    <w:p>
      <w:pPr>
        <w:pStyle w:val="Style19"/>
        <w:keepNext w:val="0"/>
        <w:keepLines w:val="0"/>
        <w:widowControl w:val="0"/>
        <w:shd w:val="clear" w:color="auto" w:fill="auto"/>
        <w:bidi w:val="0"/>
        <w:spacing w:before="0" w:after="260"/>
        <w:ind w:left="2640" w:right="0" w:firstLine="0"/>
        <w:jc w:val="left"/>
      </w:pPr>
      <w:r>
        <w:rPr>
          <w:rStyle w:val="CharStyle20"/>
        </w:rPr>
        <w:t>ČEPS v analýzách přednostně používá rozvojové scénáře a postupy definované jednotně v rámci EU (ENTSO-E) a navazuje na metodiku ACER, přičemž je zajištěna koordinace s ostatními sektory (ENTSOG). Pro své predikce ČEPS rovněž vychází ze strategických dokumentů (ASEK, NEKP) a současně zohledňuje závazky ČR na evropské úrovni. V oblasti rozvoje obnovitelných zdrojů a predikce spotřeby elektřiny postupuje ČEPS koordinovaně s MPO. Útlum produkce z uhelných elektráren reflektuje v několika scénářích jak předpoklady a strategie jednotlivých výrobců, tak i stanovisko Uhelné komise či dřívější varanty odchodu od uhlí preferované Vládou ČR.</w:t>
      </w:r>
    </w:p>
    <w:p>
      <w:pPr>
        <w:pStyle w:val="Style19"/>
        <w:keepNext w:val="0"/>
        <w:keepLines w:val="0"/>
        <w:widowControl w:val="0"/>
        <w:shd w:val="clear" w:color="auto" w:fill="auto"/>
        <w:bidi w:val="0"/>
        <w:spacing w:before="0" w:after="200"/>
        <w:ind w:left="2640" w:right="0" w:firstLine="0"/>
        <w:jc w:val="left"/>
      </w:pPr>
      <w:r>
        <w:rPr>
          <w:rStyle w:val="CharStyle20"/>
        </w:rPr>
        <w:t>S ohledem na komplexitu a šíři problematiky, kterou hodnocení zdrojové přiměřenosti pokrývá, zpracovává ČEPS toto hodnocení ve více scénářích ve snaze stanovit koridory možného vývoje ukazatelů zdrojové přiměřenosti. To rovněž umožňuje zohlednění trendů, a toto hodnocení zdrojové přiměřenosti počítá tak pro letošní rok například s potenciálním vlivem implementace Fit for 55 a REPowerEU, obnovou ekonomiky po pandemii COVID-19, působením Modernizačního fondu či vývojem cen na komoditních trzích v souvislosti s konfliktem na Ukrajině. Při zpracování a vyhodnocení scénářů je kladen důraz na několik klíčových aspektů:</w:t>
      </w:r>
    </w:p>
    <w:p>
      <w:pPr>
        <w:pStyle w:val="Style19"/>
        <w:keepNext w:val="0"/>
        <w:keepLines w:val="0"/>
        <w:widowControl w:val="0"/>
        <w:shd w:val="clear" w:color="auto" w:fill="auto"/>
        <w:bidi w:val="0"/>
        <w:spacing w:before="0" w:after="200" w:line="276" w:lineRule="auto"/>
        <w:ind w:left="2860" w:right="0" w:hanging="220"/>
        <w:jc w:val="left"/>
      </w:pPr>
      <w:r>
        <w:rPr>
          <w:rStyle w:val="CharStyle20"/>
          <w:color w:val="006AB4"/>
          <w:sz w:val="22"/>
          <w:szCs w:val="22"/>
        </w:rPr>
        <w:t xml:space="preserve">^ </w:t>
      </w:r>
      <w:r>
        <w:rPr>
          <w:rStyle w:val="CharStyle20"/>
        </w:rPr>
        <w:t xml:space="preserve">Spolehlivost - udržení spolehlivosti dodávky elektřiny (zejména ukazatele LOLE pod úrovní normy spolehlivosti ČR - tj. do </w:t>
      </w:r>
      <w:r>
        <w:rPr>
          <w:rStyle w:val="CharStyle20"/>
          <w:b/>
          <w:bCs/>
        </w:rPr>
        <w:t>15 hodin/rok</w:t>
      </w:r>
      <w:r>
        <w:rPr>
          <w:rStyle w:val="CharStyle20"/>
        </w:rPr>
        <w:t>)</w:t>
      </w:r>
    </w:p>
    <w:p>
      <w:pPr>
        <w:pStyle w:val="Style19"/>
        <w:keepNext w:val="0"/>
        <w:keepLines w:val="0"/>
        <w:widowControl w:val="0"/>
        <w:shd w:val="clear" w:color="auto" w:fill="auto"/>
        <w:bidi w:val="0"/>
        <w:spacing w:before="0" w:after="200" w:line="271" w:lineRule="auto"/>
        <w:ind w:left="2860" w:right="0" w:hanging="220"/>
        <w:jc w:val="left"/>
      </w:pPr>
      <w:r>
        <w:rPr>
          <w:rStyle w:val="CharStyle20"/>
          <w:color w:val="006AB4"/>
          <w:sz w:val="22"/>
          <w:szCs w:val="22"/>
        </w:rPr>
        <w:t xml:space="preserve">^ </w:t>
      </w:r>
      <w:r>
        <w:rPr>
          <w:rStyle w:val="CharStyle20"/>
        </w:rPr>
        <w:t xml:space="preserve">Importní schopnost ČR - stanovení maximálního možného importu </w:t>
      </w:r>
      <w:r>
        <w:rPr>
          <w:rStyle w:val="CharStyle20"/>
          <w:b/>
          <w:bCs/>
        </w:rPr>
        <w:t xml:space="preserve">20 TWh </w:t>
      </w:r>
      <w:r>
        <w:rPr>
          <w:rStyle w:val="CharStyle20"/>
        </w:rPr>
        <w:t>za rok s ohledem na technické a bezpečnostní aspekty provozu přenosové soustavy</w:t>
      </w:r>
    </w:p>
    <w:p>
      <w:pPr>
        <w:pStyle w:val="Style19"/>
        <w:keepNext w:val="0"/>
        <w:keepLines w:val="0"/>
        <w:widowControl w:val="0"/>
        <w:shd w:val="clear" w:color="auto" w:fill="auto"/>
        <w:bidi w:val="0"/>
        <w:spacing w:before="0" w:after="200" w:line="283" w:lineRule="auto"/>
        <w:ind w:left="2860" w:right="0" w:hanging="220"/>
        <w:jc w:val="left"/>
      </w:pPr>
      <w:r>
        <w:rPr>
          <w:rStyle w:val="CharStyle20"/>
          <w:color w:val="006AB4"/>
          <w:sz w:val="22"/>
          <w:szCs w:val="22"/>
        </w:rPr>
        <w:t xml:space="preserve">^ </w:t>
      </w:r>
      <w:r>
        <w:rPr>
          <w:rStyle w:val="CharStyle20"/>
        </w:rPr>
        <w:t>Ekonomická oprávněnost - uvažování ekonomicky opodstatněného rozvoje zdrojové základny, především v oblasti rozvoje špičkových a pološpičkových zdrojů nezbytných pro udržení bezpečné a spolehlivé dodávky elektřiny</w:t>
      </w:r>
    </w:p>
    <w:p>
      <w:pPr>
        <w:pStyle w:val="Style19"/>
        <w:keepNext w:val="0"/>
        <w:keepLines w:val="0"/>
        <w:widowControl w:val="0"/>
        <w:shd w:val="clear" w:color="auto" w:fill="auto"/>
        <w:bidi w:val="0"/>
        <w:spacing w:before="0" w:after="260" w:line="240" w:lineRule="auto"/>
        <w:ind w:left="2640" w:right="0" w:firstLine="0"/>
        <w:jc w:val="left"/>
      </w:pPr>
      <w:r>
        <w:rPr>
          <w:rStyle w:val="CharStyle20"/>
          <w:color w:val="006AB4"/>
          <w:sz w:val="22"/>
          <w:szCs w:val="22"/>
        </w:rPr>
        <w:t xml:space="preserve">^ </w:t>
      </w:r>
      <w:r>
        <w:rPr>
          <w:rStyle w:val="CharStyle20"/>
        </w:rPr>
        <w:t>Emisní stopa - snižování emisí skleníkových plynů</w:t>
      </w:r>
    </w:p>
    <w:p>
      <w:pPr>
        <w:pStyle w:val="Style19"/>
        <w:keepNext w:val="0"/>
        <w:keepLines w:val="0"/>
        <w:widowControl w:val="0"/>
        <w:shd w:val="clear" w:color="auto" w:fill="auto"/>
        <w:bidi w:val="0"/>
        <w:spacing w:before="0" w:after="200"/>
        <w:ind w:left="2640" w:right="0" w:firstLine="0"/>
        <w:jc w:val="left"/>
        <w:sectPr>
          <w:headerReference w:type="default" r:id="rId9"/>
          <w:footerReference w:type="default" r:id="rId10"/>
          <w:headerReference w:type="even" r:id="rId11"/>
          <w:footerReference w:type="even" r:id="rId12"/>
          <w:footnotePr>
            <w:pos w:val="pageBottom"/>
            <w:numFmt w:val="decimal"/>
            <w:numRestart w:val="continuous"/>
          </w:footnotePr>
          <w:pgSz w:w="12142" w:h="17375"/>
          <w:pgMar w:top="1118" w:right="554" w:bottom="1497" w:left="554" w:header="0" w:footer="3" w:gutter="1233"/>
          <w:pgNumType w:start="3"/>
          <w:cols w:space="720"/>
          <w:noEndnote/>
          <w:rtlGutter w:val="0"/>
          <w:docGrid w:linePitch="360"/>
        </w:sectPr>
      </w:pPr>
      <w:r>
        <w:rPr>
          <w:rStyle w:val="CharStyle20"/>
        </w:rPr>
        <w:t>Proces zpracování hodnocení zdrojové přiměřenosti se s Nařízením 2019/943 výrazně změnil, a upevnil tak nenahraditelnou pozici provozovatele přenosové soustavy jako významného koordinačního prvku na národní úrovni. Hodnocení zdrojové přiměřenosti slouží jako podklad pro mnohá rozhodnutí členského státu např. o zavedení kapacitních mechanismů (kapacitní trhy, strategické rezervy). V případě, že stejně jako v loňském roce nebude schváleno evropské hodnocení zdrojové přiměřenosti ERAA ze strany ACER, má členský stát dle zmíněného Nařízení možnost založit žádost a notifikaci kapacitního mechanismu na svém vnitrostátním hodnocení zdrojové přiměřenosti.</w:t>
      </w:r>
    </w:p>
    <w:p>
      <w:pPr>
        <w:pStyle w:val="Style15"/>
        <w:keepNext/>
        <w:keepLines/>
        <w:widowControl w:val="0"/>
        <w:numPr>
          <w:ilvl w:val="0"/>
          <w:numId w:val="3"/>
        </w:numPr>
        <w:shd w:val="clear" w:color="auto" w:fill="auto"/>
        <w:tabs>
          <w:tab w:pos="303" w:val="left"/>
        </w:tabs>
        <w:bidi w:val="0"/>
        <w:spacing w:before="0" w:after="960" w:line="240" w:lineRule="auto"/>
        <w:ind w:left="0" w:right="0" w:firstLine="0"/>
        <w:jc w:val="both"/>
        <w:rPr>
          <w:sz w:val="22"/>
          <w:szCs w:val="22"/>
        </w:rPr>
      </w:pPr>
      <w:bookmarkStart w:id="4" w:name="bookmark4"/>
      <w:r>
        <w:rPr>
          <w:rStyle w:val="CharStyle16"/>
          <w:rFonts w:ascii="Segoe UI" w:eastAsia="Segoe UI" w:hAnsi="Segoe UI" w:cs="Segoe UI"/>
          <w:b/>
          <w:bCs/>
          <w:sz w:val="22"/>
          <w:szCs w:val="22"/>
        </w:rPr>
        <w:t>Stanovení hodnoty VOLL, CONE a normy spolehlivosti pro ČR</w:t>
      </w:r>
      <w:bookmarkEnd w:id="4"/>
    </w:p>
    <w:p>
      <w:pPr>
        <w:pStyle w:val="Style19"/>
        <w:keepNext w:val="0"/>
        <w:keepLines w:val="0"/>
        <w:widowControl w:val="0"/>
        <w:shd w:val="clear" w:color="auto" w:fill="auto"/>
        <w:bidi w:val="0"/>
        <w:spacing w:before="0" w:after="180"/>
        <w:ind w:left="0" w:right="0" w:firstLine="0"/>
        <w:jc w:val="both"/>
      </w:pPr>
      <w:r>
        <w:rPr>
          <w:rStyle w:val="CharStyle20"/>
        </w:rPr>
        <w:t>Mezi povinnosti provozovatele přenosové soustavy patří dodržovat metodické pokyny při zpracování hodnocení zdrojové přiměřenosti, vycházet z ověřených postupů, používat doporučené předpoklady pro tvorbu scénářů a transparentně zavedené spolehlivostní ukazatele (LOLE, EENS) včetně souvisejících technických a ekonomických parametrů (VOLL a CONE). Příslušná ustanovení legislativy EU v oblasti hodnocení zdrojové přiměřenosti dále upravují metodiky, jejichž návrh byl předložen ze strany ENTSO-E a následně je v říjnu roku 2020 schválil ACER. Jedná se o tyto dokumenty:</w:t>
      </w:r>
    </w:p>
    <w:p>
      <w:pPr>
        <w:pStyle w:val="Style19"/>
        <w:keepNext w:val="0"/>
        <w:keepLines w:val="0"/>
        <w:widowControl w:val="0"/>
        <w:shd w:val="clear" w:color="auto" w:fill="auto"/>
        <w:bidi w:val="0"/>
        <w:spacing w:before="0" w:after="260" w:line="240" w:lineRule="auto"/>
        <w:ind w:left="0" w:right="0" w:firstLine="0"/>
        <w:jc w:val="both"/>
      </w:pPr>
      <w:r>
        <w:rPr>
          <w:rStyle w:val="CharStyle20"/>
          <w:color w:val="006AB4"/>
          <w:sz w:val="22"/>
          <w:szCs w:val="22"/>
        </w:rPr>
        <w:t xml:space="preserve">^ </w:t>
      </w:r>
      <w:r>
        <w:rPr>
          <w:rStyle w:val="CharStyle20"/>
          <w:i/>
          <w:iCs/>
        </w:rPr>
        <w:t>Methodology for the European resource adequacy assessment</w:t>
      </w:r>
    </w:p>
    <w:p>
      <w:pPr>
        <w:pStyle w:val="Style19"/>
        <w:keepNext w:val="0"/>
        <w:keepLines w:val="0"/>
        <w:widowControl w:val="0"/>
        <w:shd w:val="clear" w:color="auto" w:fill="auto"/>
        <w:bidi w:val="0"/>
        <w:spacing w:before="0" w:after="260" w:line="271" w:lineRule="auto"/>
        <w:ind w:left="240" w:right="0" w:hanging="240"/>
        <w:jc w:val="both"/>
      </w:pPr>
      <w:r>
        <w:rPr>
          <w:rStyle w:val="CharStyle20"/>
          <w:color w:val="006AB4"/>
          <w:sz w:val="22"/>
          <w:szCs w:val="22"/>
        </w:rPr>
        <w:t xml:space="preserve">^ </w:t>
      </w:r>
      <w:r>
        <w:rPr>
          <w:rStyle w:val="CharStyle20"/>
          <w:i/>
          <w:iCs/>
        </w:rPr>
        <w:t>Methodology for calculating the value of lost load, the cost of new entry and the reliability standard</w:t>
      </w:r>
    </w:p>
    <w:p>
      <w:pPr>
        <w:pStyle w:val="Style19"/>
        <w:keepNext w:val="0"/>
        <w:keepLines w:val="0"/>
        <w:widowControl w:val="0"/>
        <w:shd w:val="clear" w:color="auto" w:fill="auto"/>
        <w:bidi w:val="0"/>
        <w:spacing w:before="0" w:after="260"/>
        <w:ind w:left="0" w:right="0" w:firstLine="0"/>
        <w:jc w:val="both"/>
      </w:pPr>
      <w:r>
        <w:rPr>
          <w:rStyle w:val="CharStyle20"/>
        </w:rPr>
        <w:t>Pro výpočet normy spolehlivosti je dle metodiky ENTSO-E pro členské státy nezbytné, aby byly stanoveny nejdříve hodnoty VOLL a CONE. Potřebu stanovení hodnot VOLL a CONE je pak nutné vnímat ve vazbě k posuzování a případnému rozhodnutí o implementaci nápravných opatření v případě neuspokojivého stavu spolehlivosti dodávky elektřiny.</w:t>
      </w:r>
    </w:p>
    <w:p>
      <w:pPr>
        <w:pStyle w:val="Style27"/>
        <w:keepNext/>
        <w:keepLines/>
        <w:widowControl w:val="0"/>
        <w:numPr>
          <w:ilvl w:val="1"/>
          <w:numId w:val="3"/>
        </w:numPr>
        <w:shd w:val="clear" w:color="auto" w:fill="auto"/>
        <w:tabs>
          <w:tab w:pos="375" w:val="left"/>
        </w:tabs>
        <w:bidi w:val="0"/>
        <w:spacing w:before="0" w:after="0"/>
        <w:ind w:left="0" w:right="0" w:firstLine="0"/>
        <w:jc w:val="both"/>
      </w:pPr>
      <w:bookmarkStart w:id="6" w:name="bookmark6"/>
      <w:r>
        <w:rPr>
          <w:rStyle w:val="CharStyle28"/>
          <w:b/>
          <w:bCs/>
        </w:rPr>
        <w:t>VALUE OF LOST LOAD (VOLL)</w:t>
      </w:r>
      <w:bookmarkEnd w:id="6"/>
    </w:p>
    <w:p>
      <w:pPr>
        <w:pStyle w:val="Style19"/>
        <w:keepNext w:val="0"/>
        <w:keepLines w:val="0"/>
        <w:widowControl w:val="0"/>
        <w:shd w:val="clear" w:color="auto" w:fill="auto"/>
        <w:bidi w:val="0"/>
        <w:spacing w:before="0" w:after="260"/>
        <w:ind w:left="0" w:right="0" w:firstLine="0"/>
        <w:jc w:val="both"/>
      </w:pPr>
      <w:r>
        <w:rPr>
          <w:rStyle w:val="CharStyle20"/>
          <w:b/>
          <w:bCs/>
        </w:rPr>
        <w:t xml:space="preserve">VOLL </w:t>
      </w:r>
      <w:r>
        <w:rPr>
          <w:rStyle w:val="CharStyle20"/>
        </w:rPr>
        <w:t>(neboli hodnota nedodané energie) udává hodnotu elektrické energie v EUR/MWh, která není systémem koncovým odběratelům dodána, ať už v důsledku poruchy na distribuční nebo přenosové soustavě nebo v důsledku nedostatečných výrobních kapacit. Metodika ENTSO-E pro stanovení hodnoty VOLL doporučuje metodu přímého dotazování respondentů založenou na principu ochoty zákazníků krátkodobě platit za nepřerušenou dodávku elektřiny (Willingness to Pay), která zároveň reflektuje vývoj podmínek na trhu s elektřinou. V praxi se pro lepší interprentaci stanovuje jedna průměrná systémová hodnota VOLL. Výsledná hodnota je tak vypočtena na základě vážených průměrů hodnot VOLL dotazovaných sektorů (doprava, služby, komerce, průmysl, domácnosti a veřejný sektor) s ohledem na podíl daného sektoru na celkové roční spotřebě elektřiny v daném státě.</w:t>
      </w:r>
    </w:p>
    <w:p>
      <w:pPr>
        <w:pStyle w:val="Style19"/>
        <w:keepNext w:val="0"/>
        <w:keepLines w:val="0"/>
        <w:widowControl w:val="0"/>
        <w:shd w:val="clear" w:color="auto" w:fill="auto"/>
        <w:bidi w:val="0"/>
        <w:spacing w:before="0" w:after="260"/>
        <w:ind w:left="0" w:right="0" w:firstLine="0"/>
        <w:jc w:val="both"/>
        <w:sectPr>
          <w:footnotePr>
            <w:pos w:val="pageBottom"/>
            <w:numFmt w:val="decimal"/>
            <w:numRestart w:val="continuous"/>
          </w:footnotePr>
          <w:pgSz w:w="12142" w:h="17375"/>
          <w:pgMar w:top="1123" w:right="825" w:bottom="1123" w:left="825" w:header="0" w:footer="3" w:gutter="691"/>
          <w:cols w:space="720"/>
          <w:noEndnote/>
          <w:rtlGutter w:val="0"/>
          <w:docGrid w:linePitch="360"/>
        </w:sectPr>
      </w:pPr>
      <w:r>
        <w:rPr>
          <w:rStyle w:val="CharStyle20"/>
        </w:rPr>
        <w:t>Pro validaci hodnoty VOLL lze pak ještě učinit srovnání s hodnotou určenou pomocí makroekonomické metody. Tato metoda spočívá v určení podílu hrubé přidané hodnoty (HPH) pro určitý rok a netto spotřeby elektrické energie v témže roce. Tato metoda však nedostatečně eliminuje externí vlivy (např. energetická náročnost, úsporné programy, změna struktury spotřeby vlivem elektromobility či elektrifikace průmyslových segmentů s vysokou emisní zátěží), a proto je dle metodiky ENTSO-E třeba VOLL určit na základě zmíněného principu Willingness to Pay.</w:t>
      </w:r>
    </w:p>
    <w:p>
      <w:pPr>
        <w:pStyle w:val="Style15"/>
        <w:keepNext/>
        <w:keepLines/>
        <w:widowControl w:val="0"/>
        <w:shd w:val="clear" w:color="auto" w:fill="auto"/>
        <w:bidi w:val="0"/>
        <w:spacing w:before="0" w:after="0" w:line="240" w:lineRule="auto"/>
        <w:ind w:left="0" w:right="0" w:firstLine="700"/>
        <w:jc w:val="left"/>
        <w:sectPr>
          <w:footnotePr>
            <w:pos w:val="pageBottom"/>
            <w:numFmt w:val="decimal"/>
            <w:numRestart w:val="continuous"/>
          </w:footnotePr>
          <w:pgSz w:w="12142" w:h="17375"/>
          <w:pgMar w:top="1180" w:right="825" w:bottom="1316" w:left="825" w:header="0" w:footer="3" w:gutter="691"/>
          <w:cols w:space="720"/>
          <w:noEndnote/>
          <w:rtlGutter/>
          <w:docGrid w:linePitch="360"/>
        </w:sectPr>
      </w:pPr>
      <w:bookmarkStart w:id="8" w:name="bookmark8"/>
      <w:r>
        <w:rPr>
          <w:rStyle w:val="CharStyle16"/>
          <w:b/>
          <w:bCs/>
        </w:rPr>
        <w:t>Obr. 2.1 Hodnota VOLL a) pro jednotlivé sektory ekonomiky, b) pro ČR</w:t>
      </w:r>
      <w:bookmarkEnd w:id="8"/>
    </w:p>
    <w:p>
      <w:pPr>
        <w:widowControl w:val="0"/>
        <w:spacing w:before="89" w:after="8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017" w:right="0" w:bottom="581" w:left="0" w:header="0" w:footer="3" w:gutter="0"/>
          <w:cols w:space="720"/>
          <w:noEndnote/>
          <w:rtlGutter w:val="0"/>
          <w:docGrid w:linePitch="360"/>
        </w:sectPr>
      </w:pPr>
    </w:p>
    <w:p>
      <w:pPr>
        <w:pStyle w:val="Style2"/>
        <w:keepNext w:val="0"/>
        <w:keepLines w:val="0"/>
        <w:framePr w:w="173" w:h="202" w:wrap="none" w:vAnchor="text" w:hAnchor="page" w:x="4253" w:y="3376"/>
        <w:widowControl w:val="0"/>
        <w:shd w:val="clear" w:color="auto" w:fill="auto"/>
        <w:bidi w:val="0"/>
        <w:spacing w:before="0" w:after="0" w:line="240" w:lineRule="auto"/>
        <w:ind w:left="0" w:right="0" w:firstLine="0"/>
        <w:jc w:val="left"/>
        <w:rPr>
          <w:sz w:val="13"/>
          <w:szCs w:val="13"/>
        </w:rPr>
      </w:pPr>
      <w:r>
        <w:rPr>
          <w:rStyle w:val="CharStyle3"/>
          <w:b/>
          <w:bCs/>
          <w:sz w:val="13"/>
          <w:szCs w:val="13"/>
        </w:rPr>
        <w:t>a)</w:t>
      </w:r>
    </w:p>
    <w:p>
      <w:pPr>
        <w:pStyle w:val="Style2"/>
        <w:keepNext w:val="0"/>
        <w:keepLines w:val="0"/>
        <w:framePr w:w="4387" w:h="499" w:wrap="none" w:vAnchor="text" w:hAnchor="page" w:x="2415" w:y="3760"/>
        <w:widowControl w:val="0"/>
        <w:shd w:val="clear" w:color="auto" w:fill="auto"/>
        <w:tabs>
          <w:tab w:pos="389" w:val="left"/>
          <w:tab w:pos="1507" w:val="left"/>
          <w:tab w:pos="1853" w:val="left"/>
          <w:tab w:pos="3058" w:val="left"/>
          <w:tab w:pos="3398" w:val="left"/>
        </w:tabs>
        <w:bidi w:val="0"/>
        <w:spacing w:before="0" w:after="60" w:line="240" w:lineRule="auto"/>
        <w:ind w:left="0" w:right="0" w:firstLine="0"/>
        <w:jc w:val="left"/>
        <w:rPr>
          <w:sz w:val="16"/>
          <w:szCs w:val="16"/>
        </w:rPr>
      </w:pPr>
      <w:r>
        <w:rPr>
          <w:rStyle w:val="CharStyle3"/>
          <w:color w:val="1BB8ED"/>
          <w:sz w:val="16"/>
          <w:szCs w:val="16"/>
        </w:rPr>
        <w:t>|</w:t>
        <w:tab/>
      </w:r>
      <w:r>
        <w:rPr>
          <w:rStyle w:val="CharStyle3"/>
          <w:color w:val="000000"/>
          <w:sz w:val="16"/>
          <w:szCs w:val="16"/>
        </w:rPr>
        <w:t>Doprava</w:t>
        <w:tab/>
      </w:r>
      <w:r>
        <w:rPr>
          <w:rStyle w:val="CharStyle3"/>
          <w:color w:val="B7B8B8"/>
          <w:sz w:val="16"/>
          <w:szCs w:val="16"/>
        </w:rPr>
        <w:t>|</w:t>
        <w:tab/>
      </w:r>
      <w:r>
        <w:rPr>
          <w:rStyle w:val="CharStyle3"/>
          <w:color w:val="000000"/>
          <w:sz w:val="16"/>
          <w:szCs w:val="16"/>
        </w:rPr>
        <w:t>Komerce</w:t>
        <w:tab/>
      </w:r>
      <w:r>
        <w:rPr>
          <w:rStyle w:val="CharStyle3"/>
          <w:color w:val="E30613"/>
          <w:sz w:val="16"/>
          <w:szCs w:val="16"/>
        </w:rPr>
        <w:t>|</w:t>
        <w:tab/>
      </w:r>
      <w:r>
        <w:rPr>
          <w:rStyle w:val="CharStyle3"/>
          <w:color w:val="000000"/>
          <w:sz w:val="16"/>
          <w:szCs w:val="16"/>
        </w:rPr>
        <w:t>Veřejný</w:t>
      </w:r>
    </w:p>
    <w:p>
      <w:pPr>
        <w:pStyle w:val="Style2"/>
        <w:keepNext w:val="0"/>
        <w:keepLines w:val="0"/>
        <w:framePr w:w="4387" w:h="499" w:wrap="none" w:vAnchor="text" w:hAnchor="page" w:x="2415" w:y="3760"/>
        <w:widowControl w:val="0"/>
        <w:shd w:val="clear" w:color="auto" w:fill="auto"/>
        <w:tabs>
          <w:tab w:pos="389" w:val="left"/>
          <w:tab w:pos="1507" w:val="left"/>
          <w:tab w:pos="1853" w:val="left"/>
          <w:tab w:pos="3058" w:val="left"/>
          <w:tab w:pos="3398" w:val="left"/>
        </w:tabs>
        <w:bidi w:val="0"/>
        <w:spacing w:before="0" w:after="0" w:line="240" w:lineRule="auto"/>
        <w:ind w:left="0" w:right="0" w:firstLine="0"/>
        <w:jc w:val="left"/>
        <w:rPr>
          <w:sz w:val="16"/>
          <w:szCs w:val="16"/>
        </w:rPr>
      </w:pPr>
      <w:r>
        <w:rPr>
          <w:rStyle w:val="CharStyle3"/>
          <w:sz w:val="16"/>
          <w:szCs w:val="16"/>
        </w:rPr>
        <w:t>|</w:t>
        <w:tab/>
      </w:r>
      <w:r>
        <w:rPr>
          <w:rStyle w:val="CharStyle3"/>
          <w:color w:val="000000"/>
          <w:sz w:val="16"/>
          <w:szCs w:val="16"/>
        </w:rPr>
        <w:t>Služby</w:t>
        <w:tab/>
      </w:r>
      <w:r>
        <w:rPr>
          <w:rStyle w:val="CharStyle3"/>
          <w:color w:val="ED6B5E"/>
          <w:sz w:val="16"/>
          <w:szCs w:val="16"/>
        </w:rPr>
        <w:t>|</w:t>
        <w:tab/>
      </w:r>
      <w:r>
        <w:rPr>
          <w:rStyle w:val="CharStyle3"/>
          <w:color w:val="000000"/>
          <w:sz w:val="16"/>
          <w:szCs w:val="16"/>
        </w:rPr>
        <w:t>Průmysl</w:t>
        <w:tab/>
      </w:r>
      <w:r>
        <w:rPr>
          <w:rStyle w:val="CharStyle3"/>
          <w:color w:val="FED851"/>
          <w:sz w:val="16"/>
          <w:szCs w:val="16"/>
        </w:rPr>
        <w:t>|</w:t>
        <w:tab/>
      </w:r>
      <w:r>
        <w:rPr>
          <w:rStyle w:val="CharStyle3"/>
          <w:color w:val="000000"/>
          <w:sz w:val="16"/>
          <w:szCs w:val="16"/>
        </w:rPr>
        <w:t>Domácnosti</w:t>
      </w:r>
    </w:p>
    <w:p>
      <w:pPr>
        <w:pStyle w:val="Style37"/>
        <w:keepNext w:val="0"/>
        <w:keepLines w:val="0"/>
        <w:framePr w:w="1546" w:h="696" w:wrap="none" w:vAnchor="text" w:hAnchor="page" w:x="8477" w:y="2353"/>
        <w:widowControl w:val="0"/>
        <w:pBdr>
          <w:top w:val="single" w:sz="0" w:space="0" w:color="F7FCFF"/>
          <w:left w:val="single" w:sz="0" w:space="31" w:color="F7FCFF"/>
          <w:bottom w:val="single" w:sz="0" w:space="0" w:color="F7FCFF"/>
          <w:right w:val="single" w:sz="0" w:space="31" w:color="F7FCFF"/>
        </w:pBdr>
        <w:shd w:val="clear" w:color="auto" w:fill="F7FCFF"/>
        <w:bidi w:val="0"/>
        <w:spacing w:before="160" w:after="0" w:line="324" w:lineRule="auto"/>
        <w:ind w:left="0" w:right="0" w:firstLine="0"/>
        <w:jc w:val="center"/>
      </w:pPr>
      <w:r>
        <w:rPr>
          <w:rStyle w:val="CharStyle38"/>
          <w:color w:val="FFFFFF"/>
        </w:rPr>
        <w:t>Výsledný VOLL</w:t>
        <w:br/>
        <w:t>4 016 EUR/MWh</w:t>
      </w:r>
    </w:p>
    <w:p>
      <w:pPr>
        <w:pStyle w:val="Style37"/>
        <w:keepNext w:val="0"/>
        <w:keepLines w:val="0"/>
        <w:framePr w:w="182" w:h="202" w:wrap="none" w:vAnchor="text" w:hAnchor="page" w:x="9158" w:y="3356"/>
        <w:widowControl w:val="0"/>
        <w:shd w:val="clear" w:color="auto" w:fill="auto"/>
        <w:bidi w:val="0"/>
        <w:spacing w:before="0" w:after="0" w:line="240" w:lineRule="auto"/>
        <w:ind w:left="0" w:right="0" w:firstLine="0"/>
        <w:jc w:val="left"/>
      </w:pPr>
      <w:r>
        <w:rPr>
          <w:rStyle w:val="CharStyle38"/>
          <w:b/>
          <w:bCs/>
          <w:color w:val="006AB4"/>
        </w:rPr>
        <w:t>b)</w:t>
      </w:r>
    </w:p>
    <w:p>
      <w:pPr>
        <w:pStyle w:val="Style19"/>
        <w:keepNext w:val="0"/>
        <w:keepLines w:val="0"/>
        <w:framePr w:w="7133" w:h="6005" w:wrap="none" w:vAnchor="text" w:hAnchor="page" w:x="4118" w:y="5108"/>
        <w:widowControl w:val="0"/>
        <w:shd w:val="clear" w:color="auto" w:fill="auto"/>
        <w:bidi w:val="0"/>
        <w:spacing w:before="0"/>
        <w:ind w:left="0" w:right="0" w:firstLine="0"/>
        <w:jc w:val="left"/>
      </w:pPr>
      <w:r>
        <w:rPr>
          <w:rStyle w:val="CharStyle20"/>
        </w:rPr>
        <w:t>Na základě přímé metody byly nejprve hodnoty VOLL stanoveny zvlášť pro segment B2B a segment B2C. Poté byl z těchto hodnot vypočten výsledný systémový VOLL, který je pro ČR stanoven na 4 016 EUR/MWh (přibližně 100 000 Kč/MWh). Vzhledem k tomu, že systém vah využitý při sestavování výsledné hodnoty VOLL zohledňoval podíl segmentů B2B a B2C na celkové spotřebě ČR, má segment B2B kvůli své vyšší spotřebě větší vliv na výsledek systémového VOLL. Sektory dopravy, služeb a komerce dosahují vyšších hodnot sektorových VOLL, což je dáno zejména potřebou těchto sektorů předcházet výpadkům. Oproti tomu sektory průmyslu a domácností jsou ve větší míře vybaveny možností akumulace, samovýroby (kogenerace, bateriové systémy, FVE, dieselagregáty), což způsobuje, že jejich ochota platit za nepřerušené dodávky elektřiny je nižší. Celková ochota českých zákazníků platit je ve srovnání se západními státy nižší, zejména vlivem nižších příjmů, HDP a dalších externalit. Bez ohledu na segment vnímají zákazníci jakoukoliv další dílčí platbu spojenou s náklady na energie negativně.</w:t>
      </w:r>
    </w:p>
    <w:p>
      <w:pPr>
        <w:pStyle w:val="Style27"/>
        <w:keepNext/>
        <w:keepLines/>
        <w:framePr w:w="7133" w:h="6005" w:wrap="none" w:vAnchor="text" w:hAnchor="page" w:x="4118" w:y="5108"/>
        <w:widowControl w:val="0"/>
        <w:shd w:val="clear" w:color="auto" w:fill="auto"/>
        <w:bidi w:val="0"/>
        <w:spacing w:before="0" w:after="0"/>
        <w:ind w:left="0" w:right="0" w:firstLine="0"/>
        <w:jc w:val="left"/>
      </w:pPr>
      <w:bookmarkStart w:id="10" w:name="bookmark10"/>
      <w:r>
        <w:rPr>
          <w:rStyle w:val="CharStyle28"/>
          <w:b/>
          <w:bCs/>
        </w:rPr>
        <w:t>2.2 COST OF NEW ENTRY (CONE)</w:t>
      </w:r>
      <w:bookmarkEnd w:id="10"/>
    </w:p>
    <w:p>
      <w:pPr>
        <w:pStyle w:val="Style19"/>
        <w:keepNext w:val="0"/>
        <w:keepLines w:val="0"/>
        <w:framePr w:w="7133" w:h="6005" w:wrap="none" w:vAnchor="text" w:hAnchor="page" w:x="4118" w:y="5108"/>
        <w:widowControl w:val="0"/>
        <w:shd w:val="clear" w:color="auto" w:fill="auto"/>
        <w:bidi w:val="0"/>
        <w:spacing w:before="0" w:after="0"/>
        <w:ind w:left="0" w:right="0" w:firstLine="0"/>
        <w:jc w:val="left"/>
      </w:pPr>
      <w:r>
        <w:rPr>
          <w:rStyle w:val="CharStyle20"/>
          <w:b/>
          <w:bCs/>
        </w:rPr>
        <w:t xml:space="preserve">Hodnoty CONE </w:t>
      </w:r>
      <w:r>
        <w:rPr>
          <w:rStyle w:val="CharStyle20"/>
        </w:rPr>
        <w:t>(neboli náklady na vstup nového zdroje) jsou počítány pro jednotlivé referenční technologie a obsahují jak investiční (CONE</w:t>
      </w:r>
      <w:r>
        <w:rPr>
          <w:rStyle w:val="CharStyle20"/>
          <w:vertAlign w:val="subscript"/>
        </w:rPr>
        <w:t>fixed</w:t>
      </w:r>
      <w:r>
        <w:rPr>
          <w:rStyle w:val="CharStyle20"/>
        </w:rPr>
        <w:t>), tak provozní náklady (CONE</w:t>
      </w:r>
      <w:r>
        <w:rPr>
          <w:rStyle w:val="CharStyle20"/>
          <w:vertAlign w:val="subscript"/>
        </w:rPr>
        <w:t>variable</w:t>
      </w:r>
      <w:r>
        <w:rPr>
          <w:rStyle w:val="CharStyle20"/>
        </w:rPr>
        <w:t>). CONE</w:t>
      </w:r>
      <w:r>
        <w:rPr>
          <w:rStyle w:val="CharStyle20"/>
          <w:vertAlign w:val="subscript"/>
        </w:rPr>
        <w:t>fixed</w:t>
      </w:r>
      <w:r>
        <w:rPr>
          <w:rStyle w:val="CharStyle20"/>
        </w:rPr>
        <w:t xml:space="preserve"> v sobě zahrnuje investiční náklady a fixní provozní náklady - tyto náklady jsou sčítány a přepočítány na rok, přičemž celkový počet let je brán jako doba výstavby a doba ekonomické životnosti zdroje. Do fixních provozních nákladů nepatří cena za palivo, nákup povolenek a jiné variabilní náklady (OPEX). Parametr CONE</w:t>
      </w:r>
      <w:r>
        <w:rPr>
          <w:rStyle w:val="CharStyle20"/>
          <w:vertAlign w:val="subscript"/>
        </w:rPr>
        <w:t>fixed</w:t>
      </w:r>
      <w:r>
        <w:rPr>
          <w:rStyle w:val="CharStyle20"/>
        </w:rPr>
        <w:t xml:space="preserve"> se vyjadřuje v EUR na MW za rok.</w:t>
      </w:r>
    </w:p>
    <w:p>
      <w:pPr>
        <w:pStyle w:val="Style19"/>
        <w:keepNext w:val="0"/>
        <w:keepLines w:val="0"/>
        <w:framePr w:w="1022" w:h="278" w:wrap="none" w:vAnchor="text" w:hAnchor="page" w:x="6830" w:y="11607"/>
        <w:widowControl w:val="0"/>
        <w:shd w:val="clear" w:color="auto" w:fill="auto"/>
        <w:bidi w:val="0"/>
        <w:spacing w:before="0" w:after="0" w:line="0" w:lineRule="atLeast"/>
        <w:ind w:left="520" w:right="0" w:hanging="520"/>
        <w:jc w:val="left"/>
        <w:rPr>
          <w:sz w:val="10"/>
          <w:szCs w:val="10"/>
        </w:rPr>
      </w:pPr>
      <w:r>
        <w:rPr>
          <w:rStyle w:val="CharStyle20"/>
        </w:rPr>
        <w:t xml:space="preserve">CONE, . = </w:t>
      </w:r>
      <w:r>
        <w:rPr>
          <w:rStyle w:val="CharStyle20"/>
          <w:sz w:val="10"/>
          <w:szCs w:val="10"/>
        </w:rPr>
        <w:t>fixed</w:t>
      </w:r>
    </w:p>
    <w:p>
      <w:pPr>
        <w:pStyle w:val="Style19"/>
        <w:keepNext w:val="0"/>
        <w:keepLines w:val="0"/>
        <w:framePr w:w="389" w:h="230" w:wrap="none" w:vAnchor="text" w:hAnchor="page" w:x="8050" w:y="11449"/>
        <w:widowControl w:val="0"/>
        <w:pBdr>
          <w:bottom w:val="single" w:sz="4" w:space="0" w:color="auto"/>
        </w:pBdr>
        <w:shd w:val="clear" w:color="auto" w:fill="auto"/>
        <w:bidi w:val="0"/>
        <w:spacing w:before="0" w:after="0" w:line="240" w:lineRule="auto"/>
        <w:ind w:left="0" w:right="0" w:firstLine="0"/>
        <w:jc w:val="left"/>
      </w:pPr>
      <w:r>
        <w:rPr>
          <w:rStyle w:val="CharStyle20"/>
        </w:rPr>
        <w:t>EAC</w:t>
      </w:r>
    </w:p>
    <w:tbl>
      <w:tblPr>
        <w:tblOverlap w:val="never"/>
        <w:jc w:val="left"/>
        <w:tblLayout w:type="fixed"/>
      </w:tblPr>
      <w:tblGrid>
        <w:gridCol w:w="869"/>
        <w:gridCol w:w="6288"/>
      </w:tblGrid>
      <w:tr>
        <w:trPr>
          <w:trHeight w:val="336" w:hRule="exact"/>
        </w:trPr>
        <w:tc>
          <w:tcPr>
            <w:tcBorders>
              <w:top w:val="single" w:sz="4"/>
              <w:left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Označení</w:t>
            </w:r>
          </w:p>
        </w:tc>
        <w:tc>
          <w:tcPr>
            <w:tcBorders>
              <w:top w:val="single" w:sz="4"/>
              <w:left w:val="single" w:sz="4"/>
              <w:right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Význam parametru</w:t>
            </w:r>
          </w:p>
        </w:tc>
      </w:tr>
      <w:tr>
        <w:trPr>
          <w:trHeight w:val="533" w:hRule="exact"/>
        </w:trPr>
        <w:tc>
          <w:tcPr>
            <w:tcBorders>
              <w:top w:val="single" w:sz="4"/>
              <w:left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EAC</w:t>
            </w:r>
          </w:p>
        </w:tc>
        <w:tc>
          <w:tcPr>
            <w:tcBorders>
              <w:top w:val="single" w:sz="4"/>
              <w:left w:val="single" w:sz="4"/>
              <w:right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93" w:lineRule="auto"/>
              <w:ind w:left="0" w:right="0" w:firstLine="0"/>
              <w:jc w:val="left"/>
              <w:rPr>
                <w:sz w:val="12"/>
                <w:szCs w:val="12"/>
              </w:rPr>
            </w:pPr>
            <w:r>
              <w:rPr>
                <w:rStyle w:val="CharStyle6"/>
                <w:b/>
                <w:bCs/>
                <w:color w:val="006AB4"/>
                <w:sz w:val="12"/>
                <w:szCs w:val="12"/>
              </w:rPr>
              <w:t>roční nutné náklady na MW přepočtené za dobu ekonomické životnosti a dobu výstavby zdroje definované v čl. 15 metodiky ENTSO-E a ACER</w:t>
            </w:r>
          </w:p>
        </w:tc>
      </w:tr>
      <w:tr>
        <w:trPr>
          <w:trHeight w:val="514" w:hRule="exact"/>
        </w:trPr>
        <w:tc>
          <w:tcPr>
            <w:tcBorders>
              <w:top w:val="single" w:sz="4"/>
              <w:left w:val="single" w:sz="4"/>
              <w:bottom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40" w:lineRule="auto"/>
              <w:ind w:left="0" w:right="0" w:firstLine="0"/>
              <w:jc w:val="left"/>
              <w:rPr>
                <w:sz w:val="8"/>
                <w:szCs w:val="8"/>
              </w:rPr>
            </w:pPr>
            <w:bookmarkStart w:id="12" w:name="bookmark12"/>
            <w:r>
              <w:rPr>
                <w:rStyle w:val="CharStyle6"/>
                <w:rFonts w:ascii="Calibri" w:eastAsia="Calibri" w:hAnsi="Calibri" w:cs="Calibri"/>
                <w:b/>
                <w:bCs/>
                <w:color w:val="006AB4"/>
                <w:sz w:val="15"/>
                <w:szCs w:val="15"/>
              </w:rPr>
              <w:t>K</w:t>
            </w:r>
            <w:r>
              <w:rPr>
                <w:rStyle w:val="CharStyle6"/>
                <w:b/>
                <w:bCs/>
                <w:color w:val="006AB4"/>
                <w:sz w:val="8"/>
                <w:szCs w:val="8"/>
              </w:rPr>
              <w:t>d</w:t>
            </w:r>
            <w:bookmarkEnd w:id="12"/>
          </w:p>
        </w:tc>
        <w:tc>
          <w:tcPr>
            <w:tcBorders>
              <w:top w:val="single" w:sz="4"/>
              <w:left w:val="single" w:sz="4"/>
              <w:bottom w:val="single" w:sz="4"/>
              <w:right w:val="single" w:sz="4"/>
            </w:tcBorders>
            <w:shd w:val="clear" w:color="auto" w:fill="auto"/>
            <w:vAlign w:val="center"/>
          </w:tcPr>
          <w:p>
            <w:pPr>
              <w:pStyle w:val="Style5"/>
              <w:keepNext w:val="0"/>
              <w:keepLines w:val="0"/>
              <w:framePr w:w="7157" w:h="1382" w:vSpace="773" w:wrap="none" w:vAnchor="text" w:hAnchor="page" w:x="4147" w:y="12563"/>
              <w:widowControl w:val="0"/>
              <w:shd w:val="clear" w:color="auto" w:fill="auto"/>
              <w:bidi w:val="0"/>
              <w:spacing w:before="0" w:after="0" w:line="293" w:lineRule="auto"/>
              <w:ind w:left="0" w:right="0" w:firstLine="0"/>
              <w:jc w:val="left"/>
              <w:rPr>
                <w:sz w:val="12"/>
                <w:szCs w:val="12"/>
              </w:rPr>
            </w:pPr>
            <w:r>
              <w:rPr>
                <w:rStyle w:val="CharStyle6"/>
                <w:b/>
                <w:bCs/>
                <w:color w:val="006AB4"/>
                <w:sz w:val="12"/>
                <w:szCs w:val="12"/>
              </w:rPr>
              <w:t>de-rating faktor, vyjadřuje „míru dostupnosti“ zdroje v případě nedostatku energie v síti v roce a uvádí se pro každou technologii zvlášť</w:t>
            </w:r>
          </w:p>
        </w:tc>
      </w:tr>
    </w:tbl>
    <w:p>
      <w:pPr>
        <w:framePr w:w="7157" w:h="1382" w:vSpace="773" w:wrap="none" w:vAnchor="text" w:hAnchor="page" w:x="4147" w:y="12563"/>
        <w:widowControl w:val="0"/>
        <w:spacing w:line="1" w:lineRule="exact"/>
      </w:pPr>
    </w:p>
    <w:p>
      <w:pPr>
        <w:pStyle w:val="Style44"/>
        <w:keepNext w:val="0"/>
        <w:keepLines w:val="0"/>
        <w:framePr w:w="221" w:h="293" w:wrap="none" w:vAnchor="text" w:hAnchor="page" w:x="8165" w:y="11790"/>
        <w:widowControl w:val="0"/>
        <w:shd w:val="clear" w:color="auto" w:fill="auto"/>
        <w:bidi w:val="0"/>
        <w:spacing w:before="0" w:after="0" w:line="240" w:lineRule="auto"/>
        <w:ind w:left="0" w:right="0" w:firstLine="0"/>
        <w:jc w:val="left"/>
        <w:rPr>
          <w:sz w:val="10"/>
          <w:szCs w:val="10"/>
        </w:rPr>
      </w:pPr>
      <w:r>
        <w:rPr>
          <w:rStyle w:val="CharStyle45"/>
          <w:rFonts w:ascii="Times New Roman" w:eastAsia="Times New Roman" w:hAnsi="Times New Roman" w:cs="Times New Roman"/>
          <w:color w:val="000000"/>
          <w:sz w:val="20"/>
          <w:szCs w:val="20"/>
          <w:vertAlign w:val="superscript"/>
        </w:rPr>
        <w:t>K</w:t>
      </w:r>
      <w:r>
        <w:rPr>
          <w:rStyle w:val="CharStyle45"/>
          <w:color w:val="000000"/>
          <w:sz w:val="10"/>
          <w:szCs w:val="10"/>
        </w:rPr>
        <w:t>d</w:t>
      </w:r>
    </w:p>
    <w:p>
      <w:pPr>
        <w:widowControl w:val="0"/>
        <w:spacing w:line="360" w:lineRule="exact"/>
      </w:pPr>
      <w:r>
        <w:drawing>
          <wp:anchor distT="0" distB="624840" distL="0" distR="0" simplePos="0" relativeHeight="62914696" behindDoc="1" locked="0" layoutInCell="1" allowOverlap="1">
            <wp:simplePos x="0" y="0"/>
            <wp:positionH relativeFrom="page">
              <wp:posOffset>977900</wp:posOffset>
            </wp:positionH>
            <wp:positionV relativeFrom="paragraph">
              <wp:posOffset>12700</wp:posOffset>
            </wp:positionV>
            <wp:extent cx="3413760" cy="2066290"/>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3"/>
                    <a:stretch/>
                  </pic:blipFill>
                  <pic:spPr>
                    <a:xfrm>
                      <a:ext cx="3413760" cy="2066290"/>
                    </a:xfrm>
                    <a:prstGeom prst="rect"/>
                  </pic:spPr>
                </pic:pic>
              </a:graphicData>
            </a:graphic>
          </wp:anchor>
        </w:drawing>
      </w:r>
      <w:r>
        <w:drawing>
          <wp:anchor distT="0" distB="0" distL="0" distR="0" simplePos="0" relativeHeight="62914697" behindDoc="1" locked="0" layoutInCell="1" allowOverlap="1">
            <wp:simplePos x="0" y="0"/>
            <wp:positionH relativeFrom="page">
              <wp:posOffset>4766310</wp:posOffset>
            </wp:positionH>
            <wp:positionV relativeFrom="paragraph">
              <wp:posOffset>189230</wp:posOffset>
            </wp:positionV>
            <wp:extent cx="1012190" cy="969010"/>
            <wp:wrapNone/>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5"/>
                    <a:stretch/>
                  </pic:blipFill>
                  <pic:spPr>
                    <a:xfrm>
                      <a:ext cx="1012190" cy="969010"/>
                    </a:xfrm>
                    <a:prstGeom prst="rect"/>
                  </pic:spPr>
                </pic:pic>
              </a:graphicData>
            </a:graphic>
          </wp:anchor>
        </w:drawing>
      </w:r>
      <w:r>
        <w:drawing>
          <wp:anchor distT="0" distB="0" distL="0" distR="0" simplePos="0" relativeHeight="62914698" behindDoc="1" locked="0" layoutInCell="1" allowOverlap="1">
            <wp:simplePos x="0" y="0"/>
            <wp:positionH relativeFrom="page">
              <wp:posOffset>5970270</wp:posOffset>
            </wp:positionH>
            <wp:positionV relativeFrom="paragraph">
              <wp:posOffset>189230</wp:posOffset>
            </wp:positionV>
            <wp:extent cx="1005840" cy="969010"/>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7"/>
                    <a:stretch/>
                  </pic:blipFill>
                  <pic:spPr>
                    <a:xfrm>
                      <a:ext cx="1005840" cy="969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3" w:line="1" w:lineRule="exact"/>
      </w:pPr>
    </w:p>
    <w:p>
      <w:pPr>
        <w:widowControl w:val="0"/>
        <w:spacing w:line="1" w:lineRule="exact"/>
        <w:sectPr>
          <w:footnotePr>
            <w:pos w:val="pageBottom"/>
            <w:numFmt w:val="decimal"/>
            <w:numRestart w:val="continuous"/>
          </w:footnotePr>
          <w:type w:val="continuous"/>
          <w:pgSz w:w="12142" w:h="17375"/>
          <w:pgMar w:top="1017" w:right="681" w:bottom="581" w:left="681" w:header="0" w:footer="3" w:gutter="144"/>
          <w:cols w:space="720"/>
          <w:noEndnote/>
          <w:rtlGutter w:val="0"/>
          <w:docGrid w:linePitch="360"/>
        </w:sectPr>
      </w:pPr>
    </w:p>
    <w:p>
      <w:pPr>
        <w:pStyle w:val="Style19"/>
        <w:keepNext w:val="0"/>
        <w:keepLines w:val="0"/>
        <w:widowControl w:val="0"/>
        <w:shd w:val="clear" w:color="auto" w:fill="auto"/>
        <w:bidi w:val="0"/>
        <w:spacing w:before="0"/>
        <w:ind w:left="0" w:right="0" w:firstLine="0"/>
        <w:jc w:val="left"/>
      </w:pPr>
      <w:r>
        <w:rPr>
          <w:rStyle w:val="CharStyle20"/>
        </w:rPr>
        <w:t>De-rating faktor vyjadřuje, jaká bude dostupnost daného zdroje pro pokrytí špiček (kdy je předpokládán nedostatek výroby). Obecně méně ovladatelné zdroje tak mají nižší (horší) de-rating faktor a finální CONE</w:t>
      </w:r>
      <w:r>
        <w:rPr>
          <w:rStyle w:val="CharStyle20"/>
          <w:vertAlign w:val="subscript"/>
        </w:rPr>
        <w:t>fixed</w:t>
      </w:r>
      <w:r>
        <w:rPr>
          <w:rStyle w:val="CharStyle20"/>
        </w:rPr>
        <w:t xml:space="preserve"> je pak u těchto technologií vyšší.</w:t>
      </w:r>
    </w:p>
    <w:p>
      <w:pPr>
        <w:pStyle w:val="Style19"/>
        <w:keepNext w:val="0"/>
        <w:keepLines w:val="0"/>
        <w:widowControl w:val="0"/>
        <w:shd w:val="clear" w:color="auto" w:fill="auto"/>
        <w:bidi w:val="0"/>
        <w:spacing w:before="0" w:line="300" w:lineRule="auto"/>
        <w:ind w:left="0" w:right="0" w:firstLine="0"/>
        <w:jc w:val="left"/>
      </w:pPr>
      <w:r>
        <w:rPr>
          <w:rStyle w:val="CharStyle20"/>
        </w:rPr>
        <w:t>CONE</w:t>
      </w:r>
      <w:r>
        <w:rPr>
          <w:rStyle w:val="CharStyle20"/>
          <w:vertAlign w:val="subscript"/>
        </w:rPr>
        <w:t>variable</w:t>
      </w:r>
      <w:r>
        <w:rPr>
          <w:rStyle w:val="CharStyle20"/>
        </w:rPr>
        <w:t xml:space="preserve"> jsou variabilní náklady na jednotku vyrobené energie v průběhu ekonomické životnosti zdroje. Náklady v sobě zahrnují cenu za palivo, emisní povolenky a další variabilní náklady na provoz a údržbu. Parametr vychází v EUR na MWh.</w:t>
      </w:r>
    </w:p>
    <w:p>
      <w:pPr>
        <w:pStyle w:val="Style27"/>
        <w:keepNext/>
        <w:keepLines/>
        <w:widowControl w:val="0"/>
        <w:numPr>
          <w:ilvl w:val="1"/>
          <w:numId w:val="5"/>
        </w:numPr>
        <w:shd w:val="clear" w:color="auto" w:fill="auto"/>
        <w:tabs>
          <w:tab w:pos="394" w:val="left"/>
        </w:tabs>
        <w:bidi w:val="0"/>
        <w:spacing w:before="0" w:after="0"/>
        <w:ind w:left="0" w:right="0" w:firstLine="0"/>
        <w:jc w:val="left"/>
      </w:pPr>
      <w:bookmarkStart w:id="13" w:name="bookmark13"/>
      <w:r>
        <w:rPr>
          <w:rStyle w:val="CharStyle28"/>
          <w:b/>
          <w:bCs/>
        </w:rPr>
        <w:t>STANOVENÍ NORMY SPOLEHLIVOSTI</w:t>
      </w:r>
      <w:bookmarkEnd w:id="13"/>
    </w:p>
    <w:p>
      <w:pPr>
        <w:pStyle w:val="Style19"/>
        <w:keepNext w:val="0"/>
        <w:keepLines w:val="0"/>
        <w:widowControl w:val="0"/>
        <w:shd w:val="clear" w:color="auto" w:fill="auto"/>
        <w:bidi w:val="0"/>
        <w:spacing w:before="0"/>
        <w:ind w:left="0" w:right="0" w:firstLine="0"/>
        <w:jc w:val="left"/>
      </w:pPr>
      <w:r>
        <w:rPr>
          <w:rStyle w:val="CharStyle20"/>
        </w:rPr>
        <w:t>Zájmem jednotlivých členských států EU je určit normu spolehlivosti LOLE</w:t>
      </w:r>
      <w:r>
        <w:rPr>
          <w:rStyle w:val="CharStyle20"/>
          <w:sz w:val="10"/>
          <w:szCs w:val="10"/>
        </w:rPr>
        <w:t>NS</w:t>
      </w:r>
      <w:r>
        <w:rPr>
          <w:rStyle w:val="CharStyle20"/>
        </w:rPr>
        <w:t>, při jejímž překročení je ohrožena spolehlivost dodávek elektrické energie (zdrojová přiměřenost). Překročení hodnoty normy spolehlivosti je vnímáno jako indikace oprávněnosti intervence státu do tržních podmínek s cílem iniciovat realizaci opatření, která by nedostatek zdrojů snížila, až odstranila. Stanovení jediné a dlouhodobě platné hodnoty normy spolehlivosti je však značně obtížné, protože závisí na aktuálním stavu dané soustavy, na měnících se cenách technologií, na technických a socio-ekonomických okrajových podmínkách a jejich očekávaném vývoji. Proto bude norma spolehlivosti pravidelně aktualizována při zpracování hodnocení zdrojové přiměřenosti ES ČR (MAF CZ).</w:t>
      </w:r>
    </w:p>
    <w:p>
      <w:pPr>
        <w:pStyle w:val="Style19"/>
        <w:keepNext w:val="0"/>
        <w:keepLines w:val="0"/>
        <w:widowControl w:val="0"/>
        <w:shd w:val="clear" w:color="auto" w:fill="auto"/>
        <w:bidi w:val="0"/>
        <w:spacing w:before="0" w:after="500"/>
        <w:ind w:left="0" w:right="0" w:firstLine="0"/>
        <w:jc w:val="left"/>
      </w:pPr>
      <w:r>
        <w:rPr>
          <w:rStyle w:val="CharStyle20"/>
        </w:rPr>
        <w:t>Přestože napříč evropskými státy není historicky určena norma spolehlivosti LOLE</w:t>
      </w:r>
      <w:r>
        <w:rPr>
          <w:rStyle w:val="CharStyle20"/>
          <w:sz w:val="10"/>
          <w:szCs w:val="10"/>
        </w:rPr>
        <w:t xml:space="preserve">NS </w:t>
      </w:r>
      <w:r>
        <w:rPr>
          <w:rStyle w:val="CharStyle20"/>
        </w:rPr>
        <w:t>jednotně, většina států ji stanovuje v rozmezí 1 až 10 hodin za rok. Nově však metodika ENTSO-E sjednocuje způsob stanovení hodnoty normy spolehlivosti v závislosti na ekonomických parametrech daného státu. Norma spolehlivosti LOLE</w:t>
      </w:r>
      <w:r>
        <w:rPr>
          <w:rStyle w:val="CharStyle20"/>
          <w:sz w:val="10"/>
          <w:szCs w:val="10"/>
        </w:rPr>
        <w:t xml:space="preserve">NS </w:t>
      </w:r>
      <w:r>
        <w:rPr>
          <w:rStyle w:val="CharStyle20"/>
        </w:rPr>
        <w:t>je dle metodiky ENTSO-E určena minimem ze souboru tzv. prahových hodnot LOLE</w:t>
      </w:r>
      <w:r>
        <w:rPr>
          <w:rStyle w:val="CharStyle20"/>
          <w:vertAlign w:val="subscript"/>
        </w:rPr>
        <w:t xml:space="preserve">thr </w:t>
      </w:r>
      <w:r>
        <w:rPr>
          <w:rStyle w:val="CharStyle20"/>
        </w:rPr>
        <w:t>pro jednotlivé referenční technologie.</w:t>
      </w:r>
    </w:p>
    <w:p>
      <w:pPr>
        <w:pStyle w:val="Style19"/>
        <w:keepNext w:val="0"/>
        <w:keepLines w:val="0"/>
        <w:widowControl w:val="0"/>
        <w:shd w:val="clear" w:color="auto" w:fill="auto"/>
        <w:bidi w:val="0"/>
        <w:spacing w:before="0" w:after="500"/>
        <w:ind w:left="0" w:right="0" w:firstLine="0"/>
        <w:jc w:val="center"/>
      </w:pPr>
      <w:r>
        <w:rPr>
          <w:rStyle w:val="CharStyle20"/>
        </w:rPr>
        <w:t>LOLE</w:t>
      </w:r>
      <w:r>
        <w:rPr>
          <w:rStyle w:val="CharStyle20"/>
          <w:sz w:val="10"/>
          <w:szCs w:val="10"/>
        </w:rPr>
        <w:t xml:space="preserve">NS </w:t>
      </w:r>
      <w:r>
        <w:rPr>
          <w:rStyle w:val="CharStyle20"/>
        </w:rPr>
        <w:t>= min(LOLE</w:t>
      </w:r>
      <w:r>
        <w:rPr>
          <w:rStyle w:val="CharStyle20"/>
          <w:sz w:val="10"/>
          <w:szCs w:val="10"/>
        </w:rPr>
        <w:t xml:space="preserve">thr </w:t>
      </w:r>
      <w:r>
        <w:rPr>
          <w:rStyle w:val="CharStyle20"/>
        </w:rPr>
        <w:t>)</w:t>
      </w:r>
    </w:p>
    <w:p>
      <w:pPr>
        <w:pStyle w:val="Style19"/>
        <w:keepNext w:val="0"/>
        <w:keepLines w:val="0"/>
        <w:widowControl w:val="0"/>
        <w:shd w:val="clear" w:color="auto" w:fill="auto"/>
        <w:bidi w:val="0"/>
        <w:spacing w:before="0" w:after="0"/>
        <w:ind w:left="0" w:right="0" w:firstLine="0"/>
        <w:jc w:val="left"/>
      </w:pPr>
      <w:r>
        <w:rPr>
          <w:rStyle w:val="CharStyle20"/>
        </w:rPr>
        <w:t>Prahové hodnoty LOLE</w:t>
      </w:r>
      <w:r>
        <w:rPr>
          <w:rStyle w:val="CharStyle20"/>
          <w:vertAlign w:val="subscript"/>
        </w:rPr>
        <w:t>thr</w:t>
      </w:r>
      <w:r>
        <w:rPr>
          <w:rStyle w:val="CharStyle20"/>
        </w:rPr>
        <w:t xml:space="preserve"> referenčních technologií pak stanovují, jaké konkrétní technologie jsou vzhledem ke svým investičním nákladům ekonomicky odůvodnitelné. Tyto prahové hodnoty jsou určeny v závislosti na ocenění nedodávky elektrické energie (VOLL) a ekonomických parametrech nového zdroje (CONE), případně stávajícího zdroje s možností prodloužení životnosti (Cost of Renewal or Prolongation; CORP). Prahová hodnota LOLE</w:t>
      </w:r>
      <w:r>
        <w:rPr>
          <w:rStyle w:val="CharStyle20"/>
          <w:vertAlign w:val="subscript"/>
        </w:rPr>
        <w:t>thr</w:t>
      </w:r>
      <w:r>
        <w:rPr>
          <w:rStyle w:val="CharStyle20"/>
        </w:rPr>
        <w:t xml:space="preserve"> je stanovována zvlášť pro jednotlivé technologie, a to následujícím způsobem:</w:t>
      </w:r>
    </w:p>
    <w:p>
      <w:pPr>
        <w:widowControl w:val="0"/>
        <w:spacing w:line="1" w:lineRule="exact"/>
      </w:pPr>
      <w:r>
        <mc:AlternateContent>
          <mc:Choice Requires="wps">
            <w:drawing>
              <wp:anchor distT="240030" distB="113030" distL="0" distR="0" simplePos="0" relativeHeight="125829384" behindDoc="0" locked="0" layoutInCell="1" allowOverlap="1">
                <wp:simplePos x="0" y="0"/>
                <wp:positionH relativeFrom="margin">
                  <wp:posOffset>1429385</wp:posOffset>
                </wp:positionH>
                <wp:positionV relativeFrom="paragraph">
                  <wp:posOffset>240030</wp:posOffset>
                </wp:positionV>
                <wp:extent cx="502920" cy="176530"/>
                <wp:wrapTopAndBottom/>
                <wp:docPr id="21" name="Shape 21"/>
                <a:graphic xmlns:a="http://schemas.openxmlformats.org/drawingml/2006/main">
                  <a:graphicData uri="http://schemas.microsoft.com/office/word/2010/wordprocessingShape">
                    <wps:wsp>
                      <wps:cNvSpPr txBox="1"/>
                      <wps:spPr>
                        <a:xfrm>
                          <a:ext cx="502920" cy="176530"/>
                        </a:xfrm>
                        <a:prstGeom prst="rect"/>
                        <a:noFill/>
                      </wps:spPr>
                      <wps:txbx>
                        <w:txbxContent>
                          <w:p>
                            <w:pPr>
                              <w:pStyle w:val="Style19"/>
                              <w:keepNext w:val="0"/>
                              <w:keepLines w:val="0"/>
                              <w:widowControl w:val="0"/>
                              <w:shd w:val="clear" w:color="auto" w:fill="auto"/>
                              <w:bidi w:val="0"/>
                              <w:spacing w:before="0" w:after="0" w:line="0" w:lineRule="atLeast"/>
                              <w:ind w:left="440" w:right="0" w:hanging="440"/>
                              <w:jc w:val="left"/>
                              <w:rPr>
                                <w:sz w:val="10"/>
                                <w:szCs w:val="10"/>
                              </w:rPr>
                            </w:pPr>
                            <w:r>
                              <w:rPr>
                                <w:rStyle w:val="CharStyle20"/>
                              </w:rPr>
                              <w:t xml:space="preserve">LOLE , = </w:t>
                            </w:r>
                            <w:r>
                              <w:rPr>
                                <w:rStyle w:val="CharStyle20"/>
                                <w:sz w:val="10"/>
                                <w:szCs w:val="10"/>
                              </w:rPr>
                              <w:t>thr</w:t>
                            </w:r>
                          </w:p>
                        </w:txbxContent>
                      </wps:txbx>
                      <wps:bodyPr lIns="0" tIns="0" rIns="0" bIns="0">
                        <a:noAutoFit/>
                      </wps:bodyPr>
                    </wps:wsp>
                  </a:graphicData>
                </a:graphic>
              </wp:anchor>
            </w:drawing>
          </mc:Choice>
          <mc:Fallback>
            <w:pict>
              <v:shape id="_x0000_s1047" type="#_x0000_t202" style="position:absolute;margin-left:112.55pt;margin-top:18.900000000000002pt;width:39.600000000000001pt;height:13.9pt;z-index:-125829369;mso-wrap-distance-left:0;mso-wrap-distance-top:18.900000000000002pt;mso-wrap-distance-right:0;mso-wrap-distance-bottom:8.9000000000000004pt;mso-position-horizontal-relative:margin" filled="f" stroked="f">
                <v:textbox inset="0,0,0,0">
                  <w:txbxContent>
                    <w:p>
                      <w:pPr>
                        <w:pStyle w:val="Style19"/>
                        <w:keepNext w:val="0"/>
                        <w:keepLines w:val="0"/>
                        <w:widowControl w:val="0"/>
                        <w:shd w:val="clear" w:color="auto" w:fill="auto"/>
                        <w:bidi w:val="0"/>
                        <w:spacing w:before="0" w:after="0" w:line="0" w:lineRule="atLeast"/>
                        <w:ind w:left="440" w:right="0" w:hanging="440"/>
                        <w:jc w:val="left"/>
                        <w:rPr>
                          <w:sz w:val="10"/>
                          <w:szCs w:val="10"/>
                        </w:rPr>
                      </w:pPr>
                      <w:r>
                        <w:rPr>
                          <w:rStyle w:val="CharStyle20"/>
                        </w:rPr>
                        <w:t xml:space="preserve">LOLE , = </w:t>
                      </w:r>
                      <w:r>
                        <w:rPr>
                          <w:rStyle w:val="CharStyle20"/>
                          <w:sz w:val="10"/>
                          <w:szCs w:val="10"/>
                        </w:rPr>
                        <w:t>thr</w:t>
                      </w:r>
                    </w:p>
                  </w:txbxContent>
                </v:textbox>
                <w10:wrap type="topAndBottom" anchorx="margin"/>
              </v:shape>
            </w:pict>
          </mc:Fallback>
        </mc:AlternateContent>
      </w:r>
      <w:r>
        <mc:AlternateContent>
          <mc:Choice Requires="wps">
            <w:drawing>
              <wp:anchor distT="139700" distB="215900" distL="0" distR="0" simplePos="0" relativeHeight="125829386" behindDoc="0" locked="0" layoutInCell="1" allowOverlap="1">
                <wp:simplePos x="0" y="0"/>
                <wp:positionH relativeFrom="margin">
                  <wp:posOffset>2233930</wp:posOffset>
                </wp:positionH>
                <wp:positionV relativeFrom="paragraph">
                  <wp:posOffset>139700</wp:posOffset>
                </wp:positionV>
                <wp:extent cx="521335" cy="173990"/>
                <wp:wrapTopAndBottom/>
                <wp:docPr id="23" name="Shape 23"/>
                <a:graphic xmlns:a="http://schemas.openxmlformats.org/drawingml/2006/main">
                  <a:graphicData uri="http://schemas.microsoft.com/office/word/2010/wordprocessingShape">
                    <wps:wsp>
                      <wps:cNvSpPr txBox="1"/>
                      <wps:spPr>
                        <a:xfrm>
                          <a:ext cx="521335" cy="1739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pPr>
                            <w:r>
                              <w:rPr>
                                <w:rStyle w:val="CharStyle20"/>
                              </w:rPr>
                              <w:t>CONE, „</w:t>
                            </w:r>
                          </w:p>
                          <w:p>
                            <w:pPr>
                              <w:pStyle w:val="Style5"/>
                              <w:keepNext w:val="0"/>
                              <w:keepLines w:val="0"/>
                              <w:widowControl w:val="0"/>
                              <w:pBdr>
                                <w:bottom w:val="single" w:sz="4" w:space="0" w:color="auto"/>
                              </w:pBdr>
                              <w:shd w:val="clear" w:color="auto" w:fill="auto"/>
                              <w:bidi w:val="0"/>
                              <w:spacing w:before="0" w:after="0" w:line="180" w:lineRule="auto"/>
                              <w:ind w:left="0" w:right="0" w:firstLine="0"/>
                              <w:jc w:val="right"/>
                              <w:rPr>
                                <w:sz w:val="10"/>
                                <w:szCs w:val="10"/>
                              </w:rPr>
                            </w:pPr>
                            <w:r>
                              <w:rPr>
                                <w:rStyle w:val="CharStyle6"/>
                                <w:sz w:val="10"/>
                                <w:szCs w:val="10"/>
                              </w:rPr>
                              <w:t>fixed</w:t>
                            </w:r>
                          </w:p>
                        </w:txbxContent>
                      </wps:txbx>
                      <wps:bodyPr lIns="0" tIns="0" rIns="0" bIns="0">
                        <a:noAutoFit/>
                      </wps:bodyPr>
                    </wps:wsp>
                  </a:graphicData>
                </a:graphic>
              </wp:anchor>
            </w:drawing>
          </mc:Choice>
          <mc:Fallback>
            <w:pict>
              <v:shape id="_x0000_s1049" type="#_x0000_t202" style="position:absolute;margin-left:175.90000000000001pt;margin-top:11.pt;width:41.050000000000004pt;height:13.700000000000001pt;z-index:-125829367;mso-wrap-distance-left:0;mso-wrap-distance-top:11.pt;mso-wrap-distance-right:0;mso-wrap-distance-bottom:17.pt;mso-position-horizont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pPr>
                      <w:r>
                        <w:rPr>
                          <w:rStyle w:val="CharStyle20"/>
                        </w:rPr>
                        <w:t>CONE, „</w:t>
                      </w:r>
                    </w:p>
                    <w:p>
                      <w:pPr>
                        <w:pStyle w:val="Style5"/>
                        <w:keepNext w:val="0"/>
                        <w:keepLines w:val="0"/>
                        <w:widowControl w:val="0"/>
                        <w:pBdr>
                          <w:bottom w:val="single" w:sz="4" w:space="0" w:color="auto"/>
                        </w:pBdr>
                        <w:shd w:val="clear" w:color="auto" w:fill="auto"/>
                        <w:bidi w:val="0"/>
                        <w:spacing w:before="0" w:after="0" w:line="180" w:lineRule="auto"/>
                        <w:ind w:left="0" w:right="0" w:firstLine="0"/>
                        <w:jc w:val="right"/>
                        <w:rPr>
                          <w:sz w:val="10"/>
                          <w:szCs w:val="10"/>
                        </w:rPr>
                      </w:pPr>
                      <w:r>
                        <w:rPr>
                          <w:rStyle w:val="CharStyle6"/>
                          <w:sz w:val="10"/>
                          <w:szCs w:val="10"/>
                        </w:rPr>
                        <w:t>fixed</w:t>
                      </w:r>
                    </w:p>
                  </w:txbxContent>
                </v:textbox>
                <w10:wrap type="topAndBottom" anchorx="margin"/>
              </v:shape>
            </w:pict>
          </mc:Fallback>
        </mc:AlternateContent>
      </w:r>
      <w:r>
        <mc:AlternateContent>
          <mc:Choice Requires="wps">
            <w:drawing>
              <wp:anchor distT="356235" distB="0" distL="0" distR="0" simplePos="0" relativeHeight="125829388" behindDoc="0" locked="0" layoutInCell="1" allowOverlap="1">
                <wp:simplePos x="0" y="0"/>
                <wp:positionH relativeFrom="margin">
                  <wp:posOffset>2051050</wp:posOffset>
                </wp:positionH>
                <wp:positionV relativeFrom="paragraph">
                  <wp:posOffset>356235</wp:posOffset>
                </wp:positionV>
                <wp:extent cx="1106170" cy="173990"/>
                <wp:wrapTopAndBottom/>
                <wp:docPr id="25" name="Shape 25"/>
                <a:graphic xmlns:a="http://schemas.openxmlformats.org/drawingml/2006/main">
                  <a:graphicData uri="http://schemas.microsoft.com/office/word/2010/wordprocessingShape">
                    <wps:wsp>
                      <wps:cNvSpPr txBox="1"/>
                      <wps:spPr>
                        <a:xfrm>
                          <a:ext cx="1106170" cy="1739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VOLL — CONE ..</w:t>
                            </w:r>
                          </w:p>
                          <w:p>
                            <w:pPr>
                              <w:pStyle w:val="Style5"/>
                              <w:keepNext w:val="0"/>
                              <w:keepLines w:val="0"/>
                              <w:widowControl w:val="0"/>
                              <w:shd w:val="clear" w:color="auto" w:fill="auto"/>
                              <w:bidi w:val="0"/>
                              <w:spacing w:before="0" w:after="0" w:line="180" w:lineRule="auto"/>
                              <w:ind w:left="0" w:right="0" w:firstLine="0"/>
                              <w:jc w:val="right"/>
                              <w:rPr>
                                <w:sz w:val="10"/>
                                <w:szCs w:val="10"/>
                              </w:rPr>
                            </w:pPr>
                            <w:r>
                              <w:rPr>
                                <w:rStyle w:val="CharStyle6"/>
                                <w:sz w:val="10"/>
                                <w:szCs w:val="10"/>
                              </w:rPr>
                              <w:t>variable</w:t>
                            </w:r>
                          </w:p>
                        </w:txbxContent>
                      </wps:txbx>
                      <wps:bodyPr lIns="0" tIns="0" rIns="0" bIns="0">
                        <a:noAutoFit/>
                      </wps:bodyPr>
                    </wps:wsp>
                  </a:graphicData>
                </a:graphic>
              </wp:anchor>
            </w:drawing>
          </mc:Choice>
          <mc:Fallback>
            <w:pict>
              <v:shape id="_x0000_s1051" type="#_x0000_t202" style="position:absolute;margin-left:161.5pt;margin-top:28.050000000000001pt;width:87.100000000000009pt;height:13.700000000000001pt;z-index:-125829365;mso-wrap-distance-left:0;mso-wrap-distance-top:28.050000000000001pt;mso-wrap-distance-right:0;mso-position-horizont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VOLL — CONE ..</w:t>
                      </w:r>
                    </w:p>
                    <w:p>
                      <w:pPr>
                        <w:pStyle w:val="Style5"/>
                        <w:keepNext w:val="0"/>
                        <w:keepLines w:val="0"/>
                        <w:widowControl w:val="0"/>
                        <w:shd w:val="clear" w:color="auto" w:fill="auto"/>
                        <w:bidi w:val="0"/>
                        <w:spacing w:before="0" w:after="0" w:line="180" w:lineRule="auto"/>
                        <w:ind w:left="0" w:right="0" w:firstLine="0"/>
                        <w:jc w:val="right"/>
                        <w:rPr>
                          <w:sz w:val="10"/>
                          <w:szCs w:val="10"/>
                        </w:rPr>
                      </w:pPr>
                      <w:r>
                        <w:rPr>
                          <w:rStyle w:val="CharStyle6"/>
                          <w:sz w:val="10"/>
                          <w:szCs w:val="10"/>
                        </w:rPr>
                        <w:t>variable</w:t>
                      </w:r>
                    </w:p>
                  </w:txbxContent>
                </v:textbox>
                <w10:wrap type="topAndBottom" anchorx="margin"/>
              </v:shape>
            </w:pict>
          </mc:Fallback>
        </mc:AlternateContent>
      </w:r>
    </w:p>
    <w:p>
      <w:pPr>
        <w:pStyle w:val="Style19"/>
        <w:keepNext w:val="0"/>
        <w:keepLines w:val="0"/>
        <w:widowControl w:val="0"/>
        <w:shd w:val="clear" w:color="auto" w:fill="auto"/>
        <w:bidi w:val="0"/>
        <w:spacing w:before="0" w:after="0" w:line="300" w:lineRule="auto"/>
        <w:ind w:left="0" w:right="0" w:firstLine="0"/>
        <w:jc w:val="left"/>
      </w:pPr>
      <w:r>
        <w:rPr>
          <w:rStyle w:val="CharStyle20"/>
        </w:rPr>
        <w:t>V případě uvažování prodloužení životnosti stávající technologie lze ve výše zmíněných vzorcích hodnoty CONE</w:t>
      </w:r>
      <w:r>
        <w:rPr>
          <w:rStyle w:val="CharStyle20"/>
          <w:vertAlign w:val="subscript"/>
        </w:rPr>
        <w:t>fixed</w:t>
      </w:r>
      <w:r>
        <w:rPr>
          <w:rStyle w:val="CharStyle20"/>
        </w:rPr>
        <w:t xml:space="preserve"> a CONE</w:t>
      </w:r>
      <w:r>
        <w:rPr>
          <w:rStyle w:val="CharStyle20"/>
          <w:vertAlign w:val="subscript"/>
        </w:rPr>
        <w:t>variable</w:t>
      </w:r>
      <w:r>
        <w:rPr>
          <w:rStyle w:val="CharStyle20"/>
        </w:rPr>
        <w:t xml:space="preserve"> nahradit hodnotami CORP</w:t>
      </w:r>
      <w:r>
        <w:rPr>
          <w:rStyle w:val="CharStyle20"/>
          <w:vertAlign w:val="subscript"/>
        </w:rPr>
        <w:t xml:space="preserve">fixed </w:t>
      </w:r>
      <w:r>
        <w:rPr>
          <w:rStyle w:val="CharStyle20"/>
        </w:rPr>
        <w:t>a CORP</w:t>
      </w:r>
      <w:r>
        <w:rPr>
          <w:rStyle w:val="CharStyle20"/>
          <w:vertAlign w:val="subscript"/>
        </w:rPr>
        <w:t>variable</w:t>
      </w:r>
      <w:r>
        <w:rPr>
          <w:rStyle w:val="CharStyle20"/>
        </w:rPr>
        <w:t>, přičemž podstata výpočtu zůstává stejná.</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2.1 Přehled prahových hodnot LOLE</w:t>
      </w:r>
      <w:r>
        <w:rPr>
          <w:rStyle w:val="CharStyle45"/>
          <w:b/>
          <w:bCs/>
          <w:vertAlign w:val="subscript"/>
        </w:rPr>
        <w:t>thr</w:t>
      </w:r>
      <w:r>
        <w:rPr>
          <w:rStyle w:val="CharStyle45"/>
          <w:b/>
          <w:bCs/>
        </w:rPr>
        <w:t xml:space="preserve"> pro jednotlivé typy technologií</w:t>
      </w:r>
    </w:p>
    <w:tbl>
      <w:tblPr>
        <w:tblOverlap w:val="never"/>
        <w:jc w:val="center"/>
        <w:tblLayout w:type="fixed"/>
      </w:tblPr>
      <w:tblGrid>
        <w:gridCol w:w="816"/>
        <w:gridCol w:w="701"/>
        <w:gridCol w:w="706"/>
        <w:gridCol w:w="706"/>
        <w:gridCol w:w="701"/>
        <w:gridCol w:w="706"/>
        <w:gridCol w:w="706"/>
        <w:gridCol w:w="701"/>
        <w:gridCol w:w="706"/>
        <w:gridCol w:w="710"/>
      </w:tblGrid>
      <w:tr>
        <w:trPr>
          <w:trHeight w:val="782"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Typ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center"/>
              <w:rPr>
                <w:sz w:val="15"/>
                <w:szCs w:val="15"/>
              </w:rPr>
            </w:pPr>
            <w:r>
              <w:rPr>
                <w:rStyle w:val="CharStyle6"/>
                <w:rFonts w:ascii="Calibri" w:eastAsia="Calibri" w:hAnsi="Calibri" w:cs="Calibri"/>
                <w:b/>
                <w:bCs/>
                <w:color w:val="006AB4"/>
                <w:sz w:val="15"/>
                <w:szCs w:val="15"/>
              </w:rPr>
              <w:t>OCGT - Retrofit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OCGT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CCGT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DSR</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center"/>
              <w:rPr>
                <w:sz w:val="15"/>
                <w:szCs w:val="15"/>
              </w:rPr>
            </w:pPr>
            <w:r>
              <w:rPr>
                <w:rStyle w:val="CharStyle6"/>
                <w:rFonts w:ascii="Calibri" w:eastAsia="Calibri" w:hAnsi="Calibri" w:cs="Calibri"/>
                <w:b/>
                <w:bCs/>
                <w:color w:val="006AB4"/>
                <w:sz w:val="15"/>
                <w:szCs w:val="15"/>
              </w:rPr>
              <w:t>ICE Plynový motor</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center"/>
              <w:rPr>
                <w:sz w:val="15"/>
                <w:szCs w:val="15"/>
              </w:rPr>
            </w:pPr>
            <w:r>
              <w:rPr>
                <w:rStyle w:val="CharStyle6"/>
                <w:rFonts w:ascii="Calibri" w:eastAsia="Calibri" w:hAnsi="Calibri" w:cs="Calibri"/>
                <w:b/>
                <w:bCs/>
                <w:color w:val="006AB4"/>
                <w:sz w:val="15"/>
                <w:szCs w:val="15"/>
              </w:rPr>
              <w:t>HU Super- kritický blok</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VTE</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FVE</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19" w:lineRule="exact"/>
              <w:ind w:left="0" w:right="0" w:firstLine="0"/>
              <w:jc w:val="center"/>
              <w:rPr>
                <w:sz w:val="8"/>
                <w:szCs w:val="8"/>
              </w:rPr>
            </w:pPr>
            <w:r>
              <w:rPr>
                <w:rStyle w:val="CharStyle6"/>
                <w:rFonts w:ascii="Calibri" w:eastAsia="Calibri" w:hAnsi="Calibri" w:cs="Calibri"/>
                <w:b/>
                <w:bCs/>
                <w:color w:val="006AB4"/>
                <w:sz w:val="15"/>
                <w:szCs w:val="15"/>
              </w:rPr>
              <w:t xml:space="preserve">LOLE.- </w:t>
            </w:r>
            <w:r>
              <w:rPr>
                <w:rStyle w:val="CharStyle6"/>
                <w:b/>
                <w:bCs/>
                <w:color w:val="006AB4"/>
                <w:sz w:val="8"/>
                <w:szCs w:val="8"/>
              </w:rPr>
              <w:t>thr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E30613"/>
                <w:sz w:val="12"/>
                <w:szCs w:val="12"/>
              </w:rPr>
              <w:t>15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18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26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33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51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104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219 h/r</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635 h/r</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b/>
                <w:bCs/>
                <w:color w:val="006AB4"/>
                <w:sz w:val="12"/>
                <w:szCs w:val="12"/>
              </w:rPr>
              <w:t>926 h/r</w:t>
            </w:r>
          </w:p>
        </w:tc>
      </w:tr>
    </w:tbl>
    <w:p>
      <w:pPr>
        <w:widowControl w:val="0"/>
        <w:spacing w:after="359" w:line="1" w:lineRule="exact"/>
      </w:pPr>
    </w:p>
    <w:p>
      <w:pPr>
        <w:pStyle w:val="Style19"/>
        <w:keepNext w:val="0"/>
        <w:keepLines w:val="0"/>
        <w:widowControl w:val="0"/>
        <w:shd w:val="clear" w:color="auto" w:fill="auto"/>
        <w:bidi w:val="0"/>
        <w:spacing w:before="0" w:line="300" w:lineRule="auto"/>
        <w:ind w:left="0" w:right="0" w:firstLine="0"/>
        <w:jc w:val="left"/>
      </w:pPr>
      <w:r>
        <w:rPr>
          <w:rStyle w:val="CharStyle20"/>
          <w:b/>
          <w:bCs/>
        </w:rPr>
        <w:t>Norma spolehlivosti LOLE</w:t>
      </w:r>
      <w:r>
        <w:rPr>
          <w:rStyle w:val="CharStyle20"/>
          <w:b/>
          <w:bCs/>
          <w:sz w:val="8"/>
          <w:szCs w:val="8"/>
        </w:rPr>
        <w:t xml:space="preserve">NS </w:t>
      </w:r>
      <w:r>
        <w:rPr>
          <w:rStyle w:val="CharStyle20"/>
          <w:b/>
          <w:bCs/>
        </w:rPr>
        <w:t>pro ČR je tak dána technologií s nejnižšími náklady v případě prodloužení životnosti plynového zdroje - 15 h/r.</w:t>
      </w:r>
    </w:p>
    <w:p>
      <w:pPr>
        <w:pStyle w:val="Style19"/>
        <w:keepNext w:val="0"/>
        <w:keepLines w:val="0"/>
        <w:widowControl w:val="0"/>
        <w:shd w:val="clear" w:color="auto" w:fill="auto"/>
        <w:bidi w:val="0"/>
        <w:spacing w:before="0" w:after="200"/>
        <w:ind w:left="0" w:right="0" w:firstLine="0"/>
        <w:jc w:val="left"/>
      </w:pPr>
      <w:r>
        <w:rPr>
          <w:rStyle w:val="CharStyle20"/>
        </w:rPr>
        <w:t>Hodnoty VOLL, CONE a normy spolehlivosti je nutné dle metodik ENTSO-E pravidelně aktualizovat minimálně jednou za pět let, nebo i dříve v případě významných změn v sektoru energetiky. Hodnoty je také nutné vyhodnocovat v národním kontextu a využít pro posouzení ekonomické opodstatněnosti nápravných opatření v případě zdrojové nedostatečnosti s dopadem na spolehlivost provozu ES a na bezpečnost dodávek. Jedná se zpravidla o následující opatření, opravňující členský stát k intervencím v případě selhání trhu:</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operativní nástroje převážně neinvestiční povahy (tarify, flexibilita, včetně řízení strany spotřeby, kapacitní mechanismy)</w:t>
      </w:r>
    </w:p>
    <w:p>
      <w:pPr>
        <w:pStyle w:val="Style19"/>
        <w:keepNext w:val="0"/>
        <w:keepLines w:val="0"/>
        <w:widowControl w:val="0"/>
        <w:shd w:val="clear" w:color="auto" w:fill="auto"/>
        <w:bidi w:val="0"/>
        <w:spacing w:before="0" w:after="220" w:line="240" w:lineRule="auto"/>
        <w:ind w:left="0" w:right="0" w:firstLine="0"/>
        <w:jc w:val="left"/>
        <w:sectPr>
          <w:footnotePr>
            <w:pos w:val="pageBottom"/>
            <w:numFmt w:val="decimal"/>
            <w:numRestart w:val="continuous"/>
          </w:footnotePr>
          <w:pgSz w:w="12142" w:h="17375"/>
          <w:pgMar w:top="1286" w:right="798" w:bottom="3585" w:left="798" w:header="0" w:footer="3" w:gutter="3366"/>
          <w:cols w:space="720"/>
          <w:noEndnote/>
          <w:rtlGutter w:val="0"/>
          <w:docGrid w:linePitch="360"/>
        </w:sectPr>
      </w:pPr>
      <w:r>
        <w:rPr>
          <w:rStyle w:val="CharStyle20"/>
          <w:color w:val="006AB4"/>
          <w:sz w:val="22"/>
          <w:szCs w:val="22"/>
        </w:rPr>
        <w:t xml:space="preserve">^ </w:t>
      </w:r>
      <w:r>
        <w:rPr>
          <w:rStyle w:val="CharStyle20"/>
        </w:rPr>
        <w:t>nástroje investiční povahy (výstavba nového zdroje, akumulace)</w:t>
      </w:r>
    </w:p>
    <w:p>
      <w:pPr>
        <w:pStyle w:val="Style15"/>
        <w:keepNext/>
        <w:keepLines/>
        <w:widowControl w:val="0"/>
        <w:numPr>
          <w:ilvl w:val="0"/>
          <w:numId w:val="7"/>
        </w:numPr>
        <w:shd w:val="clear" w:color="auto" w:fill="auto"/>
        <w:tabs>
          <w:tab w:pos="298" w:val="left"/>
        </w:tabs>
        <w:bidi w:val="0"/>
        <w:spacing w:before="0" w:after="960" w:line="240" w:lineRule="auto"/>
        <w:ind w:left="0" w:right="0" w:firstLine="0"/>
        <w:jc w:val="left"/>
        <w:rPr>
          <w:sz w:val="22"/>
          <w:szCs w:val="22"/>
        </w:rPr>
      </w:pPr>
      <w:bookmarkStart w:id="16" w:name="bookmark16"/>
      <w:r>
        <w:rPr>
          <w:rStyle w:val="CharStyle16"/>
          <w:rFonts w:ascii="Segoe UI" w:eastAsia="Segoe UI" w:hAnsi="Segoe UI" w:cs="Segoe UI"/>
          <w:b/>
          <w:bCs/>
          <w:sz w:val="22"/>
          <w:szCs w:val="22"/>
        </w:rPr>
        <w:t>ENTSO-E ERAA 2022</w:t>
      </w:r>
      <w:bookmarkEnd w:id="16"/>
    </w:p>
    <w:p>
      <w:pPr>
        <w:pStyle w:val="Style19"/>
        <w:keepNext w:val="0"/>
        <w:keepLines w:val="0"/>
        <w:widowControl w:val="0"/>
        <w:shd w:val="clear" w:color="auto" w:fill="auto"/>
        <w:bidi w:val="0"/>
        <w:spacing w:before="0" w:line="300" w:lineRule="auto"/>
        <w:ind w:left="0" w:right="0" w:firstLine="0"/>
        <w:jc w:val="left"/>
      </w:pPr>
      <w:r>
        <w:rPr>
          <w:rStyle w:val="CharStyle20"/>
        </w:rPr>
        <w:t>Evropské hodnocení zdrojové přiměřenosti na základě Nařízení 2019/943 navazuje na svého předchůdce „Mid-term Adequacy Forecast“ (MAF) a v desetiletém výhledu predikuje stav zdrojové přiměřenosti v několika vybraných časových řezech.</w:t>
      </w:r>
    </w:p>
    <w:p>
      <w:pPr>
        <w:pStyle w:val="Style19"/>
        <w:keepNext w:val="0"/>
        <w:keepLines w:val="0"/>
        <w:widowControl w:val="0"/>
        <w:shd w:val="clear" w:color="auto" w:fill="auto"/>
        <w:bidi w:val="0"/>
        <w:spacing w:before="0"/>
        <w:ind w:left="0" w:right="0" w:firstLine="0"/>
        <w:jc w:val="left"/>
      </w:pPr>
      <w:r>
        <w:rPr>
          <w:rStyle w:val="CharStyle20"/>
        </w:rPr>
        <w:t>Dokument každoročně připravuje ENTSO-E ve spolupráci s jednotlivými provozovateli přenosových soustav, kteří mají dle Nařízení povinnost poskytovat data o elektroenergetickém sektoru daného státu. Data jsou reportována prostřednictvím tzv. PEMMDB souborů (Pan-European Market Modelling Database), které obsahují technické parametry jednotlivých výroben elektřiny, údaje o plánovaných odstávkách a také predikci spotřeby elektrické energie. Na základě těchto dat ENTSO-E namodeluje pomocí simulace bilanci celého evropského regionu a vyhodnotí ukazatele spolehlivosti dodávek (LOLE a EENS) pro jednotlivé země. Výpočty využívají klimatickou databázi PECD (Pan European Climate Database) pro zahrnutí vlivu počasí na výrobu a spotřebu elektrické energie. Současně do modelu vstupují i přenosové kapacity sítí mezi sousedícími zeměmi (import/export). Modelování celoevropské (stejně tak národní či regionální) ES představuje optimalizační úlohu minimalizace nákladů na pokrytí zatížení a alokaci služeb výkonové rovnováhy, přičemž mezi hlavní výsledky simulací patří nasazení zdrojů, velikost nedodávky a počet hodin, v nichž pravděpodobně nebude pokryto zatížení.</w:t>
      </w:r>
    </w:p>
    <w:p>
      <w:pPr>
        <w:pStyle w:val="Style19"/>
        <w:keepNext w:val="0"/>
        <w:keepLines w:val="0"/>
        <w:widowControl w:val="0"/>
        <w:shd w:val="clear" w:color="auto" w:fill="auto"/>
        <w:bidi w:val="0"/>
        <w:spacing w:before="0"/>
        <w:ind w:left="0" w:right="0" w:firstLine="0"/>
        <w:jc w:val="left"/>
      </w:pPr>
      <w:r>
        <w:rPr>
          <w:rStyle w:val="CharStyle20"/>
        </w:rPr>
        <w:t>Nařízení 2019/943 s sebou přineslo také celou řadu změn týkajících se především metodologie hodnocení zdrojové přiměřenosti. Nové postupy a principy jsou implementovány zejména za účelem zpřesnění modelování přeshraničních kapacit přenosových sítí pomocí metody Flow-Based (FB) a posuzování ekonomické životaschopnosti zdrojů, tzv. Economic Viability Assessment (EVA). Model EVA na základě ekonomických parametrů hodnotí ekonomickou opodstatněnost provozu zdroje a ve snaze snížit systémovou cenu model rozhodne o tom, zda se daný zdroj odstaví, prodlouží se jeho životnost či jestli se vyplatí investovat do zdroje nového. Kromě toho ERAA také cílí na postupný přechod na výpočty pro všechny roky ve zvoleném desetiletém horizontu a využívání jednotného modelovacího nástroje.</w:t>
      </w:r>
    </w:p>
    <w:p>
      <w:pPr>
        <w:pStyle w:val="Style19"/>
        <w:keepNext w:val="0"/>
        <w:keepLines w:val="0"/>
        <w:widowControl w:val="0"/>
        <w:shd w:val="clear" w:color="auto" w:fill="auto"/>
        <w:bidi w:val="0"/>
        <w:spacing w:before="0"/>
        <w:ind w:left="0" w:right="0" w:firstLine="0"/>
        <w:jc w:val="left"/>
      </w:pPr>
      <w:r>
        <w:rPr>
          <w:rStyle w:val="CharStyle20"/>
        </w:rPr>
        <w:t>V letošním roce mělo být hodnocení zdrojové přiměřenosti simulováno ve dvou scénářích založených na datech poskytnutých evropskými provozovateli přenosových soustav (tzv. National Estimates scénář) a upravených o posouzení ekonomické životaschopnosti zdrojů pomocí EVA. Scénáře se od sebe lišily tím, že ve scénáři bez kapacitních mechanismů byly tyto mechanismy zahrnuty pouze u těch zemí, které mají tuto formu státní podpory zavedenou a scénář s kapacitními mechanismy měl i obsahovat analýzu potřeby na zavedení nových opatření pro země, které dle výpočtu nesplňují normu spolehlivosti. Z důvodu velké výpočetní náročnosti však nakonec scénář s kapacitními mechanismy oficiálně publikován nebyl, a proto jsou níže uvedeny pouze výsledky scénáře bez kapacitních mechanismů.</w:t>
      </w:r>
    </w:p>
    <w:p>
      <w:pPr>
        <w:pStyle w:val="Style19"/>
        <w:keepNext w:val="0"/>
        <w:keepLines w:val="0"/>
        <w:widowControl w:val="0"/>
        <w:shd w:val="clear" w:color="auto" w:fill="auto"/>
        <w:bidi w:val="0"/>
        <w:spacing w:before="0"/>
        <w:ind w:left="0" w:right="0" w:firstLine="0"/>
        <w:jc w:val="left"/>
      </w:pPr>
      <w:r>
        <w:rPr>
          <w:rStyle w:val="CharStyle20"/>
          <w:b/>
          <w:bCs/>
        </w:rPr>
        <w:t xml:space="preserve">1) Centrální referenční scénář EVA bez kapacitních mechanismů </w:t>
      </w:r>
      <w:r>
        <w:rPr>
          <w:rStyle w:val="CharStyle20"/>
        </w:rPr>
        <w:t>zobrazuje predikci vývoje evropské energetiky pro cílové roky 2025, 2027 a 2030. Z výsledků pro celou řadu států vyplývá riziko zdrojové nepřiměřenosti již v roce 2025, přičemž aplikováním EVA se toto riziko dále prohlubuje odstavením velkého množství zdrojů, jejichž provoz je považován za neekonomický. V roce 2030 hodnot největšího počtu hodin LOLE dosahují Německo a Lucembursko (&gt; 20h) následované Francií.</w:t>
      </w:r>
      <w:r>
        <w:br w:type="page"/>
      </w:r>
    </w:p>
    <w:p>
      <w:pPr>
        <w:pStyle w:val="Style15"/>
        <w:keepNext/>
        <w:keepLines/>
        <w:widowControl w:val="0"/>
        <w:shd w:val="clear" w:color="auto" w:fill="auto"/>
        <w:bidi w:val="0"/>
        <w:spacing w:before="0" w:after="570" w:line="240" w:lineRule="auto"/>
        <w:ind w:left="0" w:right="0" w:firstLine="0"/>
        <w:jc w:val="left"/>
      </w:pPr>
      <w:bookmarkStart w:id="18" w:name="bookmark18"/>
      <w:r>
        <w:rPr>
          <w:rStyle w:val="CharStyle16"/>
          <w:b/>
          <w:bCs/>
        </w:rPr>
        <w:t>Obr. 3.1 Princip hodnocení zdrojové přiměřenosti</w:t>
      </w:r>
      <w:bookmarkEnd w:id="18"/>
    </w:p>
    <w:p>
      <w:pPr>
        <w:pStyle w:val="Style5"/>
        <w:keepNext w:val="0"/>
        <w:keepLines w:val="0"/>
        <w:widowControl w:val="0"/>
        <w:pBdr>
          <w:top w:val="single" w:sz="0" w:space="6" w:color="0985C8"/>
          <w:left w:val="single" w:sz="0" w:space="0" w:color="0985C8"/>
          <w:bottom w:val="single" w:sz="0" w:space="8" w:color="0985C8"/>
          <w:right w:val="single" w:sz="0" w:space="0" w:color="0985C8"/>
        </w:pBdr>
        <w:shd w:val="clear" w:color="auto" w:fill="0985C8"/>
        <w:bidi w:val="0"/>
        <w:spacing w:before="0" w:after="0" w:line="240" w:lineRule="auto"/>
        <w:ind w:left="0" w:right="0" w:firstLine="0"/>
        <w:jc w:val="center"/>
        <w:rPr>
          <w:sz w:val="11"/>
          <w:szCs w:val="11"/>
        </w:rPr>
      </w:pPr>
      <w:r>
        <w:rPr>
          <w:rStyle w:val="CharStyle6"/>
          <w:color w:val="FFFFFF"/>
          <w:sz w:val="11"/>
          <w:szCs w:val="11"/>
        </w:rPr>
        <w:t>Akumulace</w:t>
      </w:r>
    </w:p>
    <w:p>
      <w:pPr>
        <w:widowControl w:val="0"/>
        <w:spacing w:line="1" w:lineRule="exact"/>
        <w:sectPr>
          <w:footnotePr>
            <w:pos w:val="pageBottom"/>
            <w:numFmt w:val="decimal"/>
            <w:numRestart w:val="continuous"/>
          </w:footnotePr>
          <w:pgSz w:w="12142" w:h="17375"/>
          <w:pgMar w:top="1084" w:right="1607" w:bottom="2534" w:left="1607" w:header="0" w:footer="3" w:gutter="340"/>
          <w:cols w:space="720"/>
          <w:noEndnote/>
          <w:rtlGutter w:val="0"/>
          <w:docGrid w:linePitch="360"/>
        </w:sectPr>
      </w:pPr>
      <w:r>
        <w:drawing>
          <wp:anchor distT="412750" distB="1457325" distL="0" distR="548640" simplePos="0" relativeHeight="125829390" behindDoc="0" locked="0" layoutInCell="1" allowOverlap="1">
            <wp:simplePos x="0" y="0"/>
            <wp:positionH relativeFrom="margin">
              <wp:posOffset>2118360</wp:posOffset>
            </wp:positionH>
            <wp:positionV relativeFrom="paragraph">
              <wp:posOffset>412750</wp:posOffset>
            </wp:positionV>
            <wp:extent cx="1487170" cy="494030"/>
            <wp:wrapTopAndBottom/>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19"/>
                    <a:stretch/>
                  </pic:blipFill>
                  <pic:spPr>
                    <a:xfrm>
                      <a:ext cx="1487170" cy="49403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3596640</wp:posOffset>
                </wp:positionH>
                <wp:positionV relativeFrom="paragraph">
                  <wp:posOffset>330200</wp:posOffset>
                </wp:positionV>
                <wp:extent cx="557530" cy="341630"/>
                <wp:wrapNone/>
                <wp:docPr id="29" name="Shape 29"/>
                <a:graphic xmlns:a="http://schemas.openxmlformats.org/drawingml/2006/main">
                  <a:graphicData uri="http://schemas.microsoft.com/office/word/2010/wordprocessingShape">
                    <wps:wsp>
                      <wps:cNvSpPr txBox="1"/>
                      <wps:spPr>
                        <a:xfrm>
                          <a:ext cx="557530" cy="341630"/>
                        </a:xfrm>
                        <a:prstGeom prst="rect"/>
                        <a:noFill/>
                      </wps:spPr>
                      <wps:txbx>
                        <w:txbxContent>
                          <w:p>
                            <w:pPr>
                              <w:pStyle w:val="Style2"/>
                              <w:keepNext w:val="0"/>
                              <w:keepLines w:val="0"/>
                              <w:widowControl w:val="0"/>
                              <w:shd w:val="clear" w:color="auto" w:fill="auto"/>
                              <w:bidi w:val="0"/>
                              <w:spacing w:before="0" w:after="0" w:line="271" w:lineRule="auto"/>
                              <w:ind w:left="0" w:right="0" w:firstLine="0"/>
                              <w:jc w:val="center"/>
                              <w:rPr>
                                <w:sz w:val="13"/>
                                <w:szCs w:val="13"/>
                              </w:rPr>
                            </w:pPr>
                            <w:r>
                              <w:rPr>
                                <w:rStyle w:val="CharStyle3"/>
                                <w:b/>
                                <w:bCs/>
                                <w:color w:val="000000"/>
                                <w:sz w:val="13"/>
                                <w:szCs w:val="13"/>
                              </w:rPr>
                              <w:t>Zdrojově nepřiměřená soustava</w:t>
                            </w:r>
                          </w:p>
                        </w:txbxContent>
                      </wps:txbx>
                      <wps:bodyPr lIns="0" tIns="0" rIns="0" bIns="0">
                        <a:noAutoFit/>
                      </wps:bodyPr>
                    </wps:wsp>
                  </a:graphicData>
                </a:graphic>
              </wp:anchor>
            </w:drawing>
          </mc:Choice>
          <mc:Fallback>
            <w:pict>
              <v:shape id="_x0000_s1055" type="#_x0000_t202" style="position:absolute;margin-left:283.19999999999999pt;margin-top:26.pt;width:43.899999999999999pt;height:26.900000000000002pt;z-index:25165772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71" w:lineRule="auto"/>
                        <w:ind w:left="0" w:right="0" w:firstLine="0"/>
                        <w:jc w:val="center"/>
                        <w:rPr>
                          <w:sz w:val="13"/>
                          <w:szCs w:val="13"/>
                        </w:rPr>
                      </w:pPr>
                      <w:r>
                        <w:rPr>
                          <w:rStyle w:val="CharStyle3"/>
                          <w:b/>
                          <w:bCs/>
                          <w:color w:val="000000"/>
                          <w:sz w:val="13"/>
                          <w:szCs w:val="13"/>
                        </w:rPr>
                        <w:t>Zdrojově nepřiměřená soustava</w:t>
                      </w:r>
                    </w:p>
                  </w:txbxContent>
                </v:textbox>
                <w10:wrap anchorx="margin"/>
              </v:shape>
            </w:pict>
          </mc:Fallback>
        </mc:AlternateContent>
      </w:r>
      <w:r>
        <w:drawing>
          <wp:anchor distT="1107440" distB="635" distL="0" distR="0" simplePos="0" relativeHeight="125829391" behindDoc="0" locked="0" layoutInCell="1" allowOverlap="1">
            <wp:simplePos x="0" y="0"/>
            <wp:positionH relativeFrom="margin">
              <wp:posOffset>807720</wp:posOffset>
            </wp:positionH>
            <wp:positionV relativeFrom="paragraph">
              <wp:posOffset>1107440</wp:posOffset>
            </wp:positionV>
            <wp:extent cx="4321810" cy="1256030"/>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21"/>
                    <a:stretch/>
                  </pic:blipFill>
                  <pic:spPr>
                    <a:xfrm>
                      <a:ext cx="4321810" cy="125603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1578610</wp:posOffset>
                </wp:positionH>
                <wp:positionV relativeFrom="paragraph">
                  <wp:posOffset>494665</wp:posOffset>
                </wp:positionV>
                <wp:extent cx="466090" cy="341630"/>
                <wp:wrapNone/>
                <wp:docPr id="33" name="Shape 33"/>
                <a:graphic xmlns:a="http://schemas.openxmlformats.org/drawingml/2006/main">
                  <a:graphicData uri="http://schemas.microsoft.com/office/word/2010/wordprocessingShape">
                    <wps:wsp>
                      <wps:cNvSpPr txBox="1"/>
                      <wps:spPr>
                        <a:xfrm>
                          <a:ext cx="466090" cy="341630"/>
                        </a:xfrm>
                        <a:prstGeom prst="rect"/>
                        <a:noFill/>
                      </wps:spPr>
                      <wps:txbx>
                        <w:txbxContent>
                          <w:p>
                            <w:pPr>
                              <w:pStyle w:val="Style2"/>
                              <w:keepNext w:val="0"/>
                              <w:keepLines w:val="0"/>
                              <w:widowControl w:val="0"/>
                              <w:shd w:val="clear" w:color="auto" w:fill="auto"/>
                              <w:bidi w:val="0"/>
                              <w:spacing w:before="0" w:after="0" w:line="271" w:lineRule="auto"/>
                              <w:ind w:left="0" w:right="0" w:firstLine="0"/>
                              <w:jc w:val="center"/>
                              <w:rPr>
                                <w:sz w:val="13"/>
                                <w:szCs w:val="13"/>
                              </w:rPr>
                            </w:pPr>
                            <w:r>
                              <w:rPr>
                                <w:rStyle w:val="CharStyle3"/>
                                <w:b/>
                                <w:bCs/>
                                <w:color w:val="000000"/>
                                <w:sz w:val="13"/>
                                <w:szCs w:val="13"/>
                              </w:rPr>
                              <w:t>Zdrojově přiměřená soustava</w:t>
                            </w:r>
                          </w:p>
                        </w:txbxContent>
                      </wps:txbx>
                      <wps:bodyPr lIns="0" tIns="0" rIns="0" bIns="0">
                        <a:noAutoFit/>
                      </wps:bodyPr>
                    </wps:wsp>
                  </a:graphicData>
                </a:graphic>
              </wp:anchor>
            </w:drawing>
          </mc:Choice>
          <mc:Fallback>
            <w:pict>
              <v:shape id="_x0000_s1059" type="#_x0000_t202" style="position:absolute;margin-left:124.3pt;margin-top:38.950000000000003pt;width:36.700000000000003pt;height:26.900000000000002pt;z-index:251657731;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71" w:lineRule="auto"/>
                        <w:ind w:left="0" w:right="0" w:firstLine="0"/>
                        <w:jc w:val="center"/>
                        <w:rPr>
                          <w:sz w:val="13"/>
                          <w:szCs w:val="13"/>
                        </w:rPr>
                      </w:pPr>
                      <w:r>
                        <w:rPr>
                          <w:rStyle w:val="CharStyle3"/>
                          <w:b/>
                          <w:bCs/>
                          <w:color w:val="000000"/>
                          <w:sz w:val="13"/>
                          <w:szCs w:val="13"/>
                        </w:rPr>
                        <w:t>Zdrojově přiměřená soustava</w:t>
                      </w:r>
                    </w:p>
                  </w:txbxContent>
                </v:textbox>
                <w10:wrap anchorx="margin"/>
              </v:shape>
            </w:pict>
          </mc:Fallback>
        </mc:AlternateContent>
      </w:r>
    </w:p>
    <w:p>
      <w:pPr>
        <w:widowControl w:val="0"/>
        <w:spacing w:line="240" w:lineRule="exact"/>
        <w:rPr>
          <w:sz w:val="19"/>
          <w:szCs w:val="19"/>
        </w:rPr>
      </w:pPr>
    </w:p>
    <w:p>
      <w:pPr>
        <w:widowControl w:val="0"/>
        <w:spacing w:before="68" w:after="68"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147" w:right="0" w:bottom="1422" w:left="0" w:header="0" w:footer="3" w:gutter="0"/>
          <w:cols w:space="720"/>
          <w:noEndnote/>
          <w:rtlGutter w:val="0"/>
          <w:docGrid w:linePitch="360"/>
        </w:sectPr>
      </w:pPr>
    </w:p>
    <w:p>
      <w:pPr>
        <w:pStyle w:val="Style15"/>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2" w:h="17375"/>
          <w:pgMar w:top="1147" w:right="1516" w:bottom="1422" w:left="1516" w:header="0" w:footer="3" w:gutter="523"/>
          <w:cols w:space="720"/>
          <w:noEndnote/>
          <w:rtlGutter/>
          <w:docGrid w:linePitch="360"/>
        </w:sectPr>
      </w:pPr>
      <w:bookmarkStart w:id="20" w:name="bookmark20"/>
      <w:r>
        <w:rPr>
          <w:rStyle w:val="CharStyle16"/>
          <w:b/>
          <w:bCs/>
        </w:rPr>
        <w:t>Obr. 3.2 Hodnoty LOLE pro Centrální referenční scénář EVA bez kapacitních mechanismů v roce 2030</w:t>
      </w:r>
      <w:bookmarkEnd w:id="20"/>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147" w:right="0" w:bottom="586" w:left="0" w:header="0" w:footer="3" w:gutter="0"/>
          <w:cols w:space="720"/>
          <w:noEndnote/>
          <w:rtlGutter w:val="0"/>
          <w:docGrid w:linePitch="360"/>
        </w:sectPr>
      </w:pPr>
    </w:p>
    <w:p>
      <w:pPr>
        <w:pStyle w:val="Style5"/>
        <w:keepNext w:val="0"/>
        <w:keepLines w:val="0"/>
        <w:framePr w:w="1282" w:h="984" w:wrap="none" w:vAnchor="text" w:hAnchor="page" w:x="2376" w:y="241"/>
        <w:widowControl w:val="0"/>
        <w:shd w:val="clear" w:color="auto" w:fill="auto"/>
        <w:bidi w:val="0"/>
        <w:spacing w:before="0" w:after="60" w:line="240" w:lineRule="auto"/>
        <w:ind w:left="0" w:right="0" w:firstLine="0"/>
        <w:jc w:val="left"/>
        <w:rPr>
          <w:sz w:val="16"/>
          <w:szCs w:val="16"/>
        </w:rPr>
      </w:pPr>
      <w:r>
        <w:rPr>
          <w:rStyle w:val="CharStyle6"/>
          <w:sz w:val="16"/>
          <w:szCs w:val="16"/>
        </w:rPr>
        <w:t>LOLE (h)</w:t>
      </w:r>
    </w:p>
    <w:p>
      <w:pPr>
        <w:pStyle w:val="Style5"/>
        <w:keepNext w:val="0"/>
        <w:keepLines w:val="0"/>
        <w:framePr w:w="1282" w:h="984" w:wrap="none" w:vAnchor="text" w:hAnchor="page" w:x="2376" w:y="241"/>
        <w:widowControl w:val="0"/>
        <w:shd w:val="clear" w:color="auto" w:fill="auto"/>
        <w:bidi w:val="0"/>
        <w:spacing w:before="0" w:after="60" w:line="240" w:lineRule="auto"/>
        <w:ind w:left="0" w:right="0" w:firstLine="0"/>
        <w:jc w:val="left"/>
        <w:rPr>
          <w:sz w:val="16"/>
          <w:szCs w:val="16"/>
        </w:rPr>
      </w:pPr>
      <w:r>
        <w:rPr>
          <w:rStyle w:val="CharStyle6"/>
          <w:sz w:val="16"/>
          <w:szCs w:val="16"/>
        </w:rPr>
        <w:t>LOLE = 0 h/rok</w:t>
      </w:r>
    </w:p>
    <w:p>
      <w:pPr>
        <w:pStyle w:val="Style5"/>
        <w:keepNext w:val="0"/>
        <w:keepLines w:val="0"/>
        <w:framePr w:w="1282" w:h="984" w:wrap="none" w:vAnchor="text" w:hAnchor="page" w:x="2376" w:y="241"/>
        <w:widowControl w:val="0"/>
        <w:shd w:val="clear" w:color="auto" w:fill="auto"/>
        <w:bidi w:val="0"/>
        <w:spacing w:before="0" w:after="60" w:line="240" w:lineRule="auto"/>
        <w:ind w:left="0" w:right="0" w:firstLine="0"/>
        <w:jc w:val="left"/>
        <w:rPr>
          <w:sz w:val="16"/>
          <w:szCs w:val="16"/>
        </w:rPr>
      </w:pPr>
      <w:r>
        <w:rPr>
          <w:rStyle w:val="CharStyle6"/>
          <w:sz w:val="16"/>
          <w:szCs w:val="16"/>
        </w:rPr>
        <w:t>LOLE &lt; 0,1 h/rok</w:t>
      </w:r>
    </w:p>
    <w:p>
      <w:pPr>
        <w:pStyle w:val="Style5"/>
        <w:keepNext w:val="0"/>
        <w:keepLines w:val="0"/>
        <w:framePr w:w="1282" w:h="984" w:wrap="none" w:vAnchor="text" w:hAnchor="page" w:x="2376" w:y="241"/>
        <w:widowControl w:val="0"/>
        <w:shd w:val="clear" w:color="auto" w:fill="auto"/>
        <w:bidi w:val="0"/>
        <w:spacing w:before="0" w:after="60" w:line="240" w:lineRule="auto"/>
        <w:ind w:left="0" w:right="0" w:firstLine="0"/>
        <w:jc w:val="left"/>
        <w:rPr>
          <w:sz w:val="16"/>
          <w:szCs w:val="16"/>
        </w:rPr>
      </w:pPr>
      <w:r>
        <w:rPr>
          <w:rStyle w:val="CharStyle6"/>
          <w:sz w:val="16"/>
          <w:szCs w:val="16"/>
        </w:rPr>
        <w:t>LOLE &gt; 0,1 h/rok</w:t>
      </w:r>
    </w:p>
    <w:p>
      <w:pPr>
        <w:pStyle w:val="Style2"/>
        <w:keepNext w:val="0"/>
        <w:keepLines w:val="0"/>
        <w:framePr w:w="293" w:h="182" w:wrap="none" w:vAnchor="text" w:hAnchor="page" w:x="4324" w:y="6337"/>
        <w:widowControl w:val="0"/>
        <w:shd w:val="clear" w:color="auto" w:fill="auto"/>
        <w:bidi w:val="0"/>
        <w:spacing w:before="0" w:after="0" w:line="240" w:lineRule="auto"/>
        <w:ind w:left="0" w:right="0" w:firstLine="0"/>
        <w:jc w:val="left"/>
        <w:rPr>
          <w:sz w:val="12"/>
          <w:szCs w:val="12"/>
        </w:rPr>
      </w:pPr>
      <w:bookmarkStart w:id="22" w:name="bookmark22"/>
      <w:r>
        <w:rPr>
          <w:rStyle w:val="CharStyle3"/>
          <w:b/>
          <w:bCs/>
          <w:color w:val="000000"/>
          <w:sz w:val="12"/>
          <w:szCs w:val="12"/>
        </w:rPr>
        <w:t>12,4</w:t>
      </w:r>
      <w:bookmarkEnd w:id="22"/>
    </w:p>
    <w:p>
      <w:pPr>
        <w:pStyle w:val="Style2"/>
        <w:keepNext w:val="0"/>
        <w:keepLines w:val="0"/>
        <w:framePr w:w="226" w:h="187" w:wrap="none" w:vAnchor="text" w:hAnchor="page" w:x="7694" w:y="6870"/>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2,8</w:t>
      </w:r>
    </w:p>
    <w:p>
      <w:pPr>
        <w:pStyle w:val="Style2"/>
        <w:keepNext w:val="0"/>
        <w:keepLines w:val="0"/>
        <w:framePr w:w="230" w:h="182" w:wrap="none" w:vAnchor="text" w:hAnchor="page" w:x="7454" w:y="7158"/>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0,0</w:t>
      </w:r>
    </w:p>
    <w:p>
      <w:pPr>
        <w:pStyle w:val="Style2"/>
        <w:keepNext w:val="0"/>
        <w:keepLines w:val="0"/>
        <w:framePr w:w="221" w:h="187" w:wrap="none" w:vAnchor="text" w:hAnchor="page" w:x="6532" w:y="7431"/>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2,2</w:t>
      </w:r>
    </w:p>
    <w:p>
      <w:pPr>
        <w:pStyle w:val="Style2"/>
        <w:keepNext w:val="0"/>
        <w:keepLines w:val="0"/>
        <w:framePr w:w="230" w:h="178" w:wrap="none" w:vAnchor="text" w:hAnchor="page" w:x="7017" w:y="7580"/>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0,0</w:t>
      </w:r>
    </w:p>
    <w:p>
      <w:pPr>
        <w:pStyle w:val="Style2"/>
        <w:keepNext w:val="0"/>
        <w:keepLines w:val="0"/>
        <w:framePr w:w="230" w:h="182" w:wrap="none" w:vAnchor="text" w:hAnchor="page" w:x="7008" w:y="7887"/>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0,0</w:t>
      </w:r>
    </w:p>
    <w:p>
      <w:pPr>
        <w:pStyle w:val="Style2"/>
        <w:keepNext w:val="0"/>
        <w:keepLines w:val="0"/>
        <w:framePr w:w="230" w:h="187" w:wrap="none" w:vAnchor="text" w:hAnchor="page" w:x="6633" w:y="8199"/>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0,0</w:t>
      </w:r>
    </w:p>
    <w:p>
      <w:pPr>
        <w:pStyle w:val="Style2"/>
        <w:keepNext w:val="0"/>
        <w:keepLines w:val="0"/>
        <w:framePr w:w="523" w:h="269" w:wrap="none" w:vAnchor="text" w:hAnchor="page" w:x="7593" w:y="7403"/>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 1,1</w:t>
      </w:r>
    </w:p>
    <w:p>
      <w:pPr>
        <w:pStyle w:val="Style2"/>
        <w:keepNext w:val="0"/>
        <w:keepLines w:val="0"/>
        <w:framePr w:w="523" w:h="269" w:wrap="none" w:vAnchor="text" w:hAnchor="page" w:x="7593" w:y="7403"/>
        <w:widowControl w:val="0"/>
        <w:shd w:val="clear" w:color="auto" w:fill="auto"/>
        <w:bidi w:val="0"/>
        <w:spacing w:before="0" w:after="0" w:line="180" w:lineRule="auto"/>
        <w:ind w:left="0" w:right="0" w:firstLine="0"/>
        <w:jc w:val="left"/>
        <w:rPr>
          <w:sz w:val="12"/>
          <w:szCs w:val="12"/>
        </w:rPr>
      </w:pPr>
      <w:r>
        <w:rPr>
          <w:rStyle w:val="CharStyle3"/>
          <w:b/>
          <w:bCs/>
          <w:color w:val="000000"/>
          <w:sz w:val="12"/>
          <w:szCs w:val="12"/>
        </w:rPr>
        <w:t>0,0</w:t>
      </w:r>
    </w:p>
    <w:p>
      <w:pPr>
        <w:pStyle w:val="Style2"/>
        <w:keepNext w:val="0"/>
        <w:keepLines w:val="0"/>
        <w:framePr w:w="562" w:h="518" w:wrap="none" w:vAnchor="text" w:hAnchor="page" w:x="5596" w:y="6284"/>
        <w:widowControl w:val="0"/>
        <w:shd w:val="clear" w:color="auto" w:fill="auto"/>
        <w:bidi w:val="0"/>
        <w:spacing w:before="0" w:after="120" w:line="240" w:lineRule="auto"/>
        <w:ind w:left="0" w:right="0" w:firstLine="0"/>
        <w:jc w:val="left"/>
        <w:rPr>
          <w:sz w:val="12"/>
          <w:szCs w:val="12"/>
        </w:rPr>
      </w:pPr>
      <w:r>
        <w:rPr>
          <w:rStyle w:val="CharStyle3"/>
          <w:b/>
          <w:bCs/>
          <w:color w:val="000000"/>
          <w:sz w:val="12"/>
          <w:szCs w:val="12"/>
        </w:rPr>
        <w:t>0,8</w:t>
      </w:r>
    </w:p>
    <w:p>
      <w:pPr>
        <w:pStyle w:val="Style2"/>
        <w:keepNext w:val="0"/>
        <w:keepLines w:val="0"/>
        <w:framePr w:w="562" w:h="518" w:wrap="none" w:vAnchor="text" w:hAnchor="page" w:x="5596" w:y="6284"/>
        <w:widowControl w:val="0"/>
        <w:shd w:val="clear" w:color="auto" w:fill="auto"/>
        <w:bidi w:val="0"/>
        <w:spacing w:before="0" w:after="0" w:line="240" w:lineRule="auto"/>
        <w:ind w:left="0" w:right="0" w:firstLine="360"/>
        <w:jc w:val="left"/>
        <w:rPr>
          <w:sz w:val="12"/>
          <w:szCs w:val="12"/>
        </w:rPr>
      </w:pPr>
      <w:r>
        <w:rPr>
          <w:rStyle w:val="CharStyle3"/>
          <w:b/>
          <w:bCs/>
          <w:color w:val="000000"/>
          <w:sz w:val="12"/>
          <w:szCs w:val="12"/>
        </w:rPr>
        <w:t>0,5</w:t>
      </w:r>
    </w:p>
    <w:p>
      <w:pPr>
        <w:pStyle w:val="Style2"/>
        <w:keepNext w:val="0"/>
        <w:keepLines w:val="0"/>
        <w:framePr w:w="230" w:h="240" w:wrap="none" w:vAnchor="text" w:hAnchor="page" w:x="5750" w:y="7585"/>
        <w:widowControl w:val="0"/>
        <w:shd w:val="clear" w:color="auto" w:fill="auto"/>
        <w:bidi w:val="0"/>
        <w:spacing w:before="0" w:after="0" w:line="240" w:lineRule="auto"/>
        <w:ind w:left="0" w:right="0" w:firstLine="0"/>
        <w:jc w:val="left"/>
        <w:rPr>
          <w:sz w:val="12"/>
          <w:szCs w:val="12"/>
        </w:rPr>
      </w:pPr>
      <w:r>
        <w:rPr>
          <w:rStyle w:val="CharStyle3"/>
          <w:b/>
          <w:bCs/>
          <w:color w:val="000000"/>
          <w:sz w:val="12"/>
          <w:szCs w:val="12"/>
        </w:rPr>
        <w:t>0,4</w:t>
      </w:r>
    </w:p>
    <w:p>
      <w:pPr>
        <w:pStyle w:val="Style2"/>
        <w:keepNext w:val="0"/>
        <w:keepLines w:val="0"/>
        <w:framePr w:w="269" w:h="173" w:wrap="none" w:vAnchor="text" w:hAnchor="page" w:x="8491" w:y="7230"/>
        <w:widowControl w:val="0"/>
        <w:shd w:val="clear" w:color="auto" w:fill="auto"/>
        <w:bidi w:val="0"/>
        <w:spacing w:before="0" w:after="0" w:line="240" w:lineRule="auto"/>
        <w:ind w:left="0" w:right="0" w:firstLine="0"/>
        <w:jc w:val="right"/>
        <w:rPr>
          <w:sz w:val="12"/>
          <w:szCs w:val="12"/>
        </w:rPr>
      </w:pPr>
      <w:r>
        <w:rPr>
          <w:rStyle w:val="CharStyle3"/>
          <w:b/>
          <w:bCs/>
          <w:color w:val="000000"/>
          <w:sz w:val="12"/>
          <w:szCs w:val="12"/>
        </w:rPr>
        <w:t>1,2</w:t>
      </w:r>
    </w:p>
    <w:p>
      <w:pPr>
        <w:pStyle w:val="Style2"/>
        <w:keepNext w:val="0"/>
        <w:keepLines w:val="0"/>
        <w:framePr w:w="221" w:h="235" w:wrap="none" w:vAnchor="text" w:hAnchor="page" w:x="9374" w:y="7763"/>
        <w:widowControl w:val="0"/>
        <w:shd w:val="clear" w:color="auto" w:fill="auto"/>
        <w:bidi w:val="0"/>
        <w:spacing w:before="0" w:after="0" w:line="240" w:lineRule="auto"/>
        <w:ind w:left="0" w:right="0" w:firstLine="0"/>
        <w:jc w:val="right"/>
        <w:rPr>
          <w:sz w:val="12"/>
          <w:szCs w:val="12"/>
        </w:rPr>
      </w:pPr>
      <w:r>
        <w:rPr>
          <w:rStyle w:val="CharStyle3"/>
          <w:b/>
          <w:bCs/>
          <w:color w:val="000000"/>
          <w:sz w:val="12"/>
          <w:szCs w:val="12"/>
        </w:rPr>
        <w:t>0,7</w:t>
      </w:r>
    </w:p>
    <w:p>
      <w:pPr>
        <w:widowControl w:val="0"/>
        <w:spacing w:line="360" w:lineRule="exact"/>
      </w:pPr>
      <w:r>
        <w:drawing>
          <wp:anchor distT="0" distB="0" distL="0" distR="0" simplePos="0" relativeHeight="62914699" behindDoc="1" locked="0" layoutInCell="1" allowOverlap="1">
            <wp:simplePos x="0" y="0"/>
            <wp:positionH relativeFrom="page">
              <wp:posOffset>1608455</wp:posOffset>
            </wp:positionH>
            <wp:positionV relativeFrom="paragraph">
              <wp:posOffset>2014855</wp:posOffset>
            </wp:positionV>
            <wp:extent cx="883920" cy="1950720"/>
            <wp:wrapNone/>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23"/>
                    <a:stretch/>
                  </pic:blipFill>
                  <pic:spPr>
                    <a:xfrm>
                      <a:ext cx="883920" cy="1950720"/>
                    </a:xfrm>
                    <a:prstGeom prst="rect"/>
                  </pic:spPr>
                </pic:pic>
              </a:graphicData>
            </a:graphic>
          </wp:anchor>
        </w:drawing>
      </w:r>
      <w:r>
        <w:drawing>
          <wp:anchor distT="0" distB="106680" distL="8890" distR="18415" simplePos="0" relativeHeight="62914700" behindDoc="1" locked="0" layoutInCell="1" allowOverlap="1">
            <wp:simplePos x="0" y="0"/>
            <wp:positionH relativeFrom="page">
              <wp:posOffset>2753995</wp:posOffset>
            </wp:positionH>
            <wp:positionV relativeFrom="paragraph">
              <wp:posOffset>3874135</wp:posOffset>
            </wp:positionV>
            <wp:extent cx="158750" cy="158750"/>
            <wp:wrapNone/>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25"/>
                    <a:stretch/>
                  </pic:blipFill>
                  <pic:spPr>
                    <a:xfrm>
                      <a:ext cx="158750" cy="158750"/>
                    </a:xfrm>
                    <a:prstGeom prst="rect"/>
                  </pic:spPr>
                </pic:pic>
              </a:graphicData>
            </a:graphic>
          </wp:anchor>
        </w:drawing>
      </w:r>
      <w:r>
        <w:drawing>
          <wp:anchor distT="0" distB="0" distL="0" distR="0" simplePos="0" relativeHeight="62914701" behindDoc="1" locked="0" layoutInCell="1" allowOverlap="1">
            <wp:simplePos x="0" y="0"/>
            <wp:positionH relativeFrom="page">
              <wp:posOffset>1745615</wp:posOffset>
            </wp:positionH>
            <wp:positionV relativeFrom="paragraph">
              <wp:posOffset>4572000</wp:posOffset>
            </wp:positionV>
            <wp:extent cx="737870" cy="670560"/>
            <wp:wrapNone/>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27"/>
                    <a:stretch/>
                  </pic:blipFill>
                  <pic:spPr>
                    <a:xfrm>
                      <a:ext cx="737870" cy="670560"/>
                    </a:xfrm>
                    <a:prstGeom prst="rect"/>
                  </pic:spPr>
                </pic:pic>
              </a:graphicData>
            </a:graphic>
          </wp:anchor>
        </w:drawing>
      </w:r>
      <w:r>
        <w:drawing>
          <wp:anchor distT="0" distB="0" distL="0" distR="0" simplePos="0" relativeHeight="62914702" behindDoc="1" locked="0" layoutInCell="1" allowOverlap="1">
            <wp:simplePos x="0" y="0"/>
            <wp:positionH relativeFrom="page">
              <wp:posOffset>3248025</wp:posOffset>
            </wp:positionH>
            <wp:positionV relativeFrom="paragraph">
              <wp:posOffset>12700</wp:posOffset>
            </wp:positionV>
            <wp:extent cx="2883535" cy="2273935"/>
            <wp:wrapNone/>
            <wp:docPr id="41" name="Shape 41"/>
            <a:graphic xmlns:a="http://schemas.openxmlformats.org/drawingml/2006/main">
              <a:graphicData uri="http://schemas.openxmlformats.org/drawingml/2006/picture">
                <pic:pic xmlns:pic="http://schemas.openxmlformats.org/drawingml/2006/picture">
                  <pic:nvPicPr>
                    <pic:cNvPr id="42" name="Picture box 42"/>
                    <pic:cNvPicPr/>
                  </pic:nvPicPr>
                  <pic:blipFill>
                    <a:blip r:embed="rId29"/>
                    <a:stretch/>
                  </pic:blipFill>
                  <pic:spPr>
                    <a:xfrm>
                      <a:ext cx="2883535" cy="2273935"/>
                    </a:xfrm>
                    <a:prstGeom prst="rect"/>
                  </pic:spPr>
                </pic:pic>
              </a:graphicData>
            </a:graphic>
          </wp:anchor>
        </w:drawing>
      </w:r>
      <w:r>
        <w:drawing>
          <wp:anchor distT="0" distB="0" distL="0" distR="0" simplePos="0" relativeHeight="62914703" behindDoc="1" locked="0" layoutInCell="1" allowOverlap="1">
            <wp:simplePos x="0" y="0"/>
            <wp:positionH relativeFrom="page">
              <wp:posOffset>3620135</wp:posOffset>
            </wp:positionH>
            <wp:positionV relativeFrom="paragraph">
              <wp:posOffset>2359025</wp:posOffset>
            </wp:positionV>
            <wp:extent cx="786130" cy="530225"/>
            <wp:wrapNone/>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1"/>
                    <a:stretch/>
                  </pic:blipFill>
                  <pic:spPr>
                    <a:xfrm>
                      <a:ext cx="786130" cy="530225"/>
                    </a:xfrm>
                    <a:prstGeom prst="rect"/>
                  </pic:spPr>
                </pic:pic>
              </a:graphicData>
            </a:graphic>
          </wp:anchor>
        </w:drawing>
      </w:r>
      <w:r>
        <w:drawing>
          <wp:anchor distT="0" distB="0" distL="0" distR="0" simplePos="0" relativeHeight="62914704" behindDoc="1" locked="0" layoutInCell="1" allowOverlap="1">
            <wp:simplePos x="0" y="0"/>
            <wp:positionH relativeFrom="page">
              <wp:posOffset>4979670</wp:posOffset>
            </wp:positionH>
            <wp:positionV relativeFrom="paragraph">
              <wp:posOffset>2401570</wp:posOffset>
            </wp:positionV>
            <wp:extent cx="554990" cy="487680"/>
            <wp:wrapNone/>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33"/>
                    <a:stretch/>
                  </pic:blipFill>
                  <pic:spPr>
                    <a:xfrm>
                      <a:ext cx="554990" cy="487680"/>
                    </a:xfrm>
                    <a:prstGeom prst="rect"/>
                  </pic:spPr>
                </pic:pic>
              </a:graphicData>
            </a:graphic>
          </wp:anchor>
        </w:drawing>
      </w:r>
      <w:r>
        <w:drawing>
          <wp:anchor distT="0" distB="6350" distL="0" distR="0" simplePos="0" relativeHeight="62914705" behindDoc="1" locked="0" layoutInCell="1" allowOverlap="1">
            <wp:simplePos x="0" y="0"/>
            <wp:positionH relativeFrom="page">
              <wp:posOffset>3391535</wp:posOffset>
            </wp:positionH>
            <wp:positionV relativeFrom="paragraph">
              <wp:posOffset>3185160</wp:posOffset>
            </wp:positionV>
            <wp:extent cx="3663950" cy="2133600"/>
            <wp:wrapNone/>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5"/>
                    <a:stretch/>
                  </pic:blipFill>
                  <pic:spPr>
                    <a:xfrm>
                      <a:ext cx="3663950" cy="2133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3" w:line="1" w:lineRule="exact"/>
      </w:pPr>
    </w:p>
    <w:p>
      <w:pPr>
        <w:widowControl w:val="0"/>
        <w:spacing w:line="1" w:lineRule="exact"/>
        <w:sectPr>
          <w:footnotePr>
            <w:pos w:val="pageBottom"/>
            <w:numFmt w:val="decimal"/>
            <w:numRestart w:val="continuous"/>
          </w:footnotePr>
          <w:type w:val="continuous"/>
          <w:pgSz w:w="12142" w:h="17375"/>
          <w:pgMar w:top="1147" w:right="863" w:bottom="586" w:left="863" w:header="0" w:footer="3" w:gutter="653"/>
          <w:cols w:space="720"/>
          <w:noEndnote/>
          <w:rtlGutter w:val="0"/>
          <w:docGrid w:linePitch="360"/>
        </w:sectPr>
      </w:pPr>
    </w:p>
    <w:p>
      <w:pPr>
        <w:pStyle w:val="Style27"/>
        <w:keepNext/>
        <w:keepLines/>
        <w:widowControl w:val="0"/>
        <w:numPr>
          <w:ilvl w:val="1"/>
          <w:numId w:val="7"/>
        </w:numPr>
        <w:shd w:val="clear" w:color="auto" w:fill="auto"/>
        <w:tabs>
          <w:tab w:pos="375" w:val="left"/>
        </w:tabs>
        <w:bidi w:val="0"/>
        <w:spacing w:before="0" w:after="0"/>
        <w:ind w:left="0" w:right="0" w:firstLine="0"/>
        <w:jc w:val="both"/>
      </w:pPr>
      <w:bookmarkStart w:id="23" w:name="bookmark23"/>
      <w:r>
        <w:rPr>
          <w:rStyle w:val="CharStyle28"/>
          <w:b/>
          <w:bCs/>
        </w:rPr>
        <w:t>ROZDÍLY MAF CZ 2021 VS. 2022</w:t>
      </w:r>
      <w:bookmarkEnd w:id="23"/>
    </w:p>
    <w:p>
      <w:pPr>
        <w:pStyle w:val="Style19"/>
        <w:keepNext w:val="0"/>
        <w:keepLines w:val="0"/>
        <w:widowControl w:val="0"/>
        <w:shd w:val="clear" w:color="auto" w:fill="auto"/>
        <w:bidi w:val="0"/>
        <w:spacing w:before="0" w:after="200"/>
        <w:ind w:left="0" w:right="0" w:firstLine="0"/>
        <w:jc w:val="both"/>
      </w:pPr>
      <w:r>
        <w:rPr>
          <w:rStyle w:val="CharStyle20"/>
        </w:rPr>
        <w:t xml:space="preserve">V souladu s novými požadavky na metodiku zpracování hodnocení zdrojové přiměřenosti souvisejícími s přijetím Nařízení 2019/943 postupně dochází k proměně ERAA a s tím i MAF CZ tak, aby dokumenty legislativně a metodicky odpovídaly požadavkům ACER. Cílovým rokem, k němuž má být uskutečněn plný rozsah změn, byl dle dokumentu </w:t>
      </w:r>
      <w:r>
        <w:rPr>
          <w:rStyle w:val="CharStyle20"/>
          <w:i/>
          <w:iCs/>
        </w:rPr>
        <w:t>ERAA Implementatíon Roadmap</w:t>
      </w:r>
      <w:r>
        <w:rPr>
          <w:rStyle w:val="CharStyle20"/>
        </w:rPr>
        <w:t xml:space="preserve"> stanoven rok 2024. Největší posun by měl nastat v navýšení počtu posuzovaných let na všech 10 let ve sledovaném horizontu, vyladění modelů FB a EVA nebo např. zahrnutí vlivu klimatické změny. S vývojem na evropské úrovni souvisí i vývoj národního hodnocení zdrojové přiměřenosti, které se tak od loňského vydání MAF CZ 2021 odlišuje zejména v následujících aspektech:</w:t>
      </w:r>
    </w:p>
    <w:p>
      <w:pPr>
        <w:pStyle w:val="Style19"/>
        <w:keepNext w:val="0"/>
        <w:keepLines w:val="0"/>
        <w:widowControl w:val="0"/>
        <w:shd w:val="clear" w:color="auto" w:fill="auto"/>
        <w:bidi w:val="0"/>
        <w:spacing w:before="0" w:after="200" w:line="283" w:lineRule="auto"/>
        <w:ind w:left="240" w:right="0" w:hanging="240"/>
        <w:jc w:val="both"/>
      </w:pPr>
      <w:r>
        <w:rPr>
          <w:rStyle w:val="CharStyle20"/>
          <w:color w:val="006AB4"/>
          <w:sz w:val="22"/>
          <w:szCs w:val="22"/>
        </w:rPr>
        <w:t xml:space="preserve">^ </w:t>
      </w:r>
      <w:r>
        <w:rPr>
          <w:rStyle w:val="CharStyle20"/>
        </w:rPr>
        <w:t>Vzhledem k tomu, že ENTSO-E cílí na využívání jednotného modelovacího nástroje se silnou preferencí softwaru Plexos, ČEPS k roku 2022 přešla z nástroje PowrSym na Plexos</w:t>
      </w:r>
    </w:p>
    <w:p>
      <w:pPr>
        <w:pStyle w:val="Style19"/>
        <w:keepNext w:val="0"/>
        <w:keepLines w:val="0"/>
        <w:widowControl w:val="0"/>
        <w:shd w:val="clear" w:color="auto" w:fill="auto"/>
        <w:bidi w:val="0"/>
        <w:spacing w:before="0" w:after="200" w:line="286" w:lineRule="auto"/>
        <w:ind w:left="240" w:right="0" w:hanging="240"/>
        <w:jc w:val="both"/>
      </w:pPr>
      <w:r>
        <w:rPr>
          <w:rStyle w:val="CharStyle20"/>
          <w:color w:val="006AB4"/>
          <w:sz w:val="22"/>
          <w:szCs w:val="22"/>
        </w:rPr>
        <w:t xml:space="preserve">^ </w:t>
      </w:r>
      <w:r>
        <w:rPr>
          <w:rStyle w:val="CharStyle20"/>
        </w:rPr>
        <w:t>ČEPS po vzoru ERAA využívá pro modelování sítí FB přístup, a to pro tzv. Core region v horizontu do roku 2030. Pro vzdálenější roky do roku 2040 je využit model odpovídající TYNDP založený na NTC modelování přeshraničních toků elektřiny</w:t>
      </w:r>
    </w:p>
    <w:p>
      <w:pPr>
        <w:pStyle w:val="Style19"/>
        <w:keepNext w:val="0"/>
        <w:keepLines w:val="0"/>
        <w:widowControl w:val="0"/>
        <w:shd w:val="clear" w:color="auto" w:fill="auto"/>
        <w:bidi w:val="0"/>
        <w:spacing w:before="0" w:after="200" w:line="276" w:lineRule="auto"/>
        <w:ind w:left="240" w:right="0" w:hanging="240"/>
        <w:jc w:val="left"/>
      </w:pPr>
      <w:r>
        <w:rPr>
          <w:rStyle w:val="CharStyle20"/>
          <w:color w:val="006AB4"/>
          <w:sz w:val="22"/>
          <w:szCs w:val="22"/>
        </w:rPr>
        <w:t xml:space="preserve">^ </w:t>
      </w:r>
      <w:r>
        <w:rPr>
          <w:rStyle w:val="CharStyle20"/>
        </w:rPr>
        <w:t>Kromě aplikace FB cílí ČEPS také na aplikaci tzv. EVA, které vyhodnocuje ekonomickou opodstatněnost provozu zdrojů v systému a také v případě potřeby navrhuje, kterými typy zdrojů je vhodné soustavu dozdrojovat</w:t>
      </w:r>
    </w:p>
    <w:p>
      <w:pPr>
        <w:pStyle w:val="Style19"/>
        <w:keepNext w:val="0"/>
        <w:keepLines w:val="0"/>
        <w:widowControl w:val="0"/>
        <w:shd w:val="clear" w:color="auto" w:fill="auto"/>
        <w:bidi w:val="0"/>
        <w:spacing w:before="0" w:after="200" w:line="290" w:lineRule="auto"/>
        <w:ind w:left="240" w:right="0" w:hanging="240"/>
        <w:jc w:val="left"/>
      </w:pPr>
      <w:r>
        <w:rPr>
          <w:rStyle w:val="CharStyle20"/>
          <w:color w:val="006AB4"/>
          <w:sz w:val="22"/>
          <w:szCs w:val="22"/>
        </w:rPr>
        <w:t xml:space="preserve">^ </w:t>
      </w:r>
      <w:r>
        <w:rPr>
          <w:rStyle w:val="CharStyle20"/>
        </w:rPr>
        <w:t>MAF CZ 2021 obsahoval Referenční scénář (založen na předpokladech provozovatelů zdrojů; pro MAF CZ 2022 je scénář přejmenován na Respondentní), na který navazovaly další dva scénáře: Konzervativní a Progresivní. V letošním roce ČEPS modeluje navíc ještě čtvrtý Dekarbonizační scénář, který zobrazuje vývoj české energetiky v případě rapidní dekarbonizace v souladu s cílem dosáhnout klimatické neutrality do roku 2050</w:t>
      </w:r>
    </w:p>
    <w:p>
      <w:pPr>
        <w:pStyle w:val="Style19"/>
        <w:keepNext w:val="0"/>
        <w:keepLines w:val="0"/>
        <w:widowControl w:val="0"/>
        <w:shd w:val="clear" w:color="auto" w:fill="auto"/>
        <w:bidi w:val="0"/>
        <w:spacing w:before="0" w:after="200" w:line="276" w:lineRule="auto"/>
        <w:ind w:left="240" w:right="0" w:hanging="240"/>
        <w:jc w:val="left"/>
      </w:pPr>
      <w:r>
        <w:rPr>
          <w:rStyle w:val="CharStyle20"/>
          <w:color w:val="006AB4"/>
          <w:sz w:val="22"/>
          <w:szCs w:val="22"/>
        </w:rPr>
        <w:t xml:space="preserve">^ </w:t>
      </w:r>
      <w:r>
        <w:rPr>
          <w:rStyle w:val="CharStyle20"/>
        </w:rPr>
        <w:t>Pro snížení výpočetní náročnosti související s přechodem na nový software a aplikací FB a EVA používá ČEPS po vzoru TYNDP tři reprezentativní klimatické roky (1995, 2008, 2009) namísto jejich plného počtu</w:t>
      </w:r>
    </w:p>
    <w:p>
      <w:pPr>
        <w:pStyle w:val="Style19"/>
        <w:keepNext w:val="0"/>
        <w:keepLines w:val="0"/>
        <w:widowControl w:val="0"/>
        <w:shd w:val="clear" w:color="auto" w:fill="auto"/>
        <w:bidi w:val="0"/>
        <w:spacing w:before="0" w:after="200" w:line="283" w:lineRule="auto"/>
        <w:ind w:left="240" w:right="0" w:hanging="240"/>
        <w:jc w:val="left"/>
      </w:pPr>
      <w:r>
        <w:rPr>
          <w:rStyle w:val="CharStyle20"/>
          <w:color w:val="006AB4"/>
          <w:sz w:val="22"/>
          <w:szCs w:val="22"/>
        </w:rPr>
        <w:t xml:space="preserve">^ </w:t>
      </w:r>
      <w:r>
        <w:rPr>
          <w:rStyle w:val="CharStyle20"/>
        </w:rPr>
        <w:t>V reakci na enormní hodnoty importu elektřiny predikované po roce 2030 aplikuje ČEPS v modelu maximální limit na dovoz 20 TWh, který respektuje bezpečnou a maximální technickou importní schopnost PS ČR pro zajištění pokrytí spotřeby ČR</w:t>
      </w:r>
    </w:p>
    <w:p>
      <w:pPr>
        <w:pStyle w:val="Style19"/>
        <w:keepNext w:val="0"/>
        <w:keepLines w:val="0"/>
        <w:widowControl w:val="0"/>
        <w:shd w:val="clear" w:color="auto" w:fill="auto"/>
        <w:bidi w:val="0"/>
        <w:spacing w:before="0" w:after="200" w:line="276" w:lineRule="auto"/>
        <w:ind w:left="240" w:right="0" w:hanging="240"/>
        <w:jc w:val="left"/>
        <w:sectPr>
          <w:footnotePr>
            <w:pos w:val="pageBottom"/>
            <w:numFmt w:val="decimal"/>
            <w:numRestart w:val="continuous"/>
          </w:footnotePr>
          <w:pgSz w:w="12142" w:h="17375"/>
          <w:pgMar w:top="1310" w:right="834" w:bottom="1310" w:left="834" w:header="0" w:footer="3" w:gutter="677"/>
          <w:cols w:space="720"/>
          <w:noEndnote/>
          <w:rtlGutter w:val="0"/>
          <w:docGrid w:linePitch="360"/>
        </w:sectPr>
      </w:pPr>
      <w:r>
        <w:rPr>
          <w:rStyle w:val="CharStyle20"/>
          <w:color w:val="006AB4"/>
          <w:sz w:val="22"/>
          <w:szCs w:val="22"/>
        </w:rPr>
        <w:t xml:space="preserve">^ </w:t>
      </w:r>
      <w:r>
        <w:rPr>
          <w:rStyle w:val="CharStyle20"/>
        </w:rPr>
        <w:t>Stejně jako v případě ERAA probíhá v rámci MAF CZ 2022 modelování služeb výkonové rovnováhy nově na bázi alokace těchto služeb na jednotlivé tepelné a vodní zdroje, a to v celém sledovaném horizontu až do roku 2040</w:t>
      </w:r>
    </w:p>
    <w:p>
      <w:pPr>
        <w:pStyle w:val="Style15"/>
        <w:keepNext/>
        <w:keepLines/>
        <w:widowControl w:val="0"/>
        <w:numPr>
          <w:ilvl w:val="0"/>
          <w:numId w:val="7"/>
        </w:numPr>
        <w:shd w:val="clear" w:color="auto" w:fill="auto"/>
        <w:tabs>
          <w:tab w:pos="2972" w:val="left"/>
        </w:tabs>
        <w:bidi w:val="0"/>
        <w:spacing w:before="0" w:after="960" w:line="240" w:lineRule="auto"/>
        <w:ind w:left="2620" w:right="0" w:firstLine="0"/>
        <w:jc w:val="left"/>
        <w:rPr>
          <w:sz w:val="22"/>
          <w:szCs w:val="22"/>
        </w:rPr>
      </w:pPr>
      <w:r>
        <w:drawing>
          <wp:anchor distT="0" distB="0" distL="0" distR="0" simplePos="0" relativeHeight="62914706" behindDoc="1" locked="0" layoutInCell="1" allowOverlap="1">
            <wp:simplePos x="0" y="0"/>
            <wp:positionH relativeFrom="margin">
              <wp:posOffset>502920</wp:posOffset>
            </wp:positionH>
            <wp:positionV relativeFrom="margin">
              <wp:posOffset>3002280</wp:posOffset>
            </wp:positionV>
            <wp:extent cx="5120640" cy="2152015"/>
            <wp:wrapNone/>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37"/>
                    <a:stretch/>
                  </pic:blipFill>
                  <pic:spPr>
                    <a:xfrm>
                      <a:ext cx="5120640" cy="2152015"/>
                    </a:xfrm>
                    <a:prstGeom prst="rect"/>
                  </pic:spPr>
                </pic:pic>
              </a:graphicData>
            </a:graphic>
          </wp:anchor>
        </w:drawing>
      </w:r>
      <w:bookmarkStart w:id="25" w:name="bookmark25"/>
      <w:r>
        <w:rPr>
          <w:rStyle w:val="CharStyle16"/>
          <w:rFonts w:ascii="Segoe UI" w:eastAsia="Segoe UI" w:hAnsi="Segoe UI" w:cs="Segoe UI"/>
          <w:b/>
          <w:bCs/>
          <w:sz w:val="22"/>
          <w:szCs w:val="22"/>
        </w:rPr>
        <w:t>Střednědobý výhled výrobních kapacit ES ČR</w:t>
      </w:r>
      <w:bookmarkEnd w:id="25"/>
    </w:p>
    <w:p>
      <w:pPr>
        <w:pStyle w:val="Style19"/>
        <w:keepNext w:val="0"/>
        <w:keepLines w:val="0"/>
        <w:widowControl w:val="0"/>
        <w:shd w:val="clear" w:color="auto" w:fill="auto"/>
        <w:bidi w:val="0"/>
        <w:spacing w:before="0" w:after="700" w:line="300" w:lineRule="auto"/>
        <w:ind w:left="2620" w:right="0" w:firstLine="0"/>
        <w:jc w:val="left"/>
      </w:pPr>
      <w:r>
        <w:rPr>
          <w:rStyle w:val="CharStyle20"/>
        </w:rPr>
        <w:t>Cílem této kapitoly je shrnutí současného stavu výrobních kapacit ES ČR a představení jejich pravděpodobného budoucího vývoje, a to se zaměřením na výhled provozu jednotlivých výrobních typů zdrojové základny. Následující dvojice grafů popisuje současnou strukturu výroby a energetického mixu ES ČR dle jednotlivých typů zdrojů:</w:t>
      </w:r>
    </w:p>
    <w:p>
      <w:pPr>
        <w:pStyle w:val="Style15"/>
        <w:keepNext/>
        <w:keepLines/>
        <w:widowControl w:val="0"/>
        <w:shd w:val="clear" w:color="auto" w:fill="auto"/>
        <w:bidi w:val="0"/>
        <w:spacing w:before="0" w:after="0" w:line="240" w:lineRule="auto"/>
        <w:ind w:left="0" w:right="0" w:firstLine="0"/>
        <w:jc w:val="both"/>
        <w:sectPr>
          <w:footnotePr>
            <w:pos w:val="pageBottom"/>
            <w:numFmt w:val="decimal"/>
            <w:numRestart w:val="continuous"/>
          </w:footnotePr>
          <w:pgSz w:w="12142" w:h="17375"/>
          <w:pgMar w:top="1084" w:right="830" w:bottom="1811" w:left="830" w:header="0" w:footer="3" w:gutter="686"/>
          <w:cols w:space="720"/>
          <w:noEndnote/>
          <w:rtlGutter w:val="0"/>
          <w:docGrid w:linePitch="360"/>
        </w:sectPr>
      </w:pPr>
      <w:bookmarkStart w:id="27" w:name="bookmark27"/>
      <w:r>
        <w:rPr>
          <w:rStyle w:val="CharStyle16"/>
          <w:b/>
          <w:bCs/>
        </w:rPr>
        <w:t>Obr. 4.1 Netto instalovaný výkon a netto výroba elektřiny v ES ČR v roce 2021, zdroj: ERÚ</w:t>
      </w:r>
      <w:bookmarkEnd w:id="27"/>
    </w:p>
    <w:p>
      <w:pPr>
        <w:widowControl w:val="0"/>
        <w:spacing w:before="97" w:after="97"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084" w:right="0" w:bottom="1811" w:left="0" w:header="0" w:footer="3" w:gutter="0"/>
          <w:cols w:space="720"/>
          <w:noEndnote/>
          <w:rtlGutter w:val="0"/>
          <w:docGrid w:linePitch="360"/>
        </w:sectPr>
      </w:pPr>
    </w:p>
    <w:p>
      <w:pPr>
        <w:pStyle w:val="Style19"/>
        <w:keepNext w:val="0"/>
        <w:keepLines w:val="0"/>
        <w:widowControl w:val="0"/>
        <w:shd w:val="clear" w:color="auto" w:fill="auto"/>
        <w:bidi w:val="0"/>
        <w:spacing w:before="0" w:after="0" w:line="240" w:lineRule="auto"/>
        <w:ind w:left="0" w:right="0" w:firstLine="0"/>
        <w:jc w:val="left"/>
      </w:pPr>
      <w:r>
        <w:rPr>
          <w:rStyle w:val="CharStyle20"/>
          <w:b/>
          <w:bCs/>
          <w:color w:val="006AB4"/>
        </w:rPr>
        <w:t>ES ČR - NETTO INSTALOVANÝ VÝKON</w:t>
      </w:r>
    </w:p>
    <w:p>
      <w:pPr>
        <w:pStyle w:val="Style19"/>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2" w:h="17375"/>
          <w:pgMar w:top="1084" w:right="1756" w:bottom="1811" w:left="1756" w:header="0" w:footer="3" w:gutter="677"/>
          <w:cols w:num="2" w:space="1669"/>
          <w:noEndnote/>
          <w:rtlGutter w:val="0"/>
          <w:docGrid w:linePitch="360"/>
        </w:sectPr>
      </w:pPr>
      <w:r>
        <w:rPr>
          <w:rStyle w:val="CharStyle20"/>
          <w:b/>
          <w:bCs/>
          <w:color w:val="006AB4"/>
        </w:rPr>
        <w:t>ES ČR - NETTO VÝROBA ELEKTŘINY</w:t>
      </w: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003" w:right="0" w:bottom="582" w:left="0" w:header="0" w:footer="3" w:gutter="0"/>
          <w:cols w:space="720"/>
          <w:noEndnote/>
          <w:rtlGutter w:val="0"/>
          <w:docGrid w:linePitch="360"/>
        </w:sectPr>
      </w:pPr>
    </w:p>
    <w:p>
      <w:pPr>
        <w:pStyle w:val="Style37"/>
        <w:keepNext w:val="0"/>
        <w:keepLines w:val="0"/>
        <w:framePr w:w="1387" w:h="850" w:wrap="none" w:vAnchor="text" w:hAnchor="page" w:x="1958" w:y="255"/>
        <w:widowControl w:val="0"/>
        <w:shd w:val="clear" w:color="auto" w:fill="auto"/>
        <w:bidi w:val="0"/>
        <w:spacing w:before="0" w:after="0" w:line="264" w:lineRule="auto"/>
        <w:ind w:left="0" w:right="0" w:firstLine="0"/>
        <w:jc w:val="center"/>
      </w:pPr>
      <w:r>
        <w:rPr>
          <w:rStyle w:val="CharStyle38"/>
          <w:b/>
          <w:bCs/>
        </w:rPr>
        <w:t>Větrné</w:t>
        <w:br/>
        <w:t>335 MW</w:t>
      </w:r>
    </w:p>
    <w:p>
      <w:pPr>
        <w:pStyle w:val="Style37"/>
        <w:keepNext w:val="0"/>
        <w:keepLines w:val="0"/>
        <w:framePr w:w="1387" w:h="850" w:wrap="none" w:vAnchor="text" w:hAnchor="page" w:x="1958" w:y="255"/>
        <w:widowControl w:val="0"/>
        <w:shd w:val="clear" w:color="auto" w:fill="auto"/>
        <w:bidi w:val="0"/>
        <w:spacing w:before="0" w:after="0" w:line="264" w:lineRule="auto"/>
        <w:ind w:left="0" w:right="0" w:firstLine="0"/>
        <w:jc w:val="left"/>
      </w:pPr>
      <w:r>
        <w:rPr>
          <w:rStyle w:val="CharStyle38"/>
          <w:b/>
          <w:bCs/>
        </w:rPr>
        <w:t>Přečerpávací 2% 1 156 MW 6%</w:t>
      </w:r>
    </w:p>
    <w:p>
      <w:pPr>
        <w:pStyle w:val="Style37"/>
        <w:keepNext w:val="0"/>
        <w:keepLines w:val="0"/>
        <w:framePr w:w="883" w:h="509" w:wrap="none" w:vAnchor="text" w:hAnchor="page" w:x="3605" w:y="145"/>
        <w:widowControl w:val="0"/>
        <w:shd w:val="clear" w:color="auto" w:fill="auto"/>
        <w:bidi w:val="0"/>
        <w:spacing w:before="0" w:after="0"/>
        <w:ind w:left="0" w:right="0" w:firstLine="0"/>
        <w:jc w:val="center"/>
      </w:pPr>
      <w:r>
        <w:rPr>
          <w:rStyle w:val="CharStyle38"/>
          <w:b/>
          <w:bCs/>
        </w:rPr>
        <w:t>Fotovoltaické</w:t>
        <w:br/>
        <w:t>2 066 MW</w:t>
        <w:br/>
        <w:t>10%</w:t>
      </w:r>
    </w:p>
    <w:p>
      <w:pPr>
        <w:pStyle w:val="Style37"/>
        <w:keepNext w:val="0"/>
        <w:keepLines w:val="0"/>
        <w:framePr w:w="696" w:h="509" w:wrap="none" w:vAnchor="text" w:hAnchor="page" w:x="5338" w:y="683"/>
        <w:widowControl w:val="0"/>
        <w:shd w:val="clear" w:color="auto" w:fill="auto"/>
        <w:bidi w:val="0"/>
        <w:spacing w:before="0" w:after="0"/>
        <w:ind w:left="0" w:right="0" w:firstLine="0"/>
        <w:jc w:val="center"/>
      </w:pPr>
      <w:r>
        <w:rPr>
          <w:rStyle w:val="CharStyle38"/>
          <w:b/>
          <w:bCs/>
        </w:rPr>
        <w:t>Jaderné</w:t>
      </w:r>
    </w:p>
    <w:p>
      <w:pPr>
        <w:pStyle w:val="Style37"/>
        <w:keepNext w:val="0"/>
        <w:keepLines w:val="0"/>
        <w:framePr w:w="696" w:h="509" w:wrap="none" w:vAnchor="text" w:hAnchor="page" w:x="5338" w:y="683"/>
        <w:widowControl w:val="0"/>
        <w:shd w:val="clear" w:color="auto" w:fill="auto"/>
        <w:bidi w:val="0"/>
        <w:spacing w:before="0" w:after="0"/>
        <w:ind w:left="0" w:right="0" w:firstLine="0"/>
        <w:jc w:val="center"/>
      </w:pPr>
      <w:r>
        <w:rPr>
          <w:rStyle w:val="CharStyle38"/>
          <w:b/>
          <w:bCs/>
        </w:rPr>
        <w:t>4 047 MW</w:t>
        <w:br/>
        <w:t>20%</w:t>
      </w:r>
    </w:p>
    <w:p>
      <w:pPr>
        <w:pStyle w:val="Style37"/>
        <w:keepNext w:val="0"/>
        <w:keepLines w:val="0"/>
        <w:framePr w:w="749" w:h="509" w:wrap="none" w:vAnchor="text" w:hAnchor="page" w:x="6466" w:y="279"/>
        <w:widowControl w:val="0"/>
        <w:shd w:val="clear" w:color="auto" w:fill="auto"/>
        <w:bidi w:val="0"/>
        <w:spacing w:before="0" w:after="0" w:line="259" w:lineRule="auto"/>
        <w:ind w:left="0" w:right="0" w:firstLine="0"/>
        <w:jc w:val="center"/>
      </w:pPr>
      <w:r>
        <w:rPr>
          <w:rStyle w:val="CharStyle38"/>
          <w:b/>
          <w:bCs/>
        </w:rPr>
        <w:t>Vodní</w:t>
        <w:br/>
        <w:t>2 390 GWh</w:t>
        <w:br/>
        <w:t>3%</w:t>
      </w:r>
    </w:p>
    <w:p>
      <w:pPr>
        <w:pStyle w:val="Style37"/>
        <w:keepNext w:val="0"/>
        <w:keepLines w:val="0"/>
        <w:framePr w:w="835" w:h="326" w:wrap="none" w:vAnchor="text" w:hAnchor="page" w:x="7430" w:y="107"/>
        <w:widowControl w:val="0"/>
        <w:shd w:val="clear" w:color="auto" w:fill="auto"/>
        <w:bidi w:val="0"/>
        <w:spacing w:before="0" w:after="0"/>
        <w:ind w:left="0" w:right="0" w:firstLine="0"/>
        <w:jc w:val="center"/>
      </w:pPr>
      <w:r>
        <w:rPr>
          <w:rStyle w:val="CharStyle38"/>
          <w:b/>
          <w:bCs/>
        </w:rPr>
        <w:t>Přečerpávací</w:t>
        <w:br/>
        <w:t>1 196 GWh</w:t>
      </w:r>
    </w:p>
    <w:p>
      <w:pPr>
        <w:pStyle w:val="Style37"/>
        <w:keepNext w:val="0"/>
        <w:keepLines w:val="0"/>
        <w:framePr w:w="235" w:h="173" w:wrap="none" w:vAnchor="text" w:hAnchor="page" w:x="7747" w:y="438"/>
        <w:widowControl w:val="0"/>
        <w:shd w:val="clear" w:color="auto" w:fill="auto"/>
        <w:bidi w:val="0"/>
        <w:spacing w:before="0" w:after="0" w:line="240" w:lineRule="auto"/>
        <w:ind w:left="0" w:right="0" w:firstLine="0"/>
        <w:jc w:val="left"/>
      </w:pPr>
      <w:r>
        <w:rPr>
          <w:rStyle w:val="CharStyle38"/>
          <w:b/>
          <w:bCs/>
        </w:rPr>
        <w:t>1%</w:t>
      </w:r>
    </w:p>
    <w:p>
      <w:pPr>
        <w:pStyle w:val="Style37"/>
        <w:keepNext w:val="0"/>
        <w:keepLines w:val="0"/>
        <w:framePr w:w="629" w:h="322" w:wrap="none" w:vAnchor="text" w:hAnchor="page" w:x="8424" w:y="21"/>
        <w:widowControl w:val="0"/>
        <w:shd w:val="clear" w:color="auto" w:fill="auto"/>
        <w:bidi w:val="0"/>
        <w:spacing w:before="0" w:after="0"/>
        <w:ind w:left="0" w:right="0" w:firstLine="0"/>
        <w:jc w:val="center"/>
      </w:pPr>
      <w:r>
        <w:rPr>
          <w:rStyle w:val="CharStyle38"/>
          <w:b/>
          <w:bCs/>
        </w:rPr>
        <w:t>Větrné</w:t>
        <w:br/>
        <w:t>594 GWh</w:t>
      </w:r>
    </w:p>
    <w:p>
      <w:pPr>
        <w:pStyle w:val="Style37"/>
        <w:keepNext w:val="0"/>
        <w:keepLines w:val="0"/>
        <w:framePr w:w="240" w:h="178" w:wrap="none" w:vAnchor="text" w:hAnchor="page" w:x="8611" w:y="327"/>
        <w:widowControl w:val="0"/>
        <w:shd w:val="clear" w:color="auto" w:fill="auto"/>
        <w:bidi w:val="0"/>
        <w:spacing w:before="0" w:after="0" w:line="240" w:lineRule="auto"/>
        <w:ind w:left="0" w:right="0" w:firstLine="0"/>
        <w:jc w:val="left"/>
      </w:pPr>
      <w:r>
        <w:rPr>
          <w:rStyle w:val="CharStyle38"/>
          <w:b/>
          <w:bCs/>
        </w:rPr>
        <w:t>1%</w:t>
      </w:r>
    </w:p>
    <w:p>
      <w:pPr>
        <w:pStyle w:val="Style37"/>
        <w:keepNext w:val="0"/>
        <w:keepLines w:val="0"/>
        <w:framePr w:w="883" w:h="509" w:wrap="none" w:vAnchor="text" w:hAnchor="page" w:x="9158" w:y="140"/>
        <w:widowControl w:val="0"/>
        <w:shd w:val="clear" w:color="auto" w:fill="auto"/>
        <w:bidi w:val="0"/>
        <w:spacing w:before="0" w:after="0" w:line="259" w:lineRule="auto"/>
        <w:ind w:left="0" w:right="0" w:firstLine="0"/>
        <w:jc w:val="center"/>
      </w:pPr>
      <w:r>
        <w:rPr>
          <w:rStyle w:val="CharStyle38"/>
          <w:b/>
          <w:bCs/>
        </w:rPr>
        <w:t>Fotovoltaické</w:t>
        <w:br/>
        <w:t>2 135 GWh</w:t>
        <w:br/>
        <w:t>3%</w:t>
      </w:r>
    </w:p>
    <w:p>
      <w:pPr>
        <w:pStyle w:val="Style37"/>
        <w:keepNext w:val="0"/>
        <w:keepLines w:val="0"/>
        <w:framePr w:w="691" w:h="518" w:wrap="none" w:vAnchor="text" w:hAnchor="page" w:x="1613" w:y="1196"/>
        <w:widowControl w:val="0"/>
        <w:shd w:val="clear" w:color="auto" w:fill="auto"/>
        <w:bidi w:val="0"/>
        <w:spacing w:before="0" w:after="0"/>
        <w:ind w:left="0" w:right="0" w:firstLine="0"/>
        <w:jc w:val="center"/>
      </w:pPr>
      <w:r>
        <w:rPr>
          <w:rStyle w:val="CharStyle38"/>
          <w:b/>
          <w:bCs/>
        </w:rPr>
        <w:t>Vodní</w:t>
        <w:br/>
        <w:t>1 105 MW</w:t>
        <w:br/>
        <w:t>6%</w:t>
      </w:r>
    </w:p>
    <w:p>
      <w:pPr>
        <w:pStyle w:val="Style37"/>
        <w:keepNext w:val="0"/>
        <w:keepLines w:val="0"/>
        <w:framePr w:w="744" w:h="682" w:wrap="none" w:vAnchor="text" w:hAnchor="page" w:x="6432" w:y="918"/>
        <w:widowControl w:val="0"/>
        <w:shd w:val="clear" w:color="auto" w:fill="auto"/>
        <w:bidi w:val="0"/>
        <w:spacing w:before="0" w:after="0"/>
        <w:ind w:left="0" w:right="0" w:firstLine="0"/>
        <w:jc w:val="center"/>
      </w:pPr>
      <w:r>
        <w:rPr>
          <w:rStyle w:val="CharStyle38"/>
          <w:b/>
          <w:bCs/>
        </w:rPr>
        <w:t>Plynové</w:t>
        <w:br/>
        <w:t>a spalovací</w:t>
        <w:br/>
        <w:t>3 705 GWh</w:t>
        <w:br/>
        <w:t>5%</w:t>
      </w:r>
    </w:p>
    <w:p>
      <w:pPr>
        <w:pStyle w:val="Style37"/>
        <w:keepNext w:val="0"/>
        <w:keepLines w:val="0"/>
        <w:framePr w:w="830" w:h="509" w:wrap="none" w:vAnchor="text" w:hAnchor="page" w:x="10397" w:y="659"/>
        <w:widowControl w:val="0"/>
        <w:shd w:val="clear" w:color="auto" w:fill="auto"/>
        <w:bidi w:val="0"/>
        <w:spacing w:before="0" w:after="0" w:line="254" w:lineRule="auto"/>
        <w:ind w:left="0" w:right="0" w:firstLine="0"/>
        <w:jc w:val="center"/>
      </w:pPr>
      <w:r>
        <w:rPr>
          <w:rStyle w:val="CharStyle38"/>
          <w:b/>
          <w:bCs/>
        </w:rPr>
        <w:t>Jaderné</w:t>
      </w:r>
    </w:p>
    <w:p>
      <w:pPr>
        <w:pStyle w:val="Style37"/>
        <w:keepNext w:val="0"/>
        <w:keepLines w:val="0"/>
        <w:framePr w:w="830" w:h="509" w:wrap="none" w:vAnchor="text" w:hAnchor="page" w:x="10397" w:y="659"/>
        <w:widowControl w:val="0"/>
        <w:shd w:val="clear" w:color="auto" w:fill="auto"/>
        <w:bidi w:val="0"/>
        <w:spacing w:before="0" w:after="0" w:line="254" w:lineRule="auto"/>
        <w:ind w:left="0" w:right="0" w:firstLine="0"/>
        <w:jc w:val="center"/>
      </w:pPr>
      <w:r>
        <w:rPr>
          <w:rStyle w:val="CharStyle38"/>
          <w:b/>
          <w:bCs/>
        </w:rPr>
        <w:t>29 045 GWh</w:t>
        <w:br/>
        <w:t>37%</w:t>
      </w:r>
    </w:p>
    <w:p>
      <w:pPr>
        <w:pStyle w:val="Style37"/>
        <w:keepNext w:val="0"/>
        <w:keepLines w:val="0"/>
        <w:framePr w:w="744" w:h="686" w:wrap="none" w:vAnchor="text" w:hAnchor="page" w:x="1738" w:y="1868"/>
        <w:widowControl w:val="0"/>
        <w:shd w:val="clear" w:color="auto" w:fill="auto"/>
        <w:bidi w:val="0"/>
        <w:spacing w:before="0" w:after="0" w:line="264" w:lineRule="auto"/>
        <w:ind w:left="0" w:right="0" w:firstLine="0"/>
        <w:jc w:val="center"/>
      </w:pPr>
      <w:r>
        <w:rPr>
          <w:rStyle w:val="CharStyle38"/>
          <w:b/>
          <w:bCs/>
        </w:rPr>
        <w:t>Plynové</w:t>
        <w:br/>
        <w:t>a spalovací</w:t>
        <w:br/>
        <w:t>927 MW</w:t>
        <w:br/>
        <w:t>5%</w:t>
      </w:r>
    </w:p>
    <w:p>
      <w:pPr>
        <w:pStyle w:val="Style19"/>
        <w:keepNext w:val="0"/>
        <w:keepLines w:val="0"/>
        <w:framePr w:w="950" w:h="216" w:wrap="none" w:vAnchor="text" w:hAnchor="page" w:x="3566" w:y="2075"/>
        <w:widowControl w:val="0"/>
        <w:shd w:val="clear" w:color="auto" w:fill="auto"/>
        <w:bidi w:val="0"/>
        <w:spacing w:before="0" w:after="0" w:line="240" w:lineRule="auto"/>
        <w:ind w:left="0" w:right="0" w:firstLine="0"/>
        <w:jc w:val="left"/>
        <w:rPr>
          <w:sz w:val="17"/>
          <w:szCs w:val="17"/>
        </w:rPr>
      </w:pPr>
      <w:r>
        <w:rPr>
          <w:rStyle w:val="CharStyle20"/>
          <w:b/>
          <w:bCs/>
          <w:sz w:val="17"/>
          <w:szCs w:val="17"/>
        </w:rPr>
        <w:t>19 629 MW</w:t>
      </w:r>
    </w:p>
    <w:p>
      <w:pPr>
        <w:pStyle w:val="Style37"/>
        <w:keepNext w:val="0"/>
        <w:keepLines w:val="0"/>
        <w:framePr w:w="830" w:h="518" w:wrap="none" w:vAnchor="text" w:hAnchor="page" w:x="6514" w:y="1782"/>
        <w:widowControl w:val="0"/>
        <w:shd w:val="clear" w:color="auto" w:fill="auto"/>
        <w:bidi w:val="0"/>
        <w:spacing w:before="0" w:after="0"/>
        <w:ind w:left="0" w:right="0" w:firstLine="0"/>
        <w:jc w:val="center"/>
      </w:pPr>
      <w:r>
        <w:rPr>
          <w:rStyle w:val="CharStyle38"/>
          <w:b/>
          <w:bCs/>
        </w:rPr>
        <w:t>Paroplynové</w:t>
        <w:br/>
        <w:t>5 146 GWh</w:t>
        <w:br/>
        <w:t>6%</w:t>
      </w:r>
    </w:p>
    <w:p>
      <w:pPr>
        <w:pStyle w:val="Style19"/>
        <w:keepNext w:val="0"/>
        <w:keepLines w:val="0"/>
        <w:framePr w:w="1013" w:h="216" w:wrap="none" w:vAnchor="text" w:hAnchor="page" w:x="8366" w:y="2075"/>
        <w:widowControl w:val="0"/>
        <w:shd w:val="clear" w:color="auto" w:fill="auto"/>
        <w:bidi w:val="0"/>
        <w:spacing w:before="0" w:after="0" w:line="240" w:lineRule="auto"/>
        <w:ind w:left="0" w:right="0" w:firstLine="0"/>
        <w:jc w:val="left"/>
        <w:rPr>
          <w:sz w:val="17"/>
          <w:szCs w:val="17"/>
        </w:rPr>
      </w:pPr>
      <w:r>
        <w:rPr>
          <w:rStyle w:val="CharStyle20"/>
          <w:b/>
          <w:bCs/>
          <w:sz w:val="17"/>
          <w:szCs w:val="17"/>
        </w:rPr>
        <w:t>79 302 GWh</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sectPr>
          <w:footnotePr>
            <w:pos w:val="pageBottom"/>
            <w:numFmt w:val="decimal"/>
            <w:numRestart w:val="continuous"/>
          </w:footnotePr>
          <w:type w:val="continuous"/>
          <w:pgSz w:w="12142" w:h="17375"/>
          <w:pgMar w:top="1003" w:right="680" w:bottom="582" w:left="680" w:header="0" w:footer="3" w:gutter="682"/>
          <w:cols w:space="720"/>
          <w:noEndnote/>
          <w:rtlGutter w:val="0"/>
          <w:docGrid w:linePitch="360"/>
        </w:sectPr>
      </w:pPr>
    </w:p>
    <w:p>
      <w:pPr>
        <w:widowControl w:val="0"/>
        <w:spacing w:before="16" w:after="16"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084" w:right="0" w:bottom="1492" w:left="0" w:header="0" w:footer="3" w:gutter="0"/>
          <w:cols w:space="720"/>
          <w:noEndnote/>
          <w:rtlGutter w:val="0"/>
          <w:docGrid w:linePitch="360"/>
        </w:sectPr>
      </w:pPr>
    </w:p>
    <w:p>
      <w:pPr>
        <w:widowControl w:val="0"/>
        <w:spacing w:line="1" w:lineRule="exact"/>
      </w:pPr>
      <w:r>
        <mc:AlternateContent>
          <mc:Choice Requires="wps">
            <w:drawing>
              <wp:anchor distT="0" distB="18415" distL="114300" distR="2049780" simplePos="0" relativeHeight="125829392" behindDoc="0" locked="0" layoutInCell="1" allowOverlap="1">
                <wp:simplePos x="0" y="0"/>
                <wp:positionH relativeFrom="margin">
                  <wp:posOffset>311150</wp:posOffset>
                </wp:positionH>
                <wp:positionV relativeFrom="paragraph">
                  <wp:posOffset>12700</wp:posOffset>
                </wp:positionV>
                <wp:extent cx="527050" cy="328930"/>
                <wp:wrapSquare wrapText="right"/>
                <wp:docPr id="51" name="Shape 51"/>
                <a:graphic xmlns:a="http://schemas.openxmlformats.org/drawingml/2006/main">
                  <a:graphicData uri="http://schemas.microsoft.com/office/word/2010/wordprocessingShape">
                    <wps:wsp>
                      <wps:cNvSpPr txBox="1"/>
                      <wps:spPr>
                        <a:xfrm>
                          <a:ext cx="527050" cy="328930"/>
                        </a:xfrm>
                        <a:prstGeom prst="rect"/>
                        <a:solidFill>
                          <a:srgbClr val="F7FCFF"/>
                        </a:solidFill>
                      </wps:spPr>
                      <wps:txbx>
                        <w:txbxContent>
                          <w:p>
                            <w:pPr>
                              <w:pStyle w:val="Style37"/>
                              <w:keepNext w:val="0"/>
                              <w:keepLines w:val="0"/>
                              <w:widowControl w:val="0"/>
                              <w:shd w:val="clear" w:color="auto" w:fill="auto"/>
                              <w:bidi w:val="0"/>
                              <w:spacing w:before="0" w:after="0"/>
                              <w:ind w:left="0" w:right="0" w:firstLine="0"/>
                              <w:jc w:val="center"/>
                            </w:pPr>
                            <w:r>
                              <w:rPr>
                                <w:rStyle w:val="CharStyle38"/>
                                <w:b/>
                                <w:bCs/>
                              </w:rPr>
                              <w:t>Paroplynové</w:t>
                              <w:br/>
                              <w:t>1 339 MW</w:t>
                              <w:br/>
                              <w:t>7%</w:t>
                            </w:r>
                          </w:p>
                        </w:txbxContent>
                      </wps:txbx>
                      <wps:bodyPr lIns="0" tIns="0" rIns="0" bIns="0">
                        <a:noAutoFit/>
                      </wps:bodyPr>
                    </wps:wsp>
                  </a:graphicData>
                </a:graphic>
              </wp:anchor>
            </w:drawing>
          </mc:Choice>
          <mc:Fallback>
            <w:pict>
              <v:shape id="_x0000_s1077" type="#_x0000_t202" style="position:absolute;margin-left:24.5pt;margin-top:1.pt;width:41.5pt;height:25.900000000000002pt;z-index:-125829361;mso-wrap-distance-left:9.pt;mso-wrap-distance-right:161.40000000000001pt;mso-wrap-distance-bottom:1.45pt;mso-position-horizontal-relative:margin" fillcolor="#F7FCFF" stroked="f">
                <v:textbox inset="0,0,0,0">
                  <w:txbxContent>
                    <w:p>
                      <w:pPr>
                        <w:pStyle w:val="Style37"/>
                        <w:keepNext w:val="0"/>
                        <w:keepLines w:val="0"/>
                        <w:widowControl w:val="0"/>
                        <w:shd w:val="clear" w:color="auto" w:fill="auto"/>
                        <w:bidi w:val="0"/>
                        <w:spacing w:before="0" w:after="0"/>
                        <w:ind w:left="0" w:right="0" w:firstLine="0"/>
                        <w:jc w:val="center"/>
                      </w:pPr>
                      <w:r>
                        <w:rPr>
                          <w:rStyle w:val="CharStyle38"/>
                          <w:b/>
                          <w:bCs/>
                        </w:rPr>
                        <w:t>Paroplynové</w:t>
                        <w:br/>
                        <w:t>1 339 MW</w:t>
                        <w:br/>
                        <w:t>7%</w:t>
                      </w:r>
                    </w:p>
                  </w:txbxContent>
                </v:textbox>
                <w10:wrap type="square" side="right" anchorx="margin"/>
              </v:shape>
            </w:pict>
          </mc:Fallback>
        </mc:AlternateContent>
      </w:r>
      <w:r>
        <mc:AlternateContent>
          <mc:Choice Requires="wps">
            <w:drawing>
              <wp:anchor distT="24130" distB="0" distL="2132330" distR="113665" simplePos="0" relativeHeight="125829394" behindDoc="0" locked="0" layoutInCell="1" allowOverlap="1">
                <wp:simplePos x="0" y="0"/>
                <wp:positionH relativeFrom="margin">
                  <wp:posOffset>2329180</wp:posOffset>
                </wp:positionH>
                <wp:positionV relativeFrom="paragraph">
                  <wp:posOffset>36830</wp:posOffset>
                </wp:positionV>
                <wp:extent cx="445135" cy="323215"/>
                <wp:wrapSquare wrapText="right"/>
                <wp:docPr id="53" name="Shape 53"/>
                <a:graphic xmlns:a="http://schemas.openxmlformats.org/drawingml/2006/main">
                  <a:graphicData uri="http://schemas.microsoft.com/office/word/2010/wordprocessingShape">
                    <wps:wsp>
                      <wps:cNvSpPr txBox="1"/>
                      <wps:spPr>
                        <a:xfrm>
                          <a:ext cx="445135" cy="323215"/>
                        </a:xfrm>
                        <a:prstGeom prst="rect"/>
                        <a:solidFill>
                          <a:srgbClr val="F7FCFF"/>
                        </a:solidFill>
                      </wps:spPr>
                      <wps:txbx>
                        <w:txbxContent>
                          <w:p>
                            <w:pPr>
                              <w:pStyle w:val="Style37"/>
                              <w:keepNext w:val="0"/>
                              <w:keepLines w:val="0"/>
                              <w:widowControl w:val="0"/>
                              <w:shd w:val="clear" w:color="auto" w:fill="auto"/>
                              <w:bidi w:val="0"/>
                              <w:spacing w:before="0" w:after="0" w:line="259" w:lineRule="auto"/>
                              <w:ind w:left="0" w:right="0" w:firstLine="0"/>
                              <w:jc w:val="center"/>
                            </w:pPr>
                            <w:r>
                              <w:rPr>
                                <w:rStyle w:val="CharStyle38"/>
                                <w:b/>
                                <w:bCs/>
                              </w:rPr>
                              <w:t>Parní</w:t>
                              <w:br/>
                              <w:t>8 655 MW</w:t>
                              <w:br/>
                              <w:t>44%</w:t>
                            </w:r>
                          </w:p>
                        </w:txbxContent>
                      </wps:txbx>
                      <wps:bodyPr lIns="0" tIns="0" rIns="0" bIns="0">
                        <a:noAutoFit/>
                      </wps:bodyPr>
                    </wps:wsp>
                  </a:graphicData>
                </a:graphic>
              </wp:anchor>
            </w:drawing>
          </mc:Choice>
          <mc:Fallback>
            <w:pict>
              <v:shape id="_x0000_s1079" type="#_x0000_t202" style="position:absolute;margin-left:183.40000000000001pt;margin-top:2.8999999999999999pt;width:35.050000000000004pt;height:25.449999999999999pt;z-index:-125829359;mso-wrap-distance-left:167.90000000000001pt;mso-wrap-distance-top:1.9000000000000001pt;mso-wrap-distance-right:8.9500000000000011pt;mso-position-horizontal-relative:margin" fillcolor="#F7FCFF" stroked="f">
                <v:textbox inset="0,0,0,0">
                  <w:txbxContent>
                    <w:p>
                      <w:pPr>
                        <w:pStyle w:val="Style37"/>
                        <w:keepNext w:val="0"/>
                        <w:keepLines w:val="0"/>
                        <w:widowControl w:val="0"/>
                        <w:shd w:val="clear" w:color="auto" w:fill="auto"/>
                        <w:bidi w:val="0"/>
                        <w:spacing w:before="0" w:after="0" w:line="259" w:lineRule="auto"/>
                        <w:ind w:left="0" w:right="0" w:firstLine="0"/>
                        <w:jc w:val="center"/>
                      </w:pPr>
                      <w:r>
                        <w:rPr>
                          <w:rStyle w:val="CharStyle38"/>
                          <w:b/>
                          <w:bCs/>
                        </w:rPr>
                        <w:t>Parní</w:t>
                        <w:br/>
                        <w:t>8 655 MW</w:t>
                        <w:br/>
                        <w:t>44%</w:t>
                      </w:r>
                    </w:p>
                  </w:txbxContent>
                </v:textbox>
                <w10:wrap type="square" side="right" anchorx="margin"/>
              </v:shape>
            </w:pict>
          </mc:Fallback>
        </mc:AlternateContent>
      </w:r>
    </w:p>
    <w:p>
      <w:pPr>
        <w:pStyle w:val="Style37"/>
        <w:keepNext w:val="0"/>
        <w:keepLines w:val="0"/>
        <w:widowControl w:val="0"/>
        <w:shd w:val="clear" w:color="auto" w:fill="auto"/>
        <w:bidi w:val="0"/>
        <w:spacing w:before="0" w:after="960" w:line="259" w:lineRule="auto"/>
        <w:ind w:left="0" w:right="0" w:firstLine="0"/>
        <w:jc w:val="center"/>
      </w:pPr>
      <w:r>
        <w:rPr>
          <w:rStyle w:val="CharStyle38"/>
          <w:b/>
          <w:bCs/>
        </w:rPr>
        <w:t>Parní</w:t>
        <w:br/>
        <w:t>35 092 GWh</w:t>
        <w:br/>
        <w:t>44%</w:t>
      </w:r>
    </w:p>
    <w:p>
      <w:pPr>
        <w:pStyle w:val="Style19"/>
        <w:keepNext w:val="0"/>
        <w:keepLines w:val="0"/>
        <w:widowControl w:val="0"/>
        <w:shd w:val="clear" w:color="auto" w:fill="auto"/>
        <w:bidi w:val="0"/>
        <w:spacing w:before="0"/>
        <w:ind w:left="2620" w:right="0" w:firstLine="0"/>
        <w:jc w:val="left"/>
      </w:pPr>
      <w:r>
        <w:rPr>
          <w:rStyle w:val="CharStyle20"/>
        </w:rPr>
        <w:t>Nejvyšší podíl na výrobě v ČR i nadále tvoří zdroje s palivovými kotli a parními turbínami (elektrárny, teplárny a závodní energetiky), které spalují především hnědé a černé uhlí. Výroba v tomto segmentu zdrojů v roce 2021 vykázala oproti předchozímu roku prudký nárůst (o cca 3,2 TWh), který způsobilo zvýšení ekonomické aktivity (a tím i spotřeby elektřiny) a také zvýšení cen plynu na komoditních burzách. Zároveň došlo k meziročnímu poklesu netto instalovaného výkonu parních elektráren o 467 MW, což mělo za následek významné zvýšení doby využití stávajících parních zdrojů o 555 hodin. Navýšení výroby na parních zdrojích bylo realizováno především v druhé polovině roku 2021.</w:t>
      </w:r>
    </w:p>
    <w:p>
      <w:pPr>
        <w:pStyle w:val="Style19"/>
        <w:keepNext w:val="0"/>
        <w:keepLines w:val="0"/>
        <w:widowControl w:val="0"/>
        <w:shd w:val="clear" w:color="auto" w:fill="auto"/>
        <w:bidi w:val="0"/>
        <w:spacing w:before="0" w:line="300" w:lineRule="auto"/>
        <w:ind w:left="2620" w:right="0" w:firstLine="0"/>
        <w:jc w:val="left"/>
      </w:pPr>
      <w:r>
        <w:rPr>
          <w:rStyle w:val="CharStyle20"/>
        </w:rPr>
        <w:t xml:space="preserve">Výroba v jaderných elektrárnách coby </w:t>
      </w:r>
      <w:r>
        <w:rPr>
          <w:rStyle w:val="CharStyle20"/>
          <w:i/>
          <w:iCs/>
        </w:rPr>
        <w:t>baseload</w:t>
      </w:r>
      <w:r>
        <w:rPr>
          <w:rStyle w:val="CharStyle20"/>
        </w:rPr>
        <w:t xml:space="preserve"> zdrojích vzrostla v porovnání s rokem 2020 o 0,7 TWh, což odpovídá nárůstu doby využití o 153 hodin.</w:t>
      </w:r>
    </w:p>
    <w:p>
      <w:pPr>
        <w:pStyle w:val="Style19"/>
        <w:keepNext w:val="0"/>
        <w:keepLines w:val="0"/>
        <w:widowControl w:val="0"/>
        <w:shd w:val="clear" w:color="auto" w:fill="auto"/>
        <w:bidi w:val="0"/>
        <w:spacing w:before="0" w:after="0"/>
        <w:ind w:left="2620" w:right="0" w:firstLine="0"/>
        <w:jc w:val="left"/>
      </w:pPr>
      <w:bookmarkStart w:id="29" w:name="bookmark29"/>
      <w:r>
        <w:rPr>
          <w:rStyle w:val="CharStyle20"/>
        </w:rPr>
        <w:t>Pro stanovení předpokladů v oblasti střednědobého výhledu provozu zdrojů provádí ČEPS každoroční dotazníkové šetření zahrnující všechny tepelné a vodní elektrárny s instalovaným výkonem nad 10 MWe (včetně). Jedná se o zdroje, jejichž souhrnný netto instalovaný výkon dosahuje 15,6 GW, tj. 79,1 % netto instalovaného výkonu ES ČR. Od roku 2018 využívá ČEPS digitalizované webové rozhraní, které uchovává již dříve vložená data a zmírňuje tak časovou náročnost spojenou se zadáváním dat.</w:t>
      </w:r>
      <w:bookmarkEnd w:id="29"/>
      <w:r>
        <w:br w:type="page"/>
      </w:r>
    </w:p>
    <w:p>
      <w:pPr>
        <w:pStyle w:val="Style19"/>
        <w:keepNext w:val="0"/>
        <w:keepLines w:val="0"/>
        <w:widowControl w:val="0"/>
        <w:shd w:val="clear" w:color="auto" w:fill="auto"/>
        <w:bidi w:val="0"/>
        <w:spacing w:before="0" w:after="80"/>
        <w:ind w:left="0" w:right="0" w:firstLine="0"/>
        <w:jc w:val="left"/>
      </w:pPr>
      <w:r>
        <w:rPr>
          <w:rStyle w:val="CharStyle20"/>
        </w:rPr>
        <w:t>Na následujícím grafu je vyobrazen vývoj instalovaného výkonu tepelných, vodních a přečerpávacích vodních elektráren s instalovaným výkonem od 10 MWe (včetně) do roku 2040. Graf vychází z dat získaných v rámci dotazníkového šetření ČEPS provedeného v průběhu dubna 2022, a obnovitelné zdroje (FVE, VTE, MVE, biomasa a bioplyn) v něm tak nejsou zahrnuty. Z grafu je patrný jak postupný odklon od uhlí dle strategie provozovatelů jednotlivých zdrojů, tak i nárůst instalovaného výkonu, který souvisí s uvedením nových paroplynových zdrojů do provozu v roce 2030 a s předpokládaným spuštěním nového jaderného bloku v Dukovanech v roce 2036.</w:t>
      </w:r>
    </w:p>
    <w:p>
      <w:pPr>
        <w:pStyle w:val="Style5"/>
        <w:keepNext w:val="0"/>
        <w:keepLines w:val="0"/>
        <w:widowControl w:val="0"/>
        <w:shd w:val="clear" w:color="auto" w:fill="auto"/>
        <w:tabs>
          <w:tab w:pos="4851" w:val="left"/>
        </w:tabs>
        <w:bidi w:val="0"/>
        <w:spacing w:before="0" w:after="80" w:line="240" w:lineRule="auto"/>
        <w:ind w:left="2240" w:right="0" w:firstLine="0"/>
        <w:jc w:val="left"/>
        <w:rPr>
          <w:sz w:val="38"/>
          <w:szCs w:val="38"/>
        </w:rPr>
      </w:pPr>
      <w:r>
        <w:rPr>
          <w:rStyle w:val="CharStyle6"/>
          <w:rFonts w:ascii="Courier New" w:eastAsia="Courier New" w:hAnsi="Courier New" w:cs="Courier New"/>
          <w:color w:val="B7B8B8"/>
          <w:sz w:val="38"/>
          <w:szCs w:val="38"/>
        </w:rPr>
        <w:t>I</w:t>
        <w:tab/>
        <w:t>I</w:t>
      </w:r>
    </w:p>
    <w:p>
      <w:pPr>
        <w:pStyle w:val="Style19"/>
        <w:keepNext w:val="0"/>
        <w:keepLines w:val="0"/>
        <w:widowControl w:val="0"/>
        <w:shd w:val="clear" w:color="auto" w:fill="auto"/>
        <w:bidi w:val="0"/>
        <w:spacing w:before="0" w:after="520" w:line="240" w:lineRule="auto"/>
        <w:ind w:left="0" w:right="0" w:firstLine="0"/>
        <w:jc w:val="left"/>
      </w:pPr>
      <w:r>
        <w:rPr>
          <w:rStyle w:val="CharStyle20"/>
          <w:b/>
          <w:bCs/>
          <w:color w:val="006AB4"/>
        </w:rPr>
        <w:t>Obr. 4.2 Celkový netto instalovaný výkon ČR (mimo OZE) dle provozovatelů zdrojů</w:t>
      </w:r>
    </w:p>
    <w:p>
      <w:pPr>
        <w:widowControl w:val="0"/>
        <w:jc w:val="left"/>
        <w:rPr>
          <w:sz w:val="2"/>
          <w:szCs w:val="2"/>
        </w:rPr>
      </w:pPr>
      <w:r>
        <w:drawing>
          <wp:inline>
            <wp:extent cx="7089775" cy="2200910"/>
            <wp:docPr id="55" name="Picutre 55"/>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a:stretch/>
                  </pic:blipFill>
                  <pic:spPr>
                    <a:xfrm>
                      <a:ext cx="7089775" cy="2200910"/>
                    </a:xfrm>
                    <a:prstGeom prst="rect"/>
                  </pic:spPr>
                </pic:pic>
              </a:graphicData>
            </a:graphic>
          </wp:inline>
        </w:drawing>
      </w:r>
    </w:p>
    <w:p>
      <w:pPr>
        <w:widowControl w:val="0"/>
        <w:spacing w:after="959" w:line="1" w:lineRule="exact"/>
      </w:pPr>
    </w:p>
    <w:p>
      <w:pPr>
        <w:pStyle w:val="Style19"/>
        <w:keepNext w:val="0"/>
        <w:keepLines w:val="0"/>
        <w:widowControl w:val="0"/>
        <w:shd w:val="clear" w:color="auto" w:fill="auto"/>
        <w:bidi w:val="0"/>
        <w:spacing w:before="0" w:after="160"/>
        <w:ind w:left="0" w:right="0" w:firstLine="0"/>
        <w:jc w:val="left"/>
      </w:pPr>
      <w:r>
        <w:rPr>
          <w:rStyle w:val="CharStyle20"/>
        </w:rPr>
        <w:t>Ve střednědobém výhledu zdrojové základny ČR bude na úrovni velkých zdrojů (o instalovaném výkonu v řádu stovek MWe) určující provoz stávajících výroben elektřiny stejně jako dodržení harmonogramu výstavby nových zdrojů. Tyto nové zdroje (viz Obr. 4.3) však z pohledu předpokládaného netto instalovaného výkonu nebudou představovat více jak 11,8 % současného instalovaného výkonu, a vývoj zdrojové základny tak bude z převážné většiny udáván nárůstem decentrálních zdrojů.</w:t>
      </w:r>
    </w:p>
    <w:p>
      <w:pPr>
        <w:pStyle w:val="Style5"/>
        <w:keepNext w:val="0"/>
        <w:keepLines w:val="0"/>
        <w:widowControl w:val="0"/>
        <w:shd w:val="clear" w:color="auto" w:fill="auto"/>
        <w:tabs>
          <w:tab w:pos="4851" w:val="left"/>
        </w:tabs>
        <w:bidi w:val="0"/>
        <w:spacing w:before="0" w:after="80" w:line="240" w:lineRule="auto"/>
        <w:ind w:left="2240" w:right="0" w:firstLine="0"/>
        <w:jc w:val="left"/>
        <w:rPr>
          <w:sz w:val="38"/>
          <w:szCs w:val="38"/>
        </w:rPr>
      </w:pPr>
      <w:r>
        <w:rPr>
          <w:rStyle w:val="CharStyle6"/>
          <w:rFonts w:ascii="Courier New" w:eastAsia="Courier New" w:hAnsi="Courier New" w:cs="Courier New"/>
          <w:color w:val="B7B8B8"/>
          <w:sz w:val="38"/>
          <w:szCs w:val="38"/>
        </w:rPr>
        <w:t>I</w:t>
        <w:tab/>
        <w:t>I</w:t>
      </w:r>
    </w:p>
    <w:p>
      <w:pPr>
        <w:pStyle w:val="Style15"/>
        <w:keepNext/>
        <w:keepLines/>
        <w:widowControl w:val="0"/>
        <w:shd w:val="clear" w:color="auto" w:fill="auto"/>
        <w:bidi w:val="0"/>
        <w:spacing w:before="0" w:after="460" w:line="302" w:lineRule="auto"/>
        <w:ind w:left="0" w:right="0" w:firstLine="0"/>
        <w:jc w:val="left"/>
      </w:pPr>
      <w:bookmarkStart w:id="30" w:name="bookmark30"/>
      <w:r>
        <w:rPr>
          <w:rStyle w:val="CharStyle16"/>
          <w:b/>
          <w:bCs/>
        </w:rPr>
        <w:t>Obr. 4.3 Celkový netto instalovaný výkon nových plánovaných zdrojů v ČR (mimo OZE)</w:t>
      </w:r>
      <w:bookmarkEnd w:id="30"/>
    </w:p>
    <w:p>
      <w:pPr>
        <w:widowControl w:val="0"/>
        <w:jc w:val="left"/>
        <w:rPr>
          <w:sz w:val="2"/>
          <w:szCs w:val="2"/>
        </w:rPr>
      </w:pPr>
      <w:r>
        <w:drawing>
          <wp:inline>
            <wp:extent cx="7089775" cy="2206625"/>
            <wp:docPr id="56" name="Picutre 56"/>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stretch/>
                  </pic:blipFill>
                  <pic:spPr>
                    <a:xfrm>
                      <a:ext cx="7089775" cy="2206625"/>
                    </a:xfrm>
                    <a:prstGeom prst="rect"/>
                  </pic:spPr>
                </pic:pic>
              </a:graphicData>
            </a:graphic>
          </wp:inline>
        </w:drawing>
      </w:r>
    </w:p>
    <w:p>
      <w:pPr>
        <w:pStyle w:val="Style27"/>
        <w:keepNext/>
        <w:keepLines/>
        <w:widowControl w:val="0"/>
        <w:numPr>
          <w:ilvl w:val="1"/>
          <w:numId w:val="7"/>
        </w:numPr>
        <w:shd w:val="clear" w:color="auto" w:fill="auto"/>
        <w:tabs>
          <w:tab w:pos="3010" w:val="left"/>
        </w:tabs>
        <w:bidi w:val="0"/>
        <w:spacing w:before="0" w:after="240" w:line="300" w:lineRule="auto"/>
        <w:ind w:left="2620" w:right="0" w:firstLine="0"/>
        <w:jc w:val="left"/>
      </w:pPr>
      <w:bookmarkStart w:id="33" w:name="bookmark33"/>
      <w:r>
        <w:rPr>
          <w:rStyle w:val="CharStyle28"/>
          <w:b/>
          <w:bCs/>
        </w:rPr>
        <w:t>SPALOVACÍ ZDROJE VYUŽÍVAJÍCÍ FOSILNÍ PALIVA</w:t>
      </w:r>
      <w:bookmarkEnd w:id="33"/>
    </w:p>
    <w:p>
      <w:pPr>
        <w:pStyle w:val="Style27"/>
        <w:keepNext/>
        <w:keepLines/>
        <w:widowControl w:val="0"/>
        <w:numPr>
          <w:ilvl w:val="2"/>
          <w:numId w:val="7"/>
        </w:numPr>
        <w:shd w:val="clear" w:color="auto" w:fill="auto"/>
        <w:tabs>
          <w:tab w:pos="3183" w:val="left"/>
        </w:tabs>
        <w:bidi w:val="0"/>
        <w:spacing w:before="0" w:after="0" w:line="300" w:lineRule="auto"/>
        <w:ind w:left="2620" w:right="0" w:firstLine="0"/>
        <w:jc w:val="left"/>
      </w:pPr>
      <w:r>
        <w:rPr>
          <w:rStyle w:val="CharStyle28"/>
          <w:b/>
          <w:bCs/>
        </w:rPr>
        <w:t>UHELNÉ ELEKTRÁRNY</w:t>
      </w:r>
    </w:p>
    <w:p>
      <w:pPr>
        <w:pStyle w:val="Style19"/>
        <w:keepNext w:val="0"/>
        <w:keepLines w:val="0"/>
        <w:widowControl w:val="0"/>
        <w:shd w:val="clear" w:color="auto" w:fill="auto"/>
        <w:bidi w:val="0"/>
        <w:spacing w:before="0" w:after="0" w:line="300" w:lineRule="auto"/>
        <w:ind w:left="2620" w:right="0" w:firstLine="0"/>
        <w:jc w:val="left"/>
      </w:pPr>
      <w:r>
        <w:rPr>
          <w:rStyle w:val="CharStyle20"/>
        </w:rPr>
        <w:t>Uhlí (především hnědé uhlí) představuje významnou složku energetického mixu elektřiny v ČR, přičemž v roce 2021 bylo vyrobeno 39 % netto elektřiny z hnědého a černého uhlí. Uhlí spalují zejména velké systémové elektrárny, které také mohou dodávat vedle elektřiny i teplo, stejně jako teplárny a závodní energetické systémy s kombinovanou výrobou elektřiny a tepla (KVET).</w:t>
      </w:r>
    </w:p>
    <w:p>
      <w:pPr>
        <w:pStyle w:val="Style5"/>
        <w:keepNext w:val="0"/>
        <w:keepLines w:val="0"/>
        <w:widowControl w:val="0"/>
        <w:shd w:val="clear" w:color="auto" w:fill="auto"/>
        <w:tabs>
          <w:tab w:pos="2616" w:val="left"/>
          <w:tab w:pos="5237" w:val="left"/>
        </w:tabs>
        <w:bidi w:val="0"/>
        <w:spacing w:before="0" w:after="60" w:line="192" w:lineRule="auto"/>
        <w:ind w:left="0" w:right="0" w:firstLine="0"/>
        <w:jc w:val="center"/>
        <w:rPr>
          <w:sz w:val="56"/>
          <w:szCs w:val="56"/>
        </w:rPr>
      </w:pPr>
      <w:r>
        <w:rPr>
          <w:rStyle w:val="CharStyle6"/>
          <w:rFonts w:ascii="Courier New" w:eastAsia="Courier New" w:hAnsi="Courier New" w:cs="Courier New"/>
          <w:color w:val="B7B8B8"/>
          <w:sz w:val="56"/>
          <w:szCs w:val="56"/>
        </w:rPr>
        <w:t>I</w:t>
        <w:tab/>
        <w:t>I</w:t>
        <w:tab/>
        <w:t>I</w:t>
      </w:r>
    </w:p>
    <w:p>
      <w:pPr>
        <w:pStyle w:val="Style15"/>
        <w:keepNext/>
        <w:keepLines/>
        <w:widowControl w:val="0"/>
        <w:shd w:val="clear" w:color="auto" w:fill="auto"/>
        <w:bidi w:val="0"/>
        <w:spacing w:before="0" w:after="180" w:line="300" w:lineRule="auto"/>
        <w:ind w:left="0" w:right="0" w:firstLine="0"/>
        <w:jc w:val="left"/>
      </w:pPr>
      <w:bookmarkStart w:id="35" w:name="bookmark35"/>
      <w:r>
        <w:rPr>
          <w:rStyle w:val="CharStyle16"/>
          <w:b/>
          <w:bCs/>
        </w:rPr>
        <w:t>Obr. 4.4 Netto výroba elektřiny z uhlí, podíl uhlí na celkové netto výrobě elektřiny a celková netto výroba elektřiny, zdroj: ERÚ</w:t>
      </w:r>
      <w:bookmarkEnd w:id="35"/>
    </w:p>
    <w:p>
      <w:pPr>
        <w:widowControl w:val="0"/>
        <w:jc w:val="center"/>
        <w:rPr>
          <w:sz w:val="2"/>
          <w:szCs w:val="2"/>
        </w:rPr>
      </w:pPr>
      <w:r>
        <w:drawing>
          <wp:inline>
            <wp:extent cx="6193790" cy="2212975"/>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stretch/>
                  </pic:blipFill>
                  <pic:spPr>
                    <a:xfrm>
                      <a:ext cx="6193790" cy="2212975"/>
                    </a:xfrm>
                    <a:prstGeom prst="rect"/>
                  </pic:spPr>
                </pic:pic>
              </a:graphicData>
            </a:graphic>
          </wp:inline>
        </w:drawing>
      </w:r>
    </w:p>
    <w:p>
      <w:pPr>
        <w:pStyle w:val="Style2"/>
        <w:keepNext w:val="0"/>
        <w:keepLines w:val="0"/>
        <w:widowControl w:val="0"/>
        <w:shd w:val="clear" w:color="auto" w:fill="auto"/>
        <w:tabs>
          <w:tab w:pos="3182" w:val="left"/>
          <w:tab w:pos="6096" w:val="left"/>
        </w:tabs>
        <w:bidi w:val="0"/>
        <w:spacing w:before="0" w:after="0" w:line="240" w:lineRule="auto"/>
        <w:ind w:left="878" w:right="0" w:firstLine="0"/>
        <w:jc w:val="left"/>
        <w:rPr>
          <w:sz w:val="16"/>
          <w:szCs w:val="16"/>
        </w:rPr>
      </w:pPr>
      <w:r>
        <w:rPr>
          <w:rStyle w:val="CharStyle3"/>
          <w:color w:val="000000"/>
          <w:sz w:val="16"/>
          <w:szCs w:val="16"/>
        </w:rPr>
        <w:t>| Černé uhlí</w:t>
        <w:tab/>
      </w:r>
      <w:r>
        <w:rPr>
          <w:rStyle w:val="CharStyle3"/>
          <w:color w:val="6B3B0A"/>
          <w:sz w:val="16"/>
          <w:szCs w:val="16"/>
        </w:rPr>
        <w:t xml:space="preserve">| </w:t>
      </w:r>
      <w:r>
        <w:rPr>
          <w:rStyle w:val="CharStyle3"/>
          <w:color w:val="000000"/>
          <w:sz w:val="16"/>
          <w:szCs w:val="16"/>
        </w:rPr>
        <w:t>Hnědé uhlí</w:t>
        <w:tab/>
        <w:t>Netto výroba ČR</w:t>
      </w:r>
    </w:p>
    <w:p>
      <w:pPr>
        <w:widowControl w:val="0"/>
        <w:spacing w:after="299" w:line="1" w:lineRule="exact"/>
      </w:pPr>
    </w:p>
    <w:p>
      <w:pPr>
        <w:pStyle w:val="Style27"/>
        <w:keepNext/>
        <w:keepLines/>
        <w:widowControl w:val="0"/>
        <w:shd w:val="clear" w:color="auto" w:fill="auto"/>
        <w:tabs>
          <w:tab w:pos="2616" w:val="left"/>
          <w:tab w:pos="5237" w:val="left"/>
        </w:tabs>
        <w:bidi w:val="0"/>
        <w:spacing w:before="0" w:after="0" w:line="240" w:lineRule="auto"/>
        <w:ind w:left="0" w:right="0" w:firstLine="0"/>
        <w:jc w:val="center"/>
        <w:rPr>
          <w:sz w:val="60"/>
          <w:szCs w:val="60"/>
        </w:rPr>
      </w:pPr>
      <w:bookmarkStart w:id="37" w:name="bookmark37"/>
      <w:r>
        <w:rPr>
          <w:rStyle w:val="CharStyle28"/>
          <w:rFonts w:ascii="Courier New" w:eastAsia="Courier New" w:hAnsi="Courier New" w:cs="Courier New"/>
          <w:color w:val="B7B8B8"/>
          <w:sz w:val="60"/>
          <w:szCs w:val="60"/>
        </w:rPr>
        <w:t>I</w:t>
        <w:tab/>
      </w:r>
      <w:r>
        <w:rPr>
          <w:rStyle w:val="CharStyle28"/>
          <w:rFonts w:ascii="Courier New" w:eastAsia="Courier New" w:hAnsi="Courier New" w:cs="Courier New"/>
          <w:color w:val="B7B8B8"/>
          <w:sz w:val="60"/>
          <w:szCs w:val="60"/>
          <w:vertAlign w:val="superscript"/>
        </w:rPr>
        <w:t>1</w:t>
        <w:tab/>
        <w:t>1</w:t>
      </w:r>
      <w:bookmarkEnd w:id="37"/>
    </w:p>
    <w:p>
      <w:pPr>
        <w:pStyle w:val="Style19"/>
        <w:keepNext w:val="0"/>
        <w:keepLines w:val="0"/>
        <w:widowControl w:val="0"/>
        <w:shd w:val="clear" w:color="auto" w:fill="auto"/>
        <w:bidi w:val="0"/>
        <w:spacing w:before="0" w:after="220"/>
        <w:ind w:left="2620" w:right="0" w:firstLine="0"/>
        <w:jc w:val="left"/>
      </w:pPr>
      <w:bookmarkStart w:id="39" w:name="bookmark39"/>
      <w:r>
        <w:rPr>
          <w:rStyle w:val="CharStyle20"/>
        </w:rPr>
        <w:t xml:space="preserve">Uhelné elektrárny se kategorizují jako tzv. </w:t>
      </w:r>
      <w:r>
        <w:rPr>
          <w:rStyle w:val="CharStyle20"/>
          <w:i/>
          <w:iCs/>
        </w:rPr>
        <w:t>dispatchable resources</w:t>
      </w:r>
      <w:r>
        <w:rPr>
          <w:rStyle w:val="CharStyle20"/>
        </w:rPr>
        <w:t>, u kterých je možné výši produkce elektrické energie dle potřeby v daném čase upravovat na požadovanou úroveň. Tyto elektrárny tak přispívají nejen k pokrytí celkové roční bilance elektřiny, ale zároveň hrají důležitou roli i při pokrývání sezonních a denních výkyvů ve spotřebě. Uhelné elektrárny mají zásadní význam také pro poskytování služeb výkonové rovnováhy. Velká část uhelných zdrojů dodává teplo do soustavy centrálního zásobování teplem (CZT). V roce 2021 se uhelné elektrárny podílely na celkové výrobě tepla v objemu 46,6 %, což oproti roku 2020 znamená meziroční pokles o 2 %. Zároveň meziročně došlo k nárůstu dodávek tepla z uhelných elektráren na hodnotu 49,2 PJ (oproti roku 2020 se jedná o meziroční nárůst ve výši 5,6 %). Jak je patné z Obr. 4.5, role uhelných zdrojů v dodávkách tepla se časem posiluje.</w:t>
      </w:r>
      <w:bookmarkEnd w:id="39"/>
      <w:r>
        <w:br w:type="page"/>
      </w:r>
    </w:p>
    <w:p>
      <w:pPr>
        <w:pStyle w:val="Style15"/>
        <w:keepNext/>
        <w:keepLines/>
        <w:widowControl w:val="0"/>
        <w:shd w:val="clear" w:color="auto" w:fill="auto"/>
        <w:bidi w:val="0"/>
        <w:spacing w:before="0" w:after="500" w:line="240" w:lineRule="auto"/>
        <w:ind w:left="0" w:right="0" w:firstLine="0"/>
        <w:jc w:val="left"/>
      </w:pPr>
      <w:bookmarkStart w:id="41" w:name="bookmark41"/>
      <w:r>
        <w:rPr>
          <w:rStyle w:val="CharStyle16"/>
          <w:b/>
          <w:bCs/>
        </w:rPr>
        <w:t>Obr. 4.5 Vývoj dodávek tepla z uhelných elektráren, zdroj: ERÚ</w:t>
      </w:r>
      <w:bookmarkEnd w:id="41"/>
    </w:p>
    <w:p>
      <w:pPr>
        <w:widowControl w:val="0"/>
        <w:jc w:val="center"/>
        <w:rPr>
          <w:sz w:val="2"/>
          <w:szCs w:val="2"/>
        </w:rPr>
      </w:pPr>
      <w:r>
        <w:drawing>
          <wp:inline>
            <wp:extent cx="6193790" cy="2212975"/>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5"/>
                    <a:stretch/>
                  </pic:blipFill>
                  <pic:spPr>
                    <a:xfrm>
                      <a:ext cx="6193790" cy="2212975"/>
                    </a:xfrm>
                    <a:prstGeom prst="rect"/>
                  </pic:spPr>
                </pic:pic>
              </a:graphicData>
            </a:graphic>
          </wp:inline>
        </w:drawing>
      </w:r>
    </w:p>
    <w:p>
      <w:pPr>
        <w:pStyle w:val="Style2"/>
        <w:keepNext w:val="0"/>
        <w:keepLines w:val="0"/>
        <w:widowControl w:val="0"/>
        <w:shd w:val="clear" w:color="auto" w:fill="auto"/>
        <w:tabs>
          <w:tab w:pos="3067" w:val="left"/>
        </w:tabs>
        <w:bidi w:val="0"/>
        <w:spacing w:before="0" w:after="0" w:line="240" w:lineRule="auto"/>
        <w:ind w:left="874" w:right="0" w:firstLine="0"/>
        <w:jc w:val="left"/>
        <w:rPr>
          <w:sz w:val="16"/>
          <w:szCs w:val="16"/>
        </w:rPr>
      </w:pPr>
      <w:r>
        <w:rPr>
          <w:rStyle w:val="CharStyle3"/>
          <w:color w:val="000000"/>
          <w:sz w:val="16"/>
          <w:szCs w:val="16"/>
        </w:rPr>
        <w:t>| Černé uhlí</w:t>
        <w:tab/>
      </w:r>
      <w:r>
        <w:rPr>
          <w:rStyle w:val="CharStyle3"/>
          <w:color w:val="6B3B0A"/>
          <w:sz w:val="16"/>
          <w:szCs w:val="16"/>
        </w:rPr>
        <w:t xml:space="preserve">| </w:t>
      </w:r>
      <w:r>
        <w:rPr>
          <w:rStyle w:val="CharStyle3"/>
          <w:color w:val="000000"/>
          <w:sz w:val="16"/>
          <w:szCs w:val="16"/>
        </w:rPr>
        <w:t>Hnědé uhlí</w:t>
      </w:r>
    </w:p>
    <w:p>
      <w:pPr>
        <w:widowControl w:val="0"/>
        <w:spacing w:after="1019" w:line="1" w:lineRule="exact"/>
      </w:pPr>
    </w:p>
    <w:p>
      <w:pPr>
        <w:pStyle w:val="Style19"/>
        <w:keepNext w:val="0"/>
        <w:keepLines w:val="0"/>
        <w:widowControl w:val="0"/>
        <w:shd w:val="clear" w:color="auto" w:fill="auto"/>
        <w:bidi w:val="0"/>
        <w:spacing w:before="0" w:after="0"/>
        <w:ind w:left="0" w:right="0" w:firstLine="0"/>
        <w:jc w:val="left"/>
      </w:pPr>
      <w:r>
        <w:rPr>
          <w:rStyle w:val="CharStyle20"/>
        </w:rPr>
        <w:t>Výroba elektřiny a tepla z uhelných zdrojů se však vyznačuje vysokou intenzitou emisí CO</w:t>
      </w:r>
      <w:r>
        <w:rPr>
          <w:rStyle w:val="CharStyle20"/>
          <w:sz w:val="10"/>
          <w:szCs w:val="10"/>
        </w:rPr>
        <w:t xml:space="preserve">2 </w:t>
      </w:r>
      <w:r>
        <w:rPr>
          <w:rStyle w:val="CharStyle20"/>
        </w:rPr>
        <w:t>na jednotku vyrobené elektřiny. Postupný útlum uhelných zdrojů tak představuje jeden z nezbytných požadavků pro splnění dekarbonizačních cílů na národní</w:t>
      </w:r>
    </w:p>
    <w:p>
      <w:pPr>
        <w:pStyle w:val="Style19"/>
        <w:keepNext w:val="0"/>
        <w:keepLines w:val="0"/>
        <w:widowControl w:val="0"/>
        <w:shd w:val="clear" w:color="auto" w:fill="auto"/>
        <w:bidi w:val="0"/>
        <w:spacing w:before="0"/>
        <w:ind w:left="0" w:right="0" w:firstLine="0"/>
        <w:jc w:val="left"/>
      </w:pPr>
      <w:r>
        <w:rPr>
          <w:rStyle w:val="CharStyle20"/>
        </w:rPr>
        <w:t xml:space="preserve">a evropské úrovni. Tab. 4.1 ukazuje, jaké závazné cíle byly stanoveny v rámci </w:t>
      </w:r>
      <w:r>
        <w:rPr>
          <w:rStyle w:val="CharStyle20"/>
          <w:i/>
          <w:iCs/>
        </w:rPr>
        <w:t xml:space="preserve">Fit for 55 </w:t>
      </w:r>
      <w:r>
        <w:rPr>
          <w:rStyle w:val="CharStyle20"/>
        </w:rPr>
        <w:t>vydaného v roce 2021 Evropskou komisí.</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4.1 Environmentální cíle EU</w:t>
      </w:r>
    </w:p>
    <w:tbl>
      <w:tblPr>
        <w:tblOverlap w:val="never"/>
        <w:jc w:val="left"/>
        <w:tblLayout w:type="fixed"/>
      </w:tblPr>
      <w:tblGrid>
        <w:gridCol w:w="1954"/>
        <w:gridCol w:w="1282"/>
        <w:gridCol w:w="1286"/>
        <w:gridCol w:w="1286"/>
        <w:gridCol w:w="1296"/>
      </w:tblGrid>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Referenční rok</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Cílový rok</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Aktuální stav</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Návrh</w:t>
            </w:r>
          </w:p>
        </w:tc>
      </w:tr>
      <w:tr>
        <w:trPr>
          <w:trHeight w:val="442" w:hRule="exact"/>
        </w:trPr>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16" w:lineRule="auto"/>
              <w:ind w:left="0" w:right="0" w:firstLine="0"/>
              <w:jc w:val="left"/>
              <w:rPr>
                <w:sz w:val="15"/>
                <w:szCs w:val="15"/>
              </w:rPr>
            </w:pPr>
            <w:r>
              <w:rPr>
                <w:rStyle w:val="CharStyle6"/>
                <w:rFonts w:ascii="Calibri" w:eastAsia="Calibri" w:hAnsi="Calibri" w:cs="Calibri"/>
                <w:b/>
                <w:bCs/>
                <w:color w:val="006AB4"/>
                <w:sz w:val="15"/>
                <w:szCs w:val="15"/>
              </w:rPr>
              <w:t>Celková redukce emisí skleníkových plynů v EU</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1990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40 %</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55 %</w:t>
            </w:r>
          </w:p>
        </w:tc>
      </w:tr>
      <w:tr>
        <w:trPr>
          <w:trHeight w:val="610" w:hRule="exact"/>
        </w:trPr>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16" w:lineRule="auto"/>
              <w:ind w:left="0" w:right="0" w:firstLine="0"/>
              <w:jc w:val="left"/>
              <w:rPr>
                <w:sz w:val="15"/>
                <w:szCs w:val="15"/>
              </w:rPr>
            </w:pPr>
            <w:r>
              <w:rPr>
                <w:rStyle w:val="CharStyle6"/>
                <w:rFonts w:ascii="Calibri" w:eastAsia="Calibri" w:hAnsi="Calibri" w:cs="Calibri"/>
                <w:b/>
                <w:bCs/>
                <w:color w:val="006AB4"/>
                <w:sz w:val="15"/>
                <w:szCs w:val="15"/>
              </w:rPr>
              <w:t>Redukce emisí CO</w:t>
            </w:r>
            <w:r>
              <w:rPr>
                <w:rStyle w:val="CharStyle6"/>
                <w:b/>
                <w:bCs/>
                <w:color w:val="006AB4"/>
                <w:sz w:val="8"/>
                <w:szCs w:val="8"/>
              </w:rPr>
              <w:t xml:space="preserve">2 </w:t>
            </w:r>
            <w:r>
              <w:rPr>
                <w:rStyle w:val="CharStyle6"/>
                <w:rFonts w:ascii="Calibri" w:eastAsia="Calibri" w:hAnsi="Calibri" w:cs="Calibri"/>
                <w:b/>
                <w:bCs/>
                <w:color w:val="006AB4"/>
                <w:sz w:val="15"/>
                <w:szCs w:val="15"/>
              </w:rPr>
              <w:t>EU ETS (elektrárny, průmysl, letectví, námořnictví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2005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43 %</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62 %</w:t>
            </w:r>
          </w:p>
        </w:tc>
      </w:tr>
      <w:tr>
        <w:trPr>
          <w:trHeight w:val="624" w:hRule="exact"/>
        </w:trPr>
        <w:tc>
          <w:tcPr>
            <w:tcBorders>
              <w:top w:val="single" w:sz="4"/>
              <w:left w:val="single" w:sz="4"/>
              <w:bottom w:val="single" w:sz="4"/>
            </w:tcBorders>
            <w:shd w:val="clear" w:color="auto" w:fill="auto"/>
            <w:vAlign w:val="bottom"/>
          </w:tcPr>
          <w:p>
            <w:pPr>
              <w:pStyle w:val="Style5"/>
              <w:keepNext w:val="0"/>
              <w:keepLines w:val="0"/>
              <w:widowControl w:val="0"/>
              <w:shd w:val="clear" w:color="auto" w:fill="auto"/>
              <w:bidi w:val="0"/>
              <w:spacing w:before="0" w:after="0" w:line="216" w:lineRule="auto"/>
              <w:ind w:left="0" w:right="0" w:firstLine="0"/>
              <w:jc w:val="left"/>
              <w:rPr>
                <w:sz w:val="15"/>
                <w:szCs w:val="15"/>
              </w:rPr>
            </w:pPr>
            <w:r>
              <w:rPr>
                <w:rStyle w:val="CharStyle6"/>
                <w:rFonts w:ascii="Calibri" w:eastAsia="Calibri" w:hAnsi="Calibri" w:cs="Calibri"/>
                <w:b/>
                <w:bCs/>
                <w:color w:val="006AB4"/>
                <w:sz w:val="15"/>
                <w:szCs w:val="15"/>
              </w:rPr>
              <w:t>Nařízení o sdílení úsilí (emitenti kteří nespadají pod EU ETS)</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2005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2030</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30 %</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40 %</w:t>
            </w:r>
          </w:p>
        </w:tc>
      </w:tr>
    </w:tbl>
    <w:p>
      <w:pPr>
        <w:widowControl w:val="0"/>
        <w:spacing w:after="719" w:line="1" w:lineRule="exact"/>
      </w:pPr>
    </w:p>
    <w:p>
      <w:pPr>
        <w:pStyle w:val="Style19"/>
        <w:keepNext w:val="0"/>
        <w:keepLines w:val="0"/>
        <w:widowControl w:val="0"/>
        <w:shd w:val="clear" w:color="auto" w:fill="auto"/>
        <w:bidi w:val="0"/>
        <w:spacing w:before="0"/>
        <w:ind w:left="0" w:right="0" w:firstLine="0"/>
        <w:jc w:val="left"/>
      </w:pPr>
      <w:r>
        <w:rPr>
          <w:rStyle w:val="CharStyle20"/>
        </w:rPr>
        <w:t>Mnohé uhelné zdroje prošly v průběhu posledního desetiletí nákladnou modernizací, aby byl jejich provoz v souladu s požadavky na emise znečisťujících látek. Pro splnění výše uvedených klimatických cílů však ekologizace v provedeném rozsahu nebude dostačovat a provozovatelé zdrojů budou nuceni investovat do dalších ekologizačních opatření, aby mohli zdroje nadále provozovat v souladu s platnou legislativou. Dodatečné investice se následně promítnou do konečných cen elektřiny i tepla.</w:t>
      </w:r>
    </w:p>
    <w:p>
      <w:pPr>
        <w:pStyle w:val="Style19"/>
        <w:keepNext w:val="0"/>
        <w:keepLines w:val="0"/>
        <w:widowControl w:val="0"/>
        <w:shd w:val="clear" w:color="auto" w:fill="auto"/>
        <w:bidi w:val="0"/>
        <w:spacing w:before="0" w:after="0"/>
        <w:ind w:left="0" w:right="0" w:firstLine="0"/>
        <w:jc w:val="left"/>
      </w:pPr>
      <w:r>
        <w:rPr>
          <w:rStyle w:val="CharStyle20"/>
        </w:rPr>
        <w:t>Dalším faktorem, který limituje výrobu elektřiny a tepla z uhlí, jsou emisní povolenky. Cena povolenky v průběhu roku 2022 vystoupala k historickému maximu 99 € za tunu vyprodukovaného CO</w:t>
      </w:r>
      <w:r>
        <w:rPr>
          <w:rStyle w:val="CharStyle20"/>
          <w:vertAlign w:val="subscript"/>
        </w:rPr>
        <w:t>2</w:t>
      </w:r>
      <w:r>
        <w:rPr>
          <w:rStyle w:val="CharStyle20"/>
        </w:rPr>
        <w:t>. Počet emitovaných povolenek se má do budoucna postupně snižovat pro zajištění postupného meziročního poklesu emisního stropu, a proto pravděpodobně nenastane ani významnější pokles jejich ceny v případě absence šoků poptávky. V případě dalšího růstu ceny povolenky, který by nebyl následován růstem ceny elektřiny, by tak mohlo dojít k odstavování uhelných elektráren čistě z ekonomických důvodů.</w:t>
      </w:r>
      <w:r>
        <w:br w:type="page"/>
      </w:r>
    </w:p>
    <w:p>
      <w:pPr>
        <w:pStyle w:val="Style19"/>
        <w:keepNext w:val="0"/>
        <w:keepLines w:val="0"/>
        <w:widowControl w:val="0"/>
        <w:shd w:val="clear" w:color="auto" w:fill="auto"/>
        <w:bidi w:val="0"/>
        <w:spacing w:before="0" w:after="260"/>
        <w:ind w:left="0" w:right="0" w:firstLine="0"/>
        <w:jc w:val="left"/>
      </w:pPr>
      <w:r>
        <w:drawing>
          <wp:anchor distT="127000" distB="127000" distL="127000" distR="127000" simplePos="0" relativeHeight="125829396" behindDoc="0" locked="0" layoutInCell="1" allowOverlap="1">
            <wp:simplePos x="0" y="0"/>
            <wp:positionH relativeFrom="margin">
              <wp:posOffset>-882650</wp:posOffset>
            </wp:positionH>
            <wp:positionV relativeFrom="margin">
              <wp:posOffset>-518160</wp:posOffset>
            </wp:positionV>
            <wp:extent cx="2395855" cy="3724910"/>
            <wp:wrapSquare wrapText="bothSides"/>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47"/>
                    <a:stretch/>
                  </pic:blipFill>
                  <pic:spPr>
                    <a:xfrm>
                      <a:ext cx="2395855" cy="3724910"/>
                    </a:xfrm>
                    <a:prstGeom prst="rect"/>
                  </pic:spPr>
                </pic:pic>
              </a:graphicData>
            </a:graphic>
          </wp:anchor>
        </w:drawing>
      </w:r>
      <w:r>
        <w:rPr>
          <w:rStyle w:val="CharStyle20"/>
        </w:rPr>
        <w:t>Budoucnost výroby elektrické energie a tepla z uhlí tak zůstává velmi nejasná. Uhelná komise doporučila ukončit využívání uhlí pro výrobu elektřiny a tepla v roce 2038, jedná se však pouze o doporučení, nikoliv o závazný cíl. Absencí těchto zdrojů by však došlo ke vzniku problému s pokrytím roční bilance elektřiny, včetně zajištění podpůrných služeb. V kontextu problematické dostupnosti plynu a s tím související vysoké ceny komodity se dozdrojování plynovými elektrárnami dostává do složité situace a možná nebude stačit pro zabezpečení zdrojové přiměřenosti. Proto připadá v úvahu transformace uhelných zdrojů na spalování biomasy, zemního plynu, nebo odpadu. Avšak i tato transformace má své limity a úskalí z pohledu dostupnosti potřebného množství paliva.</w:t>
      </w:r>
    </w:p>
    <w:p>
      <w:pPr>
        <w:pStyle w:val="Style27"/>
        <w:keepNext/>
        <w:keepLines/>
        <w:widowControl w:val="0"/>
        <w:numPr>
          <w:ilvl w:val="2"/>
          <w:numId w:val="7"/>
        </w:numPr>
        <w:shd w:val="clear" w:color="auto" w:fill="auto"/>
        <w:tabs>
          <w:tab w:pos="577" w:val="left"/>
        </w:tabs>
        <w:bidi w:val="0"/>
        <w:spacing w:before="0" w:after="0"/>
        <w:ind w:left="0" w:right="0" w:firstLine="0"/>
        <w:jc w:val="left"/>
      </w:pPr>
      <w:r>
        <w:drawing>
          <wp:anchor distT="0" distB="0" distL="114300" distR="114300" simplePos="0" relativeHeight="125829397" behindDoc="0" locked="0" layoutInCell="1" allowOverlap="1">
            <wp:simplePos x="0" y="0"/>
            <wp:positionH relativeFrom="margin">
              <wp:posOffset>6438900</wp:posOffset>
            </wp:positionH>
            <wp:positionV relativeFrom="margin">
              <wp:posOffset>-518160</wp:posOffset>
            </wp:positionV>
            <wp:extent cx="237490" cy="1334770"/>
            <wp:wrapSquare wrapText="bothSides"/>
            <wp:docPr id="61" name="Shape 61"/>
            <a:graphic xmlns:a="http://schemas.openxmlformats.org/drawingml/2006/main">
              <a:graphicData uri="http://schemas.openxmlformats.org/drawingml/2006/picture">
                <pic:pic xmlns:pic="http://schemas.openxmlformats.org/drawingml/2006/picture">
                  <pic:nvPicPr>
                    <pic:cNvPr id="62" name="Picture box 62"/>
                    <pic:cNvPicPr/>
                  </pic:nvPicPr>
                  <pic:blipFill>
                    <a:blip r:embed="rId49"/>
                    <a:stretch/>
                  </pic:blipFill>
                  <pic:spPr>
                    <a:xfrm>
                      <a:ext cx="237490" cy="1334770"/>
                    </a:xfrm>
                    <a:prstGeom prst="rect"/>
                  </pic:spPr>
                </pic:pic>
              </a:graphicData>
            </a:graphic>
          </wp:anchor>
        </w:drawing>
      </w:r>
      <w:bookmarkStart w:id="44" w:name="bookmark44"/>
      <w:r>
        <w:rPr>
          <w:rStyle w:val="CharStyle28"/>
          <w:b/>
          <w:bCs/>
        </w:rPr>
        <w:t>PLYNOVÉ ELEKTRÁRNY</w:t>
      </w:r>
      <w:bookmarkEnd w:id="44"/>
    </w:p>
    <w:p>
      <w:pPr>
        <w:pStyle w:val="Style19"/>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142" w:h="17375"/>
          <w:pgMar w:top="1084" w:right="834" w:bottom="1492" w:left="834" w:header="0" w:footer="3" w:gutter="677"/>
          <w:cols w:space="720"/>
          <w:noEndnote/>
          <w:rtlGutter w:val="0"/>
          <w:docGrid w:linePitch="360"/>
        </w:sectPr>
      </w:pPr>
      <w:r>
        <w:drawing>
          <wp:anchor distT="0" distB="0" distL="114300" distR="114300" simplePos="0" relativeHeight="125829398" behindDoc="0" locked="0" layoutInCell="1" allowOverlap="1">
            <wp:simplePos x="0" y="0"/>
            <wp:positionH relativeFrom="margin">
              <wp:posOffset>6438900</wp:posOffset>
            </wp:positionH>
            <wp:positionV relativeFrom="margin">
              <wp:posOffset>819785</wp:posOffset>
            </wp:positionV>
            <wp:extent cx="237490" cy="1334770"/>
            <wp:wrapSquare wrapText="bothSides"/>
            <wp:docPr id="63" name="Shape 63"/>
            <a:graphic xmlns:a="http://schemas.openxmlformats.org/drawingml/2006/main">
              <a:graphicData uri="http://schemas.openxmlformats.org/drawingml/2006/picture">
                <pic:pic xmlns:pic="http://schemas.openxmlformats.org/drawingml/2006/picture">
                  <pic:nvPicPr>
                    <pic:cNvPr id="64" name="Picture box 64"/>
                    <pic:cNvPicPr/>
                  </pic:nvPicPr>
                  <pic:blipFill>
                    <a:blip r:embed="rId51"/>
                    <a:stretch/>
                  </pic:blipFill>
                  <pic:spPr>
                    <a:xfrm>
                      <a:ext cx="237490" cy="1334770"/>
                    </a:xfrm>
                    <a:prstGeom prst="rect"/>
                  </pic:spPr>
                </pic:pic>
              </a:graphicData>
            </a:graphic>
          </wp:anchor>
        </w:drawing>
      </w:r>
      <w:r>
        <w:drawing>
          <wp:anchor distT="0" distB="0" distL="114300" distR="114300" simplePos="0" relativeHeight="125829399" behindDoc="0" locked="0" layoutInCell="1" allowOverlap="1">
            <wp:simplePos x="0" y="0"/>
            <wp:positionH relativeFrom="margin">
              <wp:posOffset>6438900</wp:posOffset>
            </wp:positionH>
            <wp:positionV relativeFrom="margin">
              <wp:posOffset>2157730</wp:posOffset>
            </wp:positionV>
            <wp:extent cx="237490" cy="1334770"/>
            <wp:wrapSquare wrapText="bothSides"/>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53"/>
                    <a:stretch/>
                  </pic:blipFill>
                  <pic:spPr>
                    <a:xfrm>
                      <a:ext cx="237490" cy="1334770"/>
                    </a:xfrm>
                    <a:prstGeom prst="rect"/>
                  </pic:spPr>
                </pic:pic>
              </a:graphicData>
            </a:graphic>
          </wp:anchor>
        </w:drawing>
      </w:r>
      <w:r>
        <w:rPr>
          <w:rStyle w:val="CharStyle20"/>
        </w:rPr>
        <w:t xml:space="preserve">Obdobně jako u uhelných elektráren se plynové elektrárny řadí k tzv. </w:t>
      </w:r>
      <w:r>
        <w:rPr>
          <w:rStyle w:val="CharStyle20"/>
          <w:i/>
          <w:iCs/>
        </w:rPr>
        <w:t>dispatchable resources</w:t>
      </w:r>
      <w:r>
        <w:rPr>
          <w:rStyle w:val="CharStyle20"/>
        </w:rPr>
        <w:t>, tedy jsou schopny dosáhnout specifického výkonu pro požadovanou periodu. Do roku 2014 byla produkována elektřina z plynu zejména v rámci kombinované výroby elektřiny a tepla (KVET) nebo jako pološpičkový a špičkový zdroj, který také sloužil k regulaci sítě. Poté se z důvodu vyšší ceny povolenky a nižší ceny plynu, ovlivňující ekonomiku provozu uhelných elektráren, provozovaly i na vyšších hodnotách ročního využití, a to až do loňského roku, kdy začala cena plynu skokově růst.</w:t>
      </w:r>
    </w:p>
    <w:p>
      <w:pPr>
        <w:pStyle w:val="Style15"/>
        <w:keepNext/>
        <w:keepLines/>
        <w:framePr w:w="9461" w:h="542" w:wrap="none" w:vAnchor="text" w:hAnchor="page" w:x="1514" w:y="59"/>
        <w:widowControl w:val="0"/>
        <w:shd w:val="clear" w:color="auto" w:fill="auto"/>
        <w:bidi w:val="0"/>
        <w:spacing w:before="0" w:after="0" w:line="300" w:lineRule="auto"/>
        <w:ind w:left="0" w:right="0" w:firstLine="0"/>
        <w:jc w:val="left"/>
      </w:pPr>
      <w:bookmarkStart w:id="46" w:name="bookmark46"/>
      <w:r>
        <w:rPr>
          <w:rStyle w:val="CharStyle16"/>
          <w:b/>
          <w:bCs/>
        </w:rPr>
        <w:t>Obr. 4.6 Netto výroba elektřiny ze ZP, podíl na celkové netto výrobě elektřiny a celková netto výroba elektřiny, zdroj: ERÚ</w:t>
      </w:r>
      <w:bookmarkEnd w:id="46"/>
    </w:p>
    <w:p>
      <w:pPr>
        <w:pStyle w:val="Style37"/>
        <w:keepNext w:val="0"/>
        <w:keepLines w:val="0"/>
        <w:framePr w:w="192" w:h="187" w:wrap="none" w:vAnchor="text" w:hAnchor="page" w:x="2138" w:y="745"/>
        <w:widowControl w:val="0"/>
        <w:shd w:val="clear" w:color="auto" w:fill="auto"/>
        <w:bidi w:val="0"/>
        <w:spacing w:before="0" w:after="0" w:line="240" w:lineRule="auto"/>
        <w:ind w:left="0" w:right="0" w:firstLine="0"/>
        <w:jc w:val="left"/>
        <w:rPr>
          <w:sz w:val="12"/>
          <w:szCs w:val="12"/>
        </w:rPr>
      </w:pPr>
      <w:r>
        <w:rPr>
          <w:rStyle w:val="CharStyle38"/>
          <w:b/>
          <w:bCs/>
          <w:color w:val="006AB4"/>
          <w:sz w:val="12"/>
          <w:szCs w:val="12"/>
        </w:rPr>
        <w:t>90</w:t>
      </w:r>
    </w:p>
    <w:p>
      <w:pPr>
        <w:pStyle w:val="Style5"/>
        <w:keepNext w:val="0"/>
        <w:keepLines w:val="0"/>
        <w:framePr w:w="149" w:h="326" w:wrap="none" w:vAnchor="text" w:hAnchor="page" w:x="1529" w:y="2660"/>
        <w:widowControl w:val="0"/>
        <w:shd w:val="clear" w:color="auto" w:fill="auto"/>
        <w:bidi w:val="0"/>
        <w:spacing w:before="0" w:after="0" w:line="240" w:lineRule="auto"/>
        <w:ind w:left="0" w:right="0" w:firstLine="0"/>
        <w:jc w:val="center"/>
        <w:rPr>
          <w:sz w:val="8"/>
          <w:szCs w:val="8"/>
        </w:rPr>
      </w:pPr>
      <w:r>
        <w:rPr>
          <w:rStyle w:val="CharStyle6"/>
          <w:b/>
          <w:bCs/>
          <w:color w:val="006AB4"/>
          <w:sz w:val="8"/>
          <w:szCs w:val="8"/>
        </w:rPr>
        <w:t>o</w:t>
        <w:br/>
        <w:t>ť</w:t>
        <w:br/>
        <w:t>OJ</w:t>
      </w:r>
    </w:p>
    <w:tbl>
      <w:tblPr>
        <w:tblOverlap w:val="never"/>
        <w:jc w:val="left"/>
        <w:tblLayout w:type="fixed"/>
      </w:tblPr>
      <w:tblGrid>
        <w:gridCol w:w="1430"/>
        <w:gridCol w:w="1512"/>
        <w:gridCol w:w="1512"/>
        <w:gridCol w:w="1512"/>
        <w:gridCol w:w="1526"/>
        <w:gridCol w:w="1406"/>
      </w:tblGrid>
      <w:tr>
        <w:trPr>
          <w:trHeight w:val="355" w:hRule="exact"/>
        </w:trPr>
        <w:tc>
          <w:tcPr>
            <w:tcBorders>
              <w:top w:val="single" w:sz="4"/>
            </w:tcBorders>
            <w:shd w:val="clear" w:color="auto" w:fill="auto"/>
            <w:vAlign w:val="bottom"/>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77 TWh</w:t>
            </w:r>
          </w:p>
        </w:tc>
        <w:tc>
          <w:tcPr>
            <w:tcBorders>
              <w:top w:val="single" w:sz="4"/>
            </w:tcBorders>
            <w:shd w:val="clear" w:color="auto" w:fill="auto"/>
            <w:vAlign w:val="center"/>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81 TWh</w:t>
            </w:r>
          </w:p>
        </w:tc>
        <w:tc>
          <w:tcPr>
            <w:tcBorders>
              <w:top w:val="single" w:sz="4"/>
            </w:tcBorders>
            <w:shd w:val="clear" w:color="auto" w:fill="auto"/>
            <w:vAlign w:val="center"/>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82 TWh</w:t>
            </w:r>
          </w:p>
        </w:tc>
        <w:tc>
          <w:tcPr>
            <w:tcBorders>
              <w:top w:val="single" w:sz="4"/>
            </w:tcBorders>
            <w:shd w:val="clear" w:color="auto" w:fill="auto"/>
            <w:vAlign w:val="center"/>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81 TWh</w:t>
            </w:r>
          </w:p>
        </w:tc>
        <w:tc>
          <w:tcPr>
            <w:tcBorders>
              <w:top w:val="single" w:sz="4"/>
            </w:tcBorders>
            <w:shd w:val="clear" w:color="auto" w:fill="auto"/>
            <w:vAlign w:val="bottom"/>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76 TWh</w:t>
            </w:r>
          </w:p>
        </w:tc>
        <w:tc>
          <w:tcPr>
            <w:tcBorders>
              <w:top w:val="single" w:sz="4"/>
            </w:tcBorders>
            <w:shd w:val="clear" w:color="auto" w:fill="auto"/>
            <w:vAlign w:val="bottom"/>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79 TWh</w:t>
            </w:r>
          </w:p>
        </w:tc>
      </w:tr>
      <w:tr>
        <w:trPr>
          <w:trHeight w:val="346"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50"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50"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46"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50"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50" w:hRule="exact"/>
        </w:trPr>
        <w:tc>
          <w:tcPr>
            <w:gridSpan w:val="6"/>
            <w:tcBorders>
              <w:top w:val="single" w:sz="4"/>
            </w:tcBorders>
            <w:shd w:val="clear" w:color="auto" w:fill="auto"/>
            <w:vAlign w:val="top"/>
          </w:tcPr>
          <w:p>
            <w:pPr>
              <w:framePr w:w="8899" w:h="3163" w:hSpace="288" w:vSpace="317" w:wrap="none" w:vAnchor="text" w:hAnchor="page" w:x="2426" w:y="831"/>
              <w:widowControl w:val="0"/>
              <w:rPr>
                <w:sz w:val="10"/>
                <w:szCs w:val="10"/>
              </w:rPr>
            </w:pPr>
          </w:p>
        </w:tc>
      </w:tr>
      <w:tr>
        <w:trPr>
          <w:trHeight w:val="350" w:hRule="exact"/>
        </w:trPr>
        <w:tc>
          <w:tcPr>
            <w:tcBorders>
              <w:top w:val="single" w:sz="4"/>
            </w:tcBorders>
            <w:shd w:val="clear" w:color="auto" w:fill="auto"/>
            <w:vAlign w:val="top"/>
          </w:tcPr>
          <w:p>
            <w:pPr>
              <w:framePr w:w="8899" w:h="3163" w:hSpace="288" w:vSpace="317" w:wrap="none" w:vAnchor="text" w:hAnchor="page" w:x="2426" w:y="831"/>
              <w:widowControl w:val="0"/>
              <w:rPr>
                <w:sz w:val="10"/>
                <w:szCs w:val="10"/>
              </w:rPr>
            </w:pPr>
          </w:p>
        </w:tc>
        <w:tc>
          <w:tcPr>
            <w:tcBorders>
              <w:top w:val="single" w:sz="4"/>
            </w:tcBorders>
            <w:shd w:val="clear" w:color="auto" w:fill="auto"/>
            <w:vAlign w:val="top"/>
          </w:tcPr>
          <w:p>
            <w:pPr>
              <w:framePr w:w="8899" w:h="3163" w:hSpace="288" w:vSpace="317" w:wrap="none" w:vAnchor="text" w:hAnchor="page" w:x="2426" w:y="831"/>
              <w:widowControl w:val="0"/>
              <w:rPr>
                <w:sz w:val="10"/>
                <w:szCs w:val="10"/>
              </w:rPr>
            </w:pPr>
          </w:p>
        </w:tc>
        <w:tc>
          <w:tcPr>
            <w:tcBorders>
              <w:top w:val="single" w:sz="4"/>
            </w:tcBorders>
            <w:shd w:val="clear" w:color="auto" w:fill="auto"/>
            <w:vAlign w:val="top"/>
          </w:tcPr>
          <w:p>
            <w:pPr>
              <w:framePr w:w="8899" w:h="3163" w:hSpace="288" w:vSpace="317" w:wrap="none" w:vAnchor="text" w:hAnchor="page" w:x="2426" w:y="831"/>
              <w:widowControl w:val="0"/>
              <w:rPr>
                <w:sz w:val="10"/>
                <w:szCs w:val="10"/>
              </w:rPr>
            </w:pPr>
          </w:p>
        </w:tc>
        <w:tc>
          <w:tcPr>
            <w:tcBorders>
              <w:top w:val="single" w:sz="4"/>
            </w:tcBorders>
            <w:shd w:val="clear" w:color="auto" w:fill="auto"/>
            <w:vAlign w:val="top"/>
          </w:tcPr>
          <w:p>
            <w:pPr>
              <w:framePr w:w="8899" w:h="3163" w:hSpace="288" w:vSpace="317" w:wrap="none" w:vAnchor="text" w:hAnchor="page" w:x="2426" w:y="831"/>
              <w:widowControl w:val="0"/>
              <w:rPr>
                <w:sz w:val="10"/>
                <w:szCs w:val="10"/>
              </w:rPr>
            </w:pPr>
          </w:p>
        </w:tc>
        <w:tc>
          <w:tcPr>
            <w:tcBorders>
              <w:top w:val="single" w:sz="4"/>
            </w:tcBorders>
            <w:shd w:val="clear" w:color="auto" w:fill="auto"/>
            <w:vAlign w:val="top"/>
          </w:tcPr>
          <w:p>
            <w:pPr>
              <w:framePr w:w="8899" w:h="3163" w:hSpace="288" w:vSpace="317" w:wrap="none" w:vAnchor="text" w:hAnchor="page" w:x="2426" w:y="831"/>
              <w:widowControl w:val="0"/>
              <w:rPr>
                <w:sz w:val="10"/>
                <w:szCs w:val="10"/>
              </w:rPr>
            </w:pPr>
          </w:p>
        </w:tc>
        <w:tc>
          <w:tcPr>
            <w:tcBorders>
              <w:top w:val="single" w:sz="4"/>
            </w:tcBorders>
            <w:shd w:val="clear" w:color="auto" w:fill="auto"/>
            <w:vAlign w:val="bottom"/>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560"/>
              <w:jc w:val="left"/>
              <w:rPr>
                <w:sz w:val="12"/>
                <w:szCs w:val="12"/>
              </w:rPr>
            </w:pPr>
            <w:r>
              <w:rPr>
                <w:rStyle w:val="CharStyle6"/>
                <w:b/>
                <w:bCs/>
                <w:sz w:val="12"/>
                <w:szCs w:val="12"/>
              </w:rPr>
              <w:t>8 7 %</w:t>
            </w:r>
          </w:p>
        </w:tc>
      </w:tr>
      <w:tr>
        <w:trPr>
          <w:trHeight w:val="365" w:hRule="exact"/>
        </w:trPr>
        <w:tc>
          <w:tcPr>
            <w:tcBorders>
              <w:top w:val="single" w:sz="4"/>
              <w:bottom w:val="single" w:sz="4"/>
            </w:tcBorders>
            <w:shd w:val="clear" w:color="auto" w:fill="auto"/>
            <w:vAlign w:val="top"/>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4,3 %</w:t>
            </w:r>
          </w:p>
        </w:tc>
        <w:tc>
          <w:tcPr>
            <w:tcBorders>
              <w:top w:val="single" w:sz="4"/>
              <w:bottom w:val="single" w:sz="4"/>
            </w:tcBorders>
            <w:shd w:val="clear" w:color="auto" w:fill="auto"/>
            <w:vAlign w:val="top"/>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4,1 %</w:t>
            </w:r>
          </w:p>
        </w:tc>
        <w:tc>
          <w:tcPr>
            <w:tcBorders>
              <w:top w:val="single" w:sz="4"/>
              <w:bottom w:val="single" w:sz="4"/>
            </w:tcBorders>
            <w:shd w:val="clear" w:color="auto" w:fill="auto"/>
            <w:vAlign w:val="top"/>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4,2 %</w:t>
            </w:r>
          </w:p>
        </w:tc>
        <w:tc>
          <w:tcPr>
            <w:tcBorders>
              <w:top w:val="single" w:sz="4"/>
              <w:bottom w:val="single" w:sz="4"/>
            </w:tcBorders>
            <w:shd w:val="clear" w:color="auto" w:fill="auto"/>
            <w:vAlign w:val="top"/>
          </w:tcPr>
          <w:p>
            <w:pPr>
              <w:pStyle w:val="Style5"/>
              <w:keepNext w:val="0"/>
              <w:keepLines w:val="0"/>
              <w:framePr w:w="8899" w:h="3163" w:hSpace="288" w:vSpace="317" w:wrap="none" w:vAnchor="text" w:hAnchor="page" w:x="2426" w:y="831"/>
              <w:widowControl w:val="0"/>
              <w:shd w:val="clear" w:color="auto" w:fill="auto"/>
              <w:bidi w:val="0"/>
              <w:spacing w:before="0" w:after="0" w:line="240" w:lineRule="auto"/>
              <w:ind w:left="0" w:right="0" w:firstLine="0"/>
              <w:jc w:val="center"/>
              <w:rPr>
                <w:sz w:val="12"/>
                <w:szCs w:val="12"/>
              </w:rPr>
            </w:pPr>
            <w:r>
              <w:rPr>
                <w:rStyle w:val="CharStyle6"/>
                <w:b/>
                <w:bCs/>
                <w:sz w:val="12"/>
                <w:szCs w:val="12"/>
              </w:rPr>
              <w:t>6,7 %</w:t>
            </w:r>
          </w:p>
        </w:tc>
        <w:tc>
          <w:tcPr>
            <w:tcBorders>
              <w:bottom w:val="single" w:sz="4"/>
            </w:tcBorders>
            <w:shd w:val="clear" w:color="auto" w:fill="auto"/>
            <w:vAlign w:val="bottom"/>
          </w:tcPr>
          <w:p>
            <w:pPr>
              <w:pStyle w:val="Style5"/>
              <w:keepNext w:val="0"/>
              <w:keepLines w:val="0"/>
              <w:framePr w:w="8899" w:h="3163" w:hSpace="288" w:vSpace="317" w:wrap="none" w:vAnchor="text" w:hAnchor="page" w:x="2426" w:y="831"/>
              <w:widowControl w:val="0"/>
              <w:shd w:val="clear" w:color="auto" w:fill="auto"/>
              <w:tabs>
                <w:tab w:leader="underscore" w:pos="523" w:val="left"/>
                <w:tab w:leader="underscore" w:pos="1526" w:val="left"/>
              </w:tabs>
              <w:bidi w:val="0"/>
              <w:spacing w:before="0" w:after="0" w:line="240" w:lineRule="auto"/>
              <w:ind w:left="0" w:right="0" w:firstLine="0"/>
              <w:jc w:val="center"/>
              <w:rPr>
                <w:sz w:val="36"/>
                <w:szCs w:val="36"/>
              </w:rPr>
            </w:pPr>
            <w:r>
              <w:rPr>
                <w:rStyle w:val="CharStyle6"/>
                <w:rFonts w:ascii="Times New Roman" w:eastAsia="Times New Roman" w:hAnsi="Times New Roman" w:cs="Times New Roman"/>
                <w:color w:val="B7B8B8"/>
                <w:sz w:val="36"/>
                <w:szCs w:val="36"/>
              </w:rPr>
              <w:tab/>
              <w:t>M</w:t>
              <w:tab/>
            </w:r>
          </w:p>
        </w:tc>
        <w:tc>
          <w:tcPr>
            <w:tcBorders>
              <w:bottom w:val="single" w:sz="4"/>
            </w:tcBorders>
            <w:shd w:val="clear" w:color="auto" w:fill="auto"/>
            <w:vAlign w:val="top"/>
          </w:tcPr>
          <w:p>
            <w:pPr>
              <w:framePr w:w="8899" w:h="3163" w:hSpace="288" w:vSpace="317" w:wrap="none" w:vAnchor="text" w:hAnchor="page" w:x="2426" w:y="831"/>
              <w:widowControl w:val="0"/>
              <w:rPr>
                <w:sz w:val="10"/>
                <w:szCs w:val="10"/>
              </w:rPr>
            </w:pPr>
          </w:p>
        </w:tc>
      </w:tr>
    </w:tbl>
    <w:p>
      <w:pPr>
        <w:framePr w:w="8899" w:h="3163" w:hSpace="288" w:vSpace="317" w:wrap="none" w:vAnchor="text" w:hAnchor="page" w:x="2426" w:y="831"/>
        <w:widowControl w:val="0"/>
        <w:spacing w:line="1" w:lineRule="exact"/>
      </w:pPr>
    </w:p>
    <w:p>
      <w:pPr>
        <w:pStyle w:val="Style44"/>
        <w:keepNext w:val="0"/>
        <w:keepLines w:val="0"/>
        <w:framePr w:w="192" w:h="182" w:wrap="none" w:vAnchor="text" w:hAnchor="page" w:x="2138" w:y="1095"/>
        <w:widowControl w:val="0"/>
        <w:shd w:val="clear" w:color="auto" w:fill="auto"/>
        <w:bidi w:val="0"/>
        <w:spacing w:before="0" w:after="0" w:line="240" w:lineRule="auto"/>
        <w:ind w:left="0" w:right="0" w:firstLine="0"/>
        <w:jc w:val="left"/>
        <w:rPr>
          <w:sz w:val="12"/>
          <w:szCs w:val="12"/>
        </w:rPr>
      </w:pPr>
      <w:r>
        <w:rPr>
          <w:rStyle w:val="CharStyle45"/>
          <w:b/>
          <w:bCs/>
          <w:sz w:val="12"/>
          <w:szCs w:val="12"/>
        </w:rPr>
        <w:t>80</w:t>
      </w:r>
    </w:p>
    <w:p>
      <w:pPr>
        <w:pStyle w:val="Style44"/>
        <w:keepNext w:val="0"/>
        <w:keepLines w:val="0"/>
        <w:framePr w:w="187" w:h="182" w:wrap="none" w:vAnchor="text" w:hAnchor="page" w:x="2143" w:y="1445"/>
        <w:widowControl w:val="0"/>
        <w:shd w:val="clear" w:color="auto" w:fill="auto"/>
        <w:bidi w:val="0"/>
        <w:spacing w:before="0" w:after="0" w:line="240" w:lineRule="auto"/>
        <w:ind w:left="0" w:right="0" w:firstLine="0"/>
        <w:jc w:val="left"/>
        <w:rPr>
          <w:sz w:val="12"/>
          <w:szCs w:val="12"/>
        </w:rPr>
      </w:pPr>
      <w:r>
        <w:rPr>
          <w:rStyle w:val="CharStyle45"/>
          <w:b/>
          <w:bCs/>
          <w:sz w:val="12"/>
          <w:szCs w:val="12"/>
        </w:rPr>
        <w:t>70</w:t>
      </w:r>
    </w:p>
    <w:p>
      <w:pPr>
        <w:pStyle w:val="Style44"/>
        <w:keepNext w:val="0"/>
        <w:keepLines w:val="0"/>
        <w:framePr w:w="192" w:h="182" w:wrap="none" w:vAnchor="text" w:hAnchor="page" w:x="2138" w:y="1796"/>
        <w:widowControl w:val="0"/>
        <w:shd w:val="clear" w:color="auto" w:fill="auto"/>
        <w:bidi w:val="0"/>
        <w:spacing w:before="0" w:after="0" w:line="240" w:lineRule="auto"/>
        <w:ind w:left="0" w:right="0" w:firstLine="0"/>
        <w:jc w:val="left"/>
        <w:rPr>
          <w:sz w:val="12"/>
          <w:szCs w:val="12"/>
        </w:rPr>
      </w:pPr>
      <w:r>
        <w:rPr>
          <w:rStyle w:val="CharStyle45"/>
          <w:b/>
          <w:bCs/>
          <w:sz w:val="12"/>
          <w:szCs w:val="12"/>
        </w:rPr>
        <w:t>60</w:t>
      </w:r>
    </w:p>
    <w:p>
      <w:pPr>
        <w:pStyle w:val="Style44"/>
        <w:keepNext w:val="0"/>
        <w:keepLines w:val="0"/>
        <w:framePr w:w="187" w:h="178" w:wrap="none" w:vAnchor="text" w:hAnchor="page" w:x="2143" w:y="2146"/>
        <w:widowControl w:val="0"/>
        <w:shd w:val="clear" w:color="auto" w:fill="auto"/>
        <w:bidi w:val="0"/>
        <w:spacing w:before="0" w:after="0" w:line="240" w:lineRule="auto"/>
        <w:ind w:left="0" w:right="0" w:firstLine="0"/>
        <w:jc w:val="left"/>
        <w:rPr>
          <w:sz w:val="12"/>
          <w:szCs w:val="12"/>
        </w:rPr>
      </w:pPr>
      <w:r>
        <w:rPr>
          <w:rStyle w:val="CharStyle45"/>
          <w:b/>
          <w:bCs/>
          <w:sz w:val="12"/>
          <w:szCs w:val="12"/>
        </w:rPr>
        <w:t>50</w:t>
      </w:r>
    </w:p>
    <w:p>
      <w:pPr>
        <w:pStyle w:val="Style44"/>
        <w:keepNext w:val="0"/>
        <w:keepLines w:val="0"/>
        <w:framePr w:w="192" w:h="158" w:wrap="none" w:vAnchor="text" w:hAnchor="page" w:x="2138" w:y="2497"/>
        <w:widowControl w:val="0"/>
        <w:shd w:val="clear" w:color="auto" w:fill="auto"/>
        <w:bidi w:val="0"/>
        <w:spacing w:before="0" w:after="0" w:line="240" w:lineRule="auto"/>
        <w:ind w:left="0" w:right="0" w:firstLine="0"/>
        <w:jc w:val="left"/>
        <w:rPr>
          <w:sz w:val="12"/>
          <w:szCs w:val="12"/>
        </w:rPr>
      </w:pPr>
      <w:r>
        <w:rPr>
          <w:rStyle w:val="CharStyle45"/>
          <w:b/>
          <w:bCs/>
          <w:sz w:val="12"/>
          <w:szCs w:val="12"/>
        </w:rPr>
        <w:t>40</w:t>
      </w:r>
    </w:p>
    <w:p>
      <w:pPr>
        <w:pStyle w:val="Style44"/>
        <w:keepNext w:val="0"/>
        <w:keepLines w:val="0"/>
        <w:framePr w:w="187" w:h="182" w:wrap="none" w:vAnchor="text" w:hAnchor="page" w:x="2143" w:y="2847"/>
        <w:widowControl w:val="0"/>
        <w:shd w:val="clear" w:color="auto" w:fill="auto"/>
        <w:bidi w:val="0"/>
        <w:spacing w:before="0" w:after="0" w:line="240" w:lineRule="auto"/>
        <w:ind w:left="0" w:right="0" w:firstLine="0"/>
        <w:jc w:val="left"/>
        <w:rPr>
          <w:sz w:val="12"/>
          <w:szCs w:val="12"/>
        </w:rPr>
      </w:pPr>
      <w:r>
        <w:rPr>
          <w:rStyle w:val="CharStyle45"/>
          <w:b/>
          <w:bCs/>
          <w:sz w:val="12"/>
          <w:szCs w:val="12"/>
        </w:rPr>
        <w:t>30</w:t>
      </w:r>
    </w:p>
    <w:p>
      <w:pPr>
        <w:pStyle w:val="Style44"/>
        <w:keepNext w:val="0"/>
        <w:keepLines w:val="0"/>
        <w:framePr w:w="187" w:h="182" w:wrap="none" w:vAnchor="text" w:hAnchor="page" w:x="2143" w:y="3197"/>
        <w:widowControl w:val="0"/>
        <w:shd w:val="clear" w:color="auto" w:fill="auto"/>
        <w:bidi w:val="0"/>
        <w:spacing w:before="0" w:after="0" w:line="240" w:lineRule="auto"/>
        <w:ind w:left="0" w:right="0" w:firstLine="0"/>
        <w:jc w:val="left"/>
        <w:rPr>
          <w:sz w:val="12"/>
          <w:szCs w:val="12"/>
        </w:rPr>
      </w:pPr>
      <w:r>
        <w:rPr>
          <w:rStyle w:val="CharStyle45"/>
          <w:b/>
          <w:bCs/>
          <w:sz w:val="12"/>
          <w:szCs w:val="12"/>
        </w:rPr>
        <w:t>20</w:t>
      </w:r>
    </w:p>
    <w:p>
      <w:pPr>
        <w:pStyle w:val="Style44"/>
        <w:keepNext w:val="0"/>
        <w:keepLines w:val="0"/>
        <w:framePr w:w="182" w:h="182" w:wrap="none" w:vAnchor="text" w:hAnchor="page" w:x="2148" w:y="3548"/>
        <w:widowControl w:val="0"/>
        <w:shd w:val="clear" w:color="auto" w:fill="auto"/>
        <w:bidi w:val="0"/>
        <w:spacing w:before="0" w:after="0" w:line="240" w:lineRule="auto"/>
        <w:ind w:left="0" w:right="0" w:firstLine="0"/>
        <w:jc w:val="left"/>
        <w:rPr>
          <w:sz w:val="12"/>
          <w:szCs w:val="12"/>
        </w:rPr>
      </w:pPr>
      <w:r>
        <w:rPr>
          <w:rStyle w:val="CharStyle45"/>
          <w:b/>
          <w:bCs/>
          <w:sz w:val="12"/>
          <w:szCs w:val="12"/>
        </w:rPr>
        <w:t>10</w:t>
      </w:r>
    </w:p>
    <w:p>
      <w:pPr>
        <w:pStyle w:val="Style44"/>
        <w:keepNext w:val="0"/>
        <w:keepLines w:val="0"/>
        <w:framePr w:w="331" w:h="182" w:wrap="none" w:vAnchor="text" w:hAnchor="page" w:x="2940"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2016</w:t>
      </w:r>
    </w:p>
    <w:p>
      <w:pPr>
        <w:pStyle w:val="Style44"/>
        <w:keepNext w:val="0"/>
        <w:keepLines w:val="0"/>
        <w:framePr w:w="326" w:h="182" w:wrap="none" w:vAnchor="text" w:hAnchor="page" w:x="4452"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2017</w:t>
      </w:r>
    </w:p>
    <w:p>
      <w:pPr>
        <w:pStyle w:val="Style44"/>
        <w:keepNext w:val="0"/>
        <w:keepLines w:val="0"/>
        <w:framePr w:w="336" w:h="182" w:wrap="none" w:vAnchor="text" w:hAnchor="page" w:x="5959"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2018</w:t>
      </w:r>
    </w:p>
    <w:p>
      <w:pPr>
        <w:pStyle w:val="Style44"/>
        <w:keepNext w:val="0"/>
        <w:keepLines w:val="0"/>
        <w:framePr w:w="331" w:h="182" w:wrap="none" w:vAnchor="text" w:hAnchor="page" w:x="7471"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2019</w:t>
      </w:r>
    </w:p>
    <w:p>
      <w:pPr>
        <w:pStyle w:val="Style44"/>
        <w:keepNext w:val="0"/>
        <w:keepLines w:val="0"/>
        <w:framePr w:w="331" w:h="182" w:wrap="none" w:vAnchor="text" w:hAnchor="page" w:x="8983"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2020</w:t>
      </w:r>
    </w:p>
    <w:p>
      <w:pPr>
        <w:pStyle w:val="Style44"/>
        <w:keepNext w:val="0"/>
        <w:keepLines w:val="0"/>
        <w:framePr w:w="326" w:h="182" w:wrap="none" w:vAnchor="text" w:hAnchor="page" w:x="10490" w:y="4129"/>
        <w:widowControl w:val="0"/>
        <w:shd w:val="clear" w:color="auto" w:fill="auto"/>
        <w:bidi w:val="0"/>
        <w:spacing w:before="0" w:after="0" w:line="240" w:lineRule="auto"/>
        <w:ind w:left="0" w:right="0" w:firstLine="0"/>
        <w:jc w:val="left"/>
        <w:rPr>
          <w:sz w:val="12"/>
          <w:szCs w:val="12"/>
        </w:rPr>
      </w:pPr>
      <w:r>
        <w:rPr>
          <w:rStyle w:val="CharStyle45"/>
          <w:b/>
          <w:bCs/>
          <w:sz w:val="12"/>
          <w:szCs w:val="12"/>
        </w:rPr>
        <w:t>2021</w:t>
      </w:r>
    </w:p>
    <w:p>
      <w:pPr>
        <w:pStyle w:val="Style5"/>
        <w:keepNext w:val="0"/>
        <w:keepLines w:val="0"/>
        <w:framePr w:w="874" w:h="216" w:wrap="none" w:vAnchor="text" w:hAnchor="page" w:x="2762" w:y="4638"/>
        <w:widowControl w:val="0"/>
        <w:shd w:val="clear" w:color="auto" w:fill="auto"/>
        <w:bidi w:val="0"/>
        <w:spacing w:before="0" w:after="0" w:line="240" w:lineRule="auto"/>
        <w:ind w:left="0" w:right="0" w:firstLine="0"/>
        <w:jc w:val="left"/>
        <w:rPr>
          <w:sz w:val="16"/>
          <w:szCs w:val="16"/>
        </w:rPr>
      </w:pPr>
      <w:r>
        <w:rPr>
          <w:rStyle w:val="CharStyle6"/>
          <w:sz w:val="16"/>
          <w:szCs w:val="16"/>
        </w:rPr>
        <w:t>Zemní plyn</w:t>
      </w:r>
    </w:p>
    <w:p>
      <w:pPr>
        <w:pStyle w:val="Style5"/>
        <w:keepNext w:val="0"/>
        <w:keepLines w:val="0"/>
        <w:framePr w:w="1258" w:h="235" w:wrap="none" w:vAnchor="text" w:hAnchor="page" w:x="5215" w:y="4599"/>
        <w:widowControl w:val="0"/>
        <w:shd w:val="clear" w:color="auto" w:fill="auto"/>
        <w:bidi w:val="0"/>
        <w:spacing w:before="0" w:after="0" w:line="240" w:lineRule="auto"/>
        <w:ind w:left="0" w:right="0" w:firstLine="0"/>
        <w:jc w:val="left"/>
        <w:rPr>
          <w:sz w:val="16"/>
          <w:szCs w:val="16"/>
        </w:rPr>
      </w:pPr>
      <w:r>
        <w:rPr>
          <w:rStyle w:val="CharStyle6"/>
          <w:sz w:val="16"/>
          <w:szCs w:val="16"/>
        </w:rPr>
        <w:t>Netto výroba ČR</w:t>
      </w:r>
    </w:p>
    <w:p>
      <w:pPr>
        <w:pStyle w:val="Style19"/>
        <w:keepNext w:val="0"/>
        <w:keepLines w:val="0"/>
        <w:framePr w:w="7493" w:h="4032" w:wrap="none" w:vAnchor="text" w:hAnchor="page" w:x="3972" w:y="5473"/>
        <w:widowControl w:val="0"/>
        <w:shd w:val="clear" w:color="auto" w:fill="auto"/>
        <w:bidi w:val="0"/>
        <w:spacing w:before="420" w:after="0"/>
        <w:ind w:left="160" w:right="0" w:firstLine="0"/>
        <w:jc w:val="left"/>
      </w:pPr>
      <w:bookmarkStart w:id="48" w:name="bookmark48"/>
      <w:r>
        <w:rPr>
          <w:rStyle w:val="CharStyle20"/>
        </w:rPr>
        <w:t>Jelikož plynové elektrárny emitují zhruba o polovinu CO</w:t>
      </w:r>
      <w:r>
        <w:rPr>
          <w:rStyle w:val="CharStyle20"/>
          <w:vertAlign w:val="subscript"/>
        </w:rPr>
        <w:t>2</w:t>
      </w:r>
      <w:r>
        <w:rPr>
          <w:rStyle w:val="CharStyle20"/>
        </w:rPr>
        <w:t xml:space="preserve"> na vyrobenou MWh méně než uhelné zdroje, byly považovány do nedávna za vhodný zdroj elektrické energie pro budoucí náhradu uhelných výroben elektřiny a tepla. Tento pohled však v současné době, v kontextu právě probíhající energetické krize mezi Ruskou federací a Evropskou unií, prochází celospolečenskou a odbornou diskuzí. Z důvodu nižšího emisního faktoru se rostoucí cena emisních povolenek dotýká plynových zdrojů méně než uhelných elektráren. Pro výrobu elektrické energie ze zemního plynu ale představuje problém vysoká cena této komodity. Zatímco se referenční cena plynu pro Evropu (nizozemský TTF) pohybovala na počátku pandemie COVID-19 v intervalu 10-20 €/MWh, v roce 2021 již přesáhla hodnotu 160 €/MWh a v roce 2022 cena této komodity dosáhla až 350 €/MWh.</w:t>
      </w:r>
      <w:bookmarkEnd w:id="48"/>
    </w:p>
    <w:p>
      <w:pPr>
        <w:widowControl w:val="0"/>
        <w:spacing w:line="360" w:lineRule="exact"/>
      </w:pPr>
      <w:r>
        <w:drawing>
          <wp:anchor distT="0" distB="0" distL="0" distR="0" simplePos="0" relativeHeight="62914707" behindDoc="1" locked="0" layoutInCell="1" allowOverlap="1">
            <wp:simplePos x="0" y="0"/>
            <wp:positionH relativeFrom="page">
              <wp:posOffset>7398385</wp:posOffset>
            </wp:positionH>
            <wp:positionV relativeFrom="paragraph">
              <wp:posOffset>12700</wp:posOffset>
            </wp:positionV>
            <wp:extent cx="237490" cy="133477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55"/>
                    <a:stretch/>
                  </pic:blipFill>
                  <pic:spPr>
                    <a:xfrm>
                      <a:ext cx="237490" cy="1334770"/>
                    </a:xfrm>
                    <a:prstGeom prst="rect"/>
                  </pic:spPr>
                </pic:pic>
              </a:graphicData>
            </a:graphic>
          </wp:anchor>
        </w:drawing>
      </w:r>
      <w:r>
        <w:drawing>
          <wp:anchor distT="0" distB="0" distL="0" distR="0" simplePos="0" relativeHeight="62914708" behindDoc="1" locked="0" layoutInCell="1" allowOverlap="1">
            <wp:simplePos x="0" y="0"/>
            <wp:positionH relativeFrom="page">
              <wp:posOffset>7398385</wp:posOffset>
            </wp:positionH>
            <wp:positionV relativeFrom="paragraph">
              <wp:posOffset>1337945</wp:posOffset>
            </wp:positionV>
            <wp:extent cx="237490" cy="1334770"/>
            <wp:wrapNone/>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57"/>
                    <a:stretch/>
                  </pic:blipFill>
                  <pic:spPr>
                    <a:xfrm>
                      <a:ext cx="237490" cy="1334770"/>
                    </a:xfrm>
                    <a:prstGeom prst="rect"/>
                  </pic:spPr>
                </pic:pic>
              </a:graphicData>
            </a:graphic>
          </wp:anchor>
        </w:drawing>
      </w:r>
      <w:r>
        <w:drawing>
          <wp:anchor distT="0" distB="0" distL="0" distR="0" simplePos="0" relativeHeight="62914709" behindDoc="1" locked="0" layoutInCell="1" allowOverlap="1">
            <wp:simplePos x="0" y="0"/>
            <wp:positionH relativeFrom="page">
              <wp:posOffset>732155</wp:posOffset>
            </wp:positionH>
            <wp:positionV relativeFrom="paragraph">
              <wp:posOffset>3996055</wp:posOffset>
            </wp:positionV>
            <wp:extent cx="1688465" cy="1365250"/>
            <wp:wrapNone/>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59"/>
                    <a:stretch/>
                  </pic:blipFill>
                  <pic:spPr>
                    <a:xfrm>
                      <a:ext cx="1688465" cy="1365250"/>
                    </a:xfrm>
                    <a:prstGeom prst="rect"/>
                  </pic:spPr>
                </pic:pic>
              </a:graphicData>
            </a:graphic>
          </wp:anchor>
        </w:drawing>
      </w:r>
      <w:r>
        <w:drawing>
          <wp:anchor distT="0" distB="0" distL="0" distR="0" simplePos="0" relativeHeight="62914710" behindDoc="1" locked="0" layoutInCell="1" allowOverlap="1">
            <wp:simplePos x="0" y="0"/>
            <wp:positionH relativeFrom="page">
              <wp:posOffset>7398385</wp:posOffset>
            </wp:positionH>
            <wp:positionV relativeFrom="paragraph">
              <wp:posOffset>2673350</wp:posOffset>
            </wp:positionV>
            <wp:extent cx="237490" cy="1334770"/>
            <wp:wrapNone/>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61"/>
                    <a:stretch/>
                  </pic:blipFill>
                  <pic:spPr>
                    <a:xfrm>
                      <a:ext cx="237490" cy="1334770"/>
                    </a:xfrm>
                    <a:prstGeom prst="rect"/>
                  </pic:spPr>
                </pic:pic>
              </a:graphicData>
            </a:graphic>
          </wp:anchor>
        </w:drawing>
      </w:r>
      <w:r>
        <w:drawing>
          <wp:anchor distT="0" distB="0" distL="0" distR="0" simplePos="0" relativeHeight="62914711" behindDoc="1" locked="0" layoutInCell="1" allowOverlap="1">
            <wp:simplePos x="0" y="0"/>
            <wp:positionH relativeFrom="page">
              <wp:posOffset>7398385</wp:posOffset>
            </wp:positionH>
            <wp:positionV relativeFrom="paragraph">
              <wp:posOffset>4011295</wp:posOffset>
            </wp:positionV>
            <wp:extent cx="237490" cy="1334770"/>
            <wp:wrapNone/>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63"/>
                    <a:stretch/>
                  </pic:blipFill>
                  <pic:spPr>
                    <a:xfrm>
                      <a:ext cx="237490"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type w:val="continuous"/>
          <w:pgSz w:w="12142" w:h="17375"/>
          <w:pgMar w:top="268" w:right="119" w:bottom="581" w:left="119" w:header="0" w:footer="3" w:gutter="0"/>
          <w:cols w:space="720"/>
          <w:noEndnote/>
          <w:rtlGutter/>
          <w:docGrid w:linePitch="360"/>
        </w:sectPr>
      </w:pPr>
    </w:p>
    <w:p>
      <w:pPr>
        <w:pStyle w:val="Style27"/>
        <w:keepNext/>
        <w:keepLines/>
        <w:widowControl w:val="0"/>
        <w:numPr>
          <w:ilvl w:val="2"/>
          <w:numId w:val="7"/>
        </w:numPr>
        <w:shd w:val="clear" w:color="auto" w:fill="auto"/>
        <w:tabs>
          <w:tab w:pos="572" w:val="left"/>
        </w:tabs>
        <w:bidi w:val="0"/>
        <w:spacing w:before="280" w:after="0"/>
        <w:ind w:left="0" w:right="0" w:firstLine="0"/>
        <w:jc w:val="left"/>
      </w:pPr>
      <w:bookmarkStart w:id="49" w:name="bookmark49"/>
      <w:r>
        <w:rPr>
          <w:rStyle w:val="CharStyle28"/>
          <w:b/>
          <w:bCs/>
        </w:rPr>
        <w:t>TEPLÁRENSTVÍ</w:t>
      </w:r>
      <w:bookmarkEnd w:id="49"/>
    </w:p>
    <w:p>
      <w:pPr>
        <w:pStyle w:val="Style19"/>
        <w:keepNext w:val="0"/>
        <w:keepLines w:val="0"/>
        <w:widowControl w:val="0"/>
        <w:shd w:val="clear" w:color="auto" w:fill="auto"/>
        <w:bidi w:val="0"/>
        <w:spacing w:before="0"/>
        <w:ind w:left="0" w:right="0" w:firstLine="0"/>
        <w:jc w:val="left"/>
      </w:pPr>
      <w:r>
        <w:rPr>
          <w:rStyle w:val="CharStyle20"/>
        </w:rPr>
        <w:t>Uhelné zdroje spolu s KVET dodávají teplo pro soustavy CZT většiny velkých měst ČR. Uhlí současně využívají zdroje v závodních energetikách (např. Unipetrol Litvínov, TAMEH Ostrava, Energetika Třinec, Synthesia Pardubice), které zajišťují dodávky technologické páry a elektřiny pro průmyslové závody. Celkově se v České republice za rok 2021 vyrobilo z černého a hnědého uhlí 75,2 PJ tepla, což znamená proti roku 2020 meziroční pokles o 0,96 PJ. Výroba tepla ze všech zdrojů však za rok 2021 činí 161,6 PJ, což naopak představuje meziroční nárůst celkového vyrobeného tepla v ČR o 4,7 PJ. Celkově tedy lze konstatovat, že meziročně klesá podíl výroby tepla z uhelných zdrojů.</w:t>
      </w:r>
    </w:p>
    <w:p>
      <w:pPr>
        <w:pStyle w:val="Style19"/>
        <w:keepNext w:val="0"/>
        <w:keepLines w:val="0"/>
        <w:widowControl w:val="0"/>
        <w:shd w:val="clear" w:color="auto" w:fill="auto"/>
        <w:bidi w:val="0"/>
        <w:spacing w:before="0" w:line="300" w:lineRule="auto"/>
        <w:ind w:left="0" w:right="0" w:firstLine="0"/>
        <w:jc w:val="left"/>
      </w:pPr>
      <w:r>
        <w:rPr>
          <w:rStyle w:val="CharStyle20"/>
        </w:rPr>
        <w:t>Jak již bylo nastíněno v části o hnědém a černém uhlí, v rámci dekarbonizační politiky bude nutné provést hloubkovou transformaci českého teplárenství, jehož významná část je provozována v režimu kombinované výroby tepla a elektřiny (KVET) z uhelných zdrojů.</w:t>
      </w:r>
    </w:p>
    <w:p>
      <w:pPr>
        <w:pStyle w:val="Style19"/>
        <w:keepNext w:val="0"/>
        <w:keepLines w:val="0"/>
        <w:widowControl w:val="0"/>
        <w:shd w:val="clear" w:color="auto" w:fill="auto"/>
        <w:bidi w:val="0"/>
        <w:spacing w:before="0"/>
        <w:ind w:left="0" w:right="0" w:firstLine="0"/>
        <w:jc w:val="left"/>
      </w:pPr>
      <w:r>
        <w:rPr>
          <w:rStyle w:val="CharStyle20"/>
        </w:rPr>
        <w:t>Ještě minulý rok se počítalo s předpokladem, že těžištěm transformace bude konverze tepláren především na zemní plyn, přičemž menší podíl na této změně zaujme biomasa a energetické využití odpadu. V kontextu současného konfliktu na Ukrajině již tento předpoklad není stoprocentní a mnozí provozovatelé zdrojů nyní přehodnocují svá rozhodnutí ohledně palivové transformace zdrojů. Výsledná rozhodnutí lze, s přihlédnutím k legislativním a technickým procesům, očekávat nejdříve v horizontu dvou až tří let. S ohledem na nízkou dostupnost biomasy i TKO však bude pravděpodobně stále za nejvhodnější prostředek transformace českého teplárenství vyhodnocen právě zemní plyn, který bude kompenzovat postupný odchod od uhlí okolo roku 2030.</w:t>
      </w:r>
    </w:p>
    <w:p>
      <w:pPr>
        <w:pStyle w:val="Style19"/>
        <w:keepNext w:val="0"/>
        <w:keepLines w:val="0"/>
        <w:widowControl w:val="0"/>
        <w:shd w:val="clear" w:color="auto" w:fill="auto"/>
        <w:bidi w:val="0"/>
        <w:spacing w:before="0"/>
        <w:ind w:left="0" w:right="0" w:firstLine="0"/>
        <w:jc w:val="left"/>
      </w:pPr>
      <w:r>
        <w:rPr>
          <w:rStyle w:val="CharStyle20"/>
        </w:rPr>
        <w:t>Investice do biomasy a spalování odpadu se stejně jako zavádění nových technologií vyznačují vyššími náklady, než je tomu v případě spalování uhlí. Provedení transformace proto bude podmíněno nastavením opatření, která umožní provozovatelům realizovat investiční záměry (např. investiční nebo provozní podpora). Transformace teplárenství je v tomto hodnocení zdrojové přiměřenosti řešena z pohledu provozu ES ČR s předpokladem, že dojde k nastavení těchto podpůrných opatření.</w:t>
      </w:r>
    </w:p>
    <w:p>
      <w:pPr>
        <w:pStyle w:val="Style27"/>
        <w:keepNext/>
        <w:keepLines/>
        <w:widowControl w:val="0"/>
        <w:numPr>
          <w:ilvl w:val="1"/>
          <w:numId w:val="7"/>
        </w:numPr>
        <w:shd w:val="clear" w:color="auto" w:fill="auto"/>
        <w:tabs>
          <w:tab w:pos="399" w:val="left"/>
        </w:tabs>
        <w:bidi w:val="0"/>
        <w:spacing w:before="0" w:after="0" w:line="300" w:lineRule="auto"/>
        <w:ind w:left="0" w:right="0" w:firstLine="0"/>
        <w:jc w:val="left"/>
      </w:pPr>
      <w:bookmarkStart w:id="51" w:name="bookmark51"/>
      <w:r>
        <w:rPr>
          <w:rStyle w:val="CharStyle28"/>
          <w:b/>
          <w:bCs/>
        </w:rPr>
        <w:t>JADERNÉ ELEKTRÁRNY</w:t>
      </w:r>
      <w:bookmarkEnd w:id="51"/>
    </w:p>
    <w:p>
      <w:pPr>
        <w:pStyle w:val="Style19"/>
        <w:keepNext w:val="0"/>
        <w:keepLines w:val="0"/>
        <w:widowControl w:val="0"/>
        <w:shd w:val="clear" w:color="auto" w:fill="auto"/>
        <w:bidi w:val="0"/>
        <w:spacing w:before="0" w:line="300" w:lineRule="auto"/>
        <w:ind w:left="0" w:right="0" w:firstLine="0"/>
        <w:jc w:val="left"/>
      </w:pPr>
      <w:r>
        <w:rPr>
          <w:rStyle w:val="CharStyle20"/>
        </w:rPr>
        <w:t>V ČR máme dvě lokality s provozovanými jadernými bloky (Temelín a Dukovany) o celkovém netto instalovaném výkonu 4 047 MW a roční netto výrobě zhruba 29 TWh za rok 2021, což z nich činí významnou složku s více než třetinovým podílem na energetickém mixu.</w:t>
      </w:r>
    </w:p>
    <w:p>
      <w:pPr>
        <w:pStyle w:val="Style19"/>
        <w:keepNext w:val="0"/>
        <w:keepLines w:val="0"/>
        <w:widowControl w:val="0"/>
        <w:shd w:val="clear" w:color="auto" w:fill="auto"/>
        <w:bidi w:val="0"/>
        <w:spacing w:before="0" w:line="300" w:lineRule="auto"/>
        <w:ind w:left="0" w:right="0" w:firstLine="0"/>
        <w:jc w:val="left"/>
      </w:pPr>
      <w:r>
        <w:rPr>
          <w:rStyle w:val="CharStyle20"/>
        </w:rPr>
        <w:t>Elektrárna Temelín disponuje dvěma bloky o netto instalovaném výkonu 1 069 MW. Aktuálně platný plán je provozovat bloky elektrárny až na hranici 60 let provozu, tj. do období let 2060 až 2062.</w:t>
      </w:r>
    </w:p>
    <w:p>
      <w:pPr>
        <w:pStyle w:val="Style19"/>
        <w:keepNext w:val="0"/>
        <w:keepLines w:val="0"/>
        <w:widowControl w:val="0"/>
        <w:shd w:val="clear" w:color="auto" w:fill="auto"/>
        <w:bidi w:val="0"/>
        <w:spacing w:before="0"/>
        <w:ind w:left="0" w:right="0" w:firstLine="0"/>
        <w:jc w:val="left"/>
      </w:pPr>
      <w:r>
        <w:rPr>
          <w:rStyle w:val="CharStyle20"/>
        </w:rPr>
        <w:t>Elektrárna Dukovany disponuje čtyřmi bloky o netto instalovaném výkonu 477 MW. Roční netto výroba elektřiny ze všech bloků by dle aktuálního plánu provozovatele v první polovině třicátých let měla být ovlivněna investičními akcemi k prodloužení provozu elektrárny až na hranici 60 let, tj. do období let 2045 až 2047.</w:t>
      </w:r>
    </w:p>
    <w:p>
      <w:pPr>
        <w:pStyle w:val="Style19"/>
        <w:keepNext w:val="0"/>
        <w:keepLines w:val="0"/>
        <w:widowControl w:val="0"/>
        <w:shd w:val="clear" w:color="auto" w:fill="auto"/>
        <w:bidi w:val="0"/>
        <w:spacing w:before="0"/>
        <w:ind w:left="0" w:right="0" w:firstLine="0"/>
        <w:jc w:val="left"/>
      </w:pPr>
      <w:r>
        <w:rPr>
          <w:rStyle w:val="CharStyle20"/>
        </w:rPr>
        <w:t>V simulacích je počítáno s novým jaderným zdrojem (NJZ) v lokalitě Dukovany o netto instalovaném výkonu 1 140 MW. Jeho uvedení do provozu je předpokládáno v roce 2036. Po určité období je tedy uvažováno se souběhem všech stávajících bloků jaderných elektráren společně s novým blokem. Tento předpoklad je nezbytnou podmínkou pro provedení útlumu výroby elektřiny z uhlí a snižování emisní náročnosti energetického mixu ČR.</w:t>
      </w:r>
    </w:p>
    <w:p>
      <w:pPr>
        <w:widowControl w:val="0"/>
        <w:jc w:val="right"/>
        <w:rPr>
          <w:sz w:val="2"/>
          <w:szCs w:val="2"/>
        </w:rPr>
      </w:pPr>
      <w:r>
        <w:drawing>
          <wp:inline>
            <wp:extent cx="6449695" cy="3206750"/>
            <wp:docPr id="77" name="Picutre 77"/>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5"/>
                    <a:stretch/>
                  </pic:blipFill>
                  <pic:spPr>
                    <a:xfrm>
                      <a:ext cx="6449695" cy="3206750"/>
                    </a:xfrm>
                    <a:prstGeom prst="rect"/>
                  </pic:spPr>
                </pic:pic>
              </a:graphicData>
            </a:graphic>
          </wp:inline>
        </w:drawing>
      </w:r>
    </w:p>
    <w:p>
      <w:pPr>
        <w:widowControl w:val="0"/>
        <w:spacing w:after="839" w:line="1" w:lineRule="exact"/>
      </w:pPr>
    </w:p>
    <w:p>
      <w:pPr>
        <w:pStyle w:val="Style27"/>
        <w:keepNext/>
        <w:keepLines/>
        <w:widowControl w:val="0"/>
        <w:numPr>
          <w:ilvl w:val="1"/>
          <w:numId w:val="7"/>
        </w:numPr>
        <w:shd w:val="clear" w:color="auto" w:fill="auto"/>
        <w:tabs>
          <w:tab w:pos="414" w:val="left"/>
        </w:tabs>
        <w:bidi w:val="0"/>
        <w:spacing w:before="0" w:after="0"/>
        <w:ind w:left="0" w:right="0" w:firstLine="0"/>
        <w:jc w:val="left"/>
      </w:pPr>
      <w:bookmarkStart w:id="53" w:name="bookmark53"/>
      <w:r>
        <w:rPr>
          <w:rStyle w:val="CharStyle28"/>
          <w:b/>
          <w:bCs/>
        </w:rPr>
        <w:t>VODNÍ ELEKTRÁRNY</w:t>
      </w:r>
      <w:bookmarkEnd w:id="53"/>
    </w:p>
    <w:p>
      <w:pPr>
        <w:pStyle w:val="Style19"/>
        <w:keepNext w:val="0"/>
        <w:keepLines w:val="0"/>
        <w:widowControl w:val="0"/>
        <w:shd w:val="clear" w:color="auto" w:fill="auto"/>
        <w:bidi w:val="0"/>
        <w:spacing w:before="0" w:after="0"/>
        <w:ind w:left="0" w:right="0" w:firstLine="0"/>
        <w:jc w:val="left"/>
      </w:pPr>
      <w:r>
        <w:rPr>
          <w:rStyle w:val="CharStyle20"/>
        </w:rPr>
        <w:t>V oblasti výroby vodních elektráren se nepředpokládají žádné významnější změny.</w:t>
      </w:r>
    </w:p>
    <w:p>
      <w:pPr>
        <w:pStyle w:val="Style19"/>
        <w:keepNext w:val="0"/>
        <w:keepLines w:val="0"/>
        <w:widowControl w:val="0"/>
        <w:shd w:val="clear" w:color="auto" w:fill="auto"/>
        <w:bidi w:val="0"/>
        <w:spacing w:before="0"/>
        <w:ind w:left="0" w:right="0" w:firstLine="0"/>
        <w:jc w:val="left"/>
      </w:pPr>
      <w:r>
        <w:rPr>
          <w:rStyle w:val="CharStyle20"/>
        </w:rPr>
        <w:t>Z celkového současného netto instalovaného výkonu 2,2 GW vodních elektráren v ČR připadá 0,4 GW na malé vodní elektrárny (MVE, do 10 MW), 0,7 GW na akumulační vodní elektrárny (VE) a 1,2 GW tvoří přečerpávací vodní elektrárny (PVE) Dalešice, Dlouhé Stráně a Štěchovice II. Předpokládá se využití pro poskytování regulačního výkonu, a to jak na přečerpávacích vodních elektrárnách, tak i na elektrárnách Vltavské kaskády. V případě malých vodních elektráren (MVE) se nepředpokládá ve střednědobém horizontu navýšení instalovaného výkonu oproti stávajícímu stavu.</w:t>
      </w:r>
    </w:p>
    <w:p>
      <w:pPr>
        <w:pStyle w:val="Style27"/>
        <w:keepNext/>
        <w:keepLines/>
        <w:widowControl w:val="0"/>
        <w:numPr>
          <w:ilvl w:val="1"/>
          <w:numId w:val="7"/>
        </w:numPr>
        <w:shd w:val="clear" w:color="auto" w:fill="auto"/>
        <w:tabs>
          <w:tab w:pos="419" w:val="left"/>
        </w:tabs>
        <w:bidi w:val="0"/>
        <w:spacing w:before="0" w:after="0" w:line="300" w:lineRule="auto"/>
        <w:ind w:left="0" w:right="0" w:firstLine="0"/>
        <w:jc w:val="left"/>
      </w:pPr>
      <w:bookmarkStart w:id="55" w:name="bookmark55"/>
      <w:r>
        <w:rPr>
          <w:rStyle w:val="CharStyle28"/>
          <w:b/>
          <w:bCs/>
        </w:rPr>
        <w:t>OZE A DECENTRALIZOVANÁ ENERGETIKA</w:t>
      </w:r>
      <w:bookmarkEnd w:id="55"/>
    </w:p>
    <w:p>
      <w:pPr>
        <w:pStyle w:val="Style19"/>
        <w:keepNext w:val="0"/>
        <w:keepLines w:val="0"/>
        <w:widowControl w:val="0"/>
        <w:shd w:val="clear" w:color="auto" w:fill="auto"/>
        <w:bidi w:val="0"/>
        <w:spacing w:before="0" w:line="300" w:lineRule="auto"/>
        <w:ind w:left="0" w:right="0" w:firstLine="0"/>
        <w:jc w:val="left"/>
      </w:pPr>
      <w:r>
        <w:rPr>
          <w:rStyle w:val="CharStyle20"/>
        </w:rPr>
        <w:t>Pro oblast výroby elektřiny na zdrojích s instalovaným výkonem pod 10 MW nebylo provedeno dotazníkové šetření. V rámci modelování se proto vychází z centrálních statistik ČR, predikčních nástrojů EU, dále z výhledů vývoje jednotlivých typů výroben dle koncepčních dokumentů ČR a podkladů korigovaných o aktuálně dosažený stav a předpokládané požadavky na ČR z hlediska rozvoje OZE.</w:t>
      </w:r>
    </w:p>
    <w:p>
      <w:pPr>
        <w:pStyle w:val="Style27"/>
        <w:keepNext/>
        <w:keepLines/>
        <w:widowControl w:val="0"/>
        <w:numPr>
          <w:ilvl w:val="2"/>
          <w:numId w:val="7"/>
        </w:numPr>
        <w:shd w:val="clear" w:color="auto" w:fill="auto"/>
        <w:tabs>
          <w:tab w:pos="567" w:val="left"/>
        </w:tabs>
        <w:bidi w:val="0"/>
        <w:spacing w:before="0" w:after="0" w:line="300" w:lineRule="auto"/>
        <w:ind w:left="0" w:right="0" w:firstLine="0"/>
        <w:jc w:val="left"/>
      </w:pPr>
      <w:bookmarkStart w:id="57" w:name="bookmark57"/>
      <w:r>
        <w:rPr>
          <w:rStyle w:val="CharStyle28"/>
          <w:b/>
          <w:bCs/>
        </w:rPr>
        <w:t>FOTOVOLTAICKÉ A VĚTRNÉ ELEKTRÁRNY</w:t>
      </w:r>
      <w:bookmarkEnd w:id="57"/>
    </w:p>
    <w:p>
      <w:pPr>
        <w:pStyle w:val="Style19"/>
        <w:keepNext w:val="0"/>
        <w:keepLines w:val="0"/>
        <w:widowControl w:val="0"/>
        <w:shd w:val="clear" w:color="auto" w:fill="auto"/>
        <w:bidi w:val="0"/>
        <w:spacing w:before="0" w:after="0" w:line="300" w:lineRule="auto"/>
        <w:ind w:left="0" w:right="0" w:firstLine="0"/>
        <w:jc w:val="left"/>
      </w:pPr>
      <w:r>
        <w:rPr>
          <w:rStyle w:val="CharStyle20"/>
        </w:rPr>
        <w:t>V kategorii fotovoltaických elektráren (FVE) činila dle dat ERÚ na konci roku 2021 celková netto výroba elektřiny 2,1 TWh při celkovém netto instalovaném výkonu 2,1 GW. Běžná doba využití maxima výkonu FVE v ČR je cca 1 000-1 100 h/rok.</w:t>
      </w:r>
    </w:p>
    <w:p>
      <w:pPr>
        <w:pStyle w:val="Style19"/>
        <w:keepNext w:val="0"/>
        <w:keepLines w:val="0"/>
        <w:widowControl w:val="0"/>
        <w:shd w:val="clear" w:color="auto" w:fill="auto"/>
        <w:bidi w:val="0"/>
        <w:spacing w:before="0" w:line="300" w:lineRule="auto"/>
        <w:ind w:left="0" w:right="0" w:firstLine="0"/>
        <w:jc w:val="left"/>
      </w:pPr>
      <w:r>
        <w:rPr>
          <w:rStyle w:val="CharStyle20"/>
        </w:rPr>
        <w:t>V oblasti větrných elektráren (VTE) byla ke konci roku 2021 vykázána celková netto výroba 0,6 TWh při celkovém netto instalovaném výkonu 0,3 GW s dobou využití maxima výkonu 1 772 h/rok.</w:t>
      </w:r>
    </w:p>
    <w:p>
      <w:pPr>
        <w:pStyle w:val="Style19"/>
        <w:keepNext w:val="0"/>
        <w:keepLines w:val="0"/>
        <w:widowControl w:val="0"/>
        <w:shd w:val="clear" w:color="auto" w:fill="auto"/>
        <w:bidi w:val="0"/>
        <w:spacing w:before="0" w:after="160" w:line="300" w:lineRule="auto"/>
        <w:ind w:left="0" w:right="0" w:firstLine="0"/>
        <w:jc w:val="left"/>
      </w:pPr>
      <w:r>
        <w:rPr>
          <w:rStyle w:val="CharStyle20"/>
        </w:rPr>
        <w:t>Analýza modelující budoucí vývoj FVE a VTE vychází ze tří dokumentů, kterými jsou:</w:t>
      </w:r>
    </w:p>
    <w:p>
      <w:pPr>
        <w:pStyle w:val="Style19"/>
        <w:keepNext w:val="0"/>
        <w:keepLines w:val="0"/>
        <w:widowControl w:val="0"/>
        <w:shd w:val="clear" w:color="auto" w:fill="auto"/>
        <w:bidi w:val="0"/>
        <w:spacing w:before="0" w:after="160" w:line="240" w:lineRule="auto"/>
        <w:ind w:left="0" w:right="0" w:firstLine="0"/>
        <w:jc w:val="left"/>
      </w:pPr>
      <w:r>
        <w:rPr>
          <w:rStyle w:val="CharStyle20"/>
          <w:color w:val="006AB4"/>
          <w:sz w:val="22"/>
          <w:szCs w:val="22"/>
        </w:rPr>
        <w:t xml:space="preserve">^ </w:t>
      </w:r>
      <w:r>
        <w:rPr>
          <w:rStyle w:val="CharStyle20"/>
          <w:i/>
          <w:iCs/>
        </w:rPr>
        <w:t>Klimaticky neutrální Česko</w:t>
      </w:r>
      <w:r>
        <w:rPr>
          <w:rStyle w:val="CharStyle20"/>
        </w:rPr>
        <w:t xml:space="preserve"> (McKinsey &amp; Company, 2020)</w:t>
      </w:r>
    </w:p>
    <w:p>
      <w:pPr>
        <w:pStyle w:val="Style19"/>
        <w:keepNext w:val="0"/>
        <w:keepLines w:val="0"/>
        <w:widowControl w:val="0"/>
        <w:shd w:val="clear" w:color="auto" w:fill="auto"/>
        <w:bidi w:val="0"/>
        <w:spacing w:before="0" w:after="160" w:line="271" w:lineRule="auto"/>
        <w:ind w:left="240" w:right="0" w:hanging="240"/>
        <w:jc w:val="left"/>
      </w:pPr>
      <w:r>
        <w:rPr>
          <w:rStyle w:val="CharStyle20"/>
          <w:color w:val="006AB4"/>
          <w:sz w:val="22"/>
          <w:szCs w:val="22"/>
        </w:rPr>
        <w:t xml:space="preserve">^ </w:t>
      </w:r>
      <w:r>
        <w:rPr>
          <w:rStyle w:val="CharStyle20"/>
          <w:i/>
          <w:iCs/>
        </w:rPr>
        <w:t xml:space="preserve">Aktualizace potenciálu větrné energie v České republice z perspektivy roku 2020 </w:t>
      </w:r>
      <w:r>
        <w:rPr>
          <w:rStyle w:val="CharStyle20"/>
        </w:rPr>
        <w:t>(Ústav fyziky atmosféry AV ČR, v.v.i., 2020)</w:t>
      </w:r>
    </w:p>
    <w:p>
      <w:pPr>
        <w:pStyle w:val="Style19"/>
        <w:keepNext w:val="0"/>
        <w:keepLines w:val="0"/>
        <w:widowControl w:val="0"/>
        <w:shd w:val="clear" w:color="auto" w:fill="auto"/>
        <w:bidi w:val="0"/>
        <w:spacing w:before="0" w:line="276" w:lineRule="auto"/>
        <w:ind w:left="240" w:right="0" w:hanging="240"/>
        <w:jc w:val="left"/>
      </w:pPr>
      <w:bookmarkStart w:id="59" w:name="bookmark59"/>
      <w:r>
        <w:rPr>
          <w:rStyle w:val="CharStyle20"/>
          <w:color w:val="006AB4"/>
          <w:sz w:val="22"/>
          <w:szCs w:val="22"/>
        </w:rPr>
        <w:t xml:space="preserve">^ </w:t>
      </w:r>
      <w:r>
        <w:rPr>
          <w:rStyle w:val="CharStyle20"/>
          <w:i/>
          <w:iCs/>
        </w:rPr>
        <w:t>Analýza rozvoje energetických zdrojů do roku 2040 včetně dopadů na bezpečnost a spolehlivost ES ČR</w:t>
      </w:r>
      <w:r>
        <w:rPr>
          <w:rStyle w:val="CharStyle20"/>
        </w:rPr>
        <w:t xml:space="preserve"> (zhotoveno pro sdružení provozovatelů distribučních soustav a provozovatele přenosové soustavy, 2021)</w:t>
      </w:r>
      <w:bookmarkEnd w:id="59"/>
    </w:p>
    <w:p>
      <w:pPr>
        <w:pStyle w:val="Style19"/>
        <w:keepNext w:val="0"/>
        <w:keepLines w:val="0"/>
        <w:widowControl w:val="0"/>
        <w:shd w:val="clear" w:color="auto" w:fill="auto"/>
        <w:bidi w:val="0"/>
        <w:spacing w:before="0" w:after="260"/>
        <w:ind w:left="0" w:right="0" w:firstLine="0"/>
        <w:jc w:val="left"/>
      </w:pPr>
      <w:r>
        <w:rPr>
          <w:rStyle w:val="CharStyle20"/>
        </w:rPr>
        <w:t>První zmiňovaná studie představuje náklady a možné důsledky aktuálně diskutovaných snah o dekarbonizaci a popisuje optimální scénář vývoje ve snaze dosáhnout čisté nulové bilance emisí skleníkových plynů do roku 2050.</w:t>
      </w:r>
    </w:p>
    <w:p>
      <w:pPr>
        <w:pStyle w:val="Style19"/>
        <w:keepNext w:val="0"/>
        <w:keepLines w:val="0"/>
        <w:widowControl w:val="0"/>
        <w:shd w:val="clear" w:color="auto" w:fill="auto"/>
        <w:bidi w:val="0"/>
        <w:spacing w:before="0" w:after="260" w:line="300" w:lineRule="auto"/>
        <w:ind w:left="0" w:right="0" w:firstLine="0"/>
        <w:jc w:val="left"/>
      </w:pPr>
      <w:r>
        <w:rPr>
          <w:rStyle w:val="CharStyle20"/>
        </w:rPr>
        <w:t>Druhá uvedená studie posuzuje větrný potenciál v závislosti na rychlosti větru dle regionů v ČR, typu technologie, ale také s ohledem na vzdálenost od obydlí, podpoře obyvatel a v souladu s rozmístěním chráněných krajinných území.</w:t>
      </w:r>
    </w:p>
    <w:p>
      <w:pPr>
        <w:pStyle w:val="Style19"/>
        <w:keepNext w:val="0"/>
        <w:keepLines w:val="0"/>
        <w:widowControl w:val="0"/>
        <w:shd w:val="clear" w:color="auto" w:fill="auto"/>
        <w:bidi w:val="0"/>
        <w:spacing w:before="0" w:after="180" w:line="300" w:lineRule="auto"/>
        <w:ind w:left="0" w:right="0" w:firstLine="0"/>
        <w:jc w:val="left"/>
      </w:pPr>
      <w:r>
        <w:rPr>
          <w:rStyle w:val="CharStyle20"/>
        </w:rPr>
        <w:t>Třetí predikce bere v potaz možnosti a podmínky dotačních programů pro FVE i VTE, přičemž zároveň mapuje zájem investorů o ně, a může tak posoudit očekávaný dopad zdrojů financování na proměnu struktury zdrojové základny. Mezi nejdůležitější programy podpory patří následující:</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Operační programy (OPTAK, OPŽP^)</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Fond spravedlivé transformace</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Modernizační fond (HEAT, RES+, ENERG ETS_)</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Národní plán obnovy</w:t>
      </w:r>
    </w:p>
    <w:p>
      <w:pPr>
        <w:pStyle w:val="Style19"/>
        <w:keepNext w:val="0"/>
        <w:keepLines w:val="0"/>
        <w:widowControl w:val="0"/>
        <w:shd w:val="clear" w:color="auto" w:fill="auto"/>
        <w:bidi w:val="0"/>
        <w:spacing w:before="0" w:after="340" w:line="240" w:lineRule="auto"/>
        <w:ind w:left="0" w:right="0" w:firstLine="0"/>
        <w:jc w:val="left"/>
      </w:pPr>
      <w:r>
        <w:rPr>
          <w:rStyle w:val="CharStyle20"/>
          <w:color w:val="006AB4"/>
          <w:sz w:val="22"/>
          <w:szCs w:val="22"/>
        </w:rPr>
        <w:t xml:space="preserve">^ </w:t>
      </w:r>
      <w:r>
        <w:rPr>
          <w:rStyle w:val="CharStyle20"/>
        </w:rPr>
        <w:t>Nová zelená úsporám</w:t>
      </w:r>
    </w:p>
    <w:p>
      <w:pPr>
        <w:pStyle w:val="Style19"/>
        <w:keepNext w:val="0"/>
        <w:keepLines w:val="0"/>
        <w:widowControl w:val="0"/>
        <w:shd w:val="clear" w:color="auto" w:fill="auto"/>
        <w:bidi w:val="0"/>
        <w:spacing w:before="0" w:after="260"/>
        <w:ind w:left="0" w:right="0" w:firstLine="0"/>
        <w:jc w:val="left"/>
      </w:pPr>
      <w:r>
        <w:rPr>
          <w:rStyle w:val="CharStyle20"/>
        </w:rPr>
        <w:t>Kromě analýzy dotačních titulů, studie sleduje přírůstky instalovaných výkonů OZE bez dotační podpory a zároveň reflektuje fenomén dožívání stávajících velkých fotovoltaických elektráren. Velké pozemní FVE z let 2009-2010 mají doposud výjimku na zábor zemědělské půdy, tudíž nebude možné tyto zdroje po dožití obnovit.</w:t>
      </w:r>
    </w:p>
    <w:p>
      <w:pPr>
        <w:pStyle w:val="Style19"/>
        <w:keepNext w:val="0"/>
        <w:keepLines w:val="0"/>
        <w:widowControl w:val="0"/>
        <w:shd w:val="clear" w:color="auto" w:fill="auto"/>
        <w:bidi w:val="0"/>
        <w:spacing w:before="0" w:after="260" w:line="300" w:lineRule="auto"/>
        <w:ind w:left="0" w:right="0" w:firstLine="0"/>
        <w:jc w:val="left"/>
      </w:pPr>
      <w:r>
        <w:rPr>
          <w:rStyle w:val="CharStyle20"/>
        </w:rPr>
        <w:t>Predikce FVE a VTE se dělí do následujících možných trajektorií vývoje:</w:t>
      </w:r>
    </w:p>
    <w:p>
      <w:pPr>
        <w:pStyle w:val="Style19"/>
        <w:keepNext w:val="0"/>
        <w:keepLines w:val="0"/>
        <w:widowControl w:val="0"/>
        <w:numPr>
          <w:ilvl w:val="0"/>
          <w:numId w:val="9"/>
        </w:numPr>
        <w:shd w:val="clear" w:color="auto" w:fill="auto"/>
        <w:tabs>
          <w:tab w:pos="349" w:val="left"/>
        </w:tabs>
        <w:bidi w:val="0"/>
        <w:spacing w:before="0" w:after="260" w:line="300" w:lineRule="auto"/>
        <w:ind w:left="0" w:right="0" w:firstLine="0"/>
        <w:jc w:val="left"/>
      </w:pPr>
      <w:r>
        <w:rPr>
          <w:rStyle w:val="CharStyle20"/>
          <w:b/>
          <w:bCs/>
        </w:rPr>
        <w:t>Respondentní a Konzervativní predikce</w:t>
      </w:r>
    </w:p>
    <w:p>
      <w:pPr>
        <w:pStyle w:val="Style19"/>
        <w:keepNext w:val="0"/>
        <w:keepLines w:val="0"/>
        <w:widowControl w:val="0"/>
        <w:shd w:val="clear" w:color="auto" w:fill="auto"/>
        <w:bidi w:val="0"/>
        <w:spacing w:before="0" w:after="480" w:line="300" w:lineRule="auto"/>
        <w:ind w:left="0" w:right="0" w:firstLine="0"/>
        <w:jc w:val="left"/>
      </w:pPr>
      <w:r>
        <w:rPr>
          <w:rStyle w:val="CharStyle20"/>
        </w:rPr>
        <w:t xml:space="preserve">Predikce VTE a FVE odpovídá Realistickému scénáři publikovanému v dokumentu </w:t>
      </w:r>
      <w:r>
        <w:rPr>
          <w:rStyle w:val="CharStyle20"/>
          <w:i/>
          <w:iCs/>
        </w:rPr>
        <w:t>Analýza rozvoje energetických zdrojů do roku 2040 včetně dopadů na bezpečnost a spolehlivost ES ČR</w:t>
      </w:r>
      <w:r>
        <w:rPr>
          <w:rStyle w:val="CharStyle20"/>
        </w:rPr>
        <w:t>. Predikce zohledňuje vliv rizik na investiční proces.</w:t>
      </w:r>
    </w:p>
    <w:p>
      <w:pPr>
        <w:pStyle w:val="Style5"/>
        <w:keepNext w:val="0"/>
        <w:keepLines w:val="0"/>
        <w:widowControl w:val="0"/>
        <w:shd w:val="clear" w:color="auto" w:fill="auto"/>
        <w:tabs>
          <w:tab w:pos="2611" w:val="left"/>
        </w:tabs>
        <w:bidi w:val="0"/>
        <w:spacing w:before="0" w:after="80" w:line="240" w:lineRule="auto"/>
        <w:ind w:left="0" w:right="0" w:firstLine="0"/>
        <w:jc w:val="center"/>
        <w:rPr>
          <w:sz w:val="38"/>
          <w:szCs w:val="38"/>
        </w:rPr>
      </w:pPr>
      <w:r>
        <w:rPr>
          <w:rStyle w:val="CharStyle6"/>
          <w:rFonts w:ascii="Courier New" w:eastAsia="Courier New" w:hAnsi="Courier New" w:cs="Courier New"/>
          <w:color w:val="B7B8B8"/>
          <w:sz w:val="38"/>
          <w:szCs w:val="38"/>
        </w:rPr>
        <w:t>I</w:t>
        <w:tab/>
        <w:t>I</w:t>
      </w:r>
    </w:p>
    <w:p>
      <w:pPr>
        <w:pStyle w:val="Style2"/>
        <w:keepNext w:val="0"/>
        <w:keepLines w:val="0"/>
        <w:widowControl w:val="0"/>
        <w:shd w:val="clear" w:color="auto" w:fill="auto"/>
        <w:bidi w:val="0"/>
        <w:spacing w:before="0" w:after="0" w:line="240" w:lineRule="auto"/>
        <w:ind w:left="0" w:right="0" w:firstLine="0"/>
        <w:jc w:val="left"/>
      </w:pPr>
      <w:r>
        <w:rPr>
          <w:rStyle w:val="CharStyle3"/>
          <w:b/>
          <w:bCs/>
        </w:rPr>
        <w:t>Obr. 4.8 Výhled vývoje netto instalovaného výkonu fotovoltaických a větrných elektráren - Respondentní</w:t>
      </w:r>
    </w:p>
    <w:p>
      <w:pPr>
        <w:widowControl w:val="0"/>
        <w:jc w:val="left"/>
        <w:rPr>
          <w:sz w:val="2"/>
          <w:szCs w:val="2"/>
        </w:rPr>
      </w:pPr>
      <w:r>
        <w:drawing>
          <wp:inline>
            <wp:extent cx="7089775" cy="2480945"/>
            <wp:docPr id="78" name="Picutre 78"/>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7"/>
                    <a:stretch/>
                  </pic:blipFill>
                  <pic:spPr>
                    <a:xfrm>
                      <a:ext cx="7089775" cy="2480945"/>
                    </a:xfrm>
                    <a:prstGeom prst="rect"/>
                  </pic:spPr>
                </pic:pic>
              </a:graphicData>
            </a:graphic>
          </wp:inline>
        </w:drawing>
      </w:r>
      <w:r>
        <w:br w:type="page"/>
      </w:r>
    </w:p>
    <w:p>
      <w:pPr>
        <w:pStyle w:val="Style19"/>
        <w:keepNext w:val="0"/>
        <w:keepLines w:val="0"/>
        <w:widowControl w:val="0"/>
        <w:numPr>
          <w:ilvl w:val="0"/>
          <w:numId w:val="9"/>
        </w:numPr>
        <w:shd w:val="clear" w:color="auto" w:fill="auto"/>
        <w:tabs>
          <w:tab w:pos="295" w:val="left"/>
        </w:tabs>
        <w:bidi w:val="0"/>
        <w:spacing w:before="0" w:line="300" w:lineRule="auto"/>
        <w:ind w:left="0" w:right="0" w:firstLine="0"/>
        <w:jc w:val="left"/>
      </w:pPr>
      <w:r>
        <w:rPr>
          <w:rStyle w:val="CharStyle20"/>
          <w:b/>
          <w:bCs/>
        </w:rPr>
        <w:t>Progresivní predikce</w:t>
      </w:r>
    </w:p>
    <w:p>
      <w:pPr>
        <w:pStyle w:val="Style19"/>
        <w:keepNext w:val="0"/>
        <w:keepLines w:val="0"/>
        <w:widowControl w:val="0"/>
        <w:shd w:val="clear" w:color="auto" w:fill="auto"/>
        <w:bidi w:val="0"/>
        <w:spacing w:before="0" w:after="120" w:line="300" w:lineRule="auto"/>
        <w:ind w:left="0" w:right="0" w:firstLine="0"/>
        <w:jc w:val="left"/>
      </w:pPr>
      <w:r>
        <w:rPr>
          <w:rStyle w:val="CharStyle20"/>
        </w:rPr>
        <w:t xml:space="preserve">Predikce FVE vychází pro celé sledované období z maximalistického scénáře dle dokumentu </w:t>
      </w:r>
      <w:r>
        <w:rPr>
          <w:rStyle w:val="CharStyle20"/>
          <w:i/>
          <w:iCs/>
        </w:rPr>
        <w:t>Analýza rozvoje energetických zdrojů do roku 2040 včetně dopadů na bezpečnost a spolehlivost ES ČR</w:t>
      </w:r>
      <w:r>
        <w:rPr>
          <w:rStyle w:val="CharStyle20"/>
        </w:rPr>
        <w:t xml:space="preserve"> stejně jako VTE v krátkodobém horizontu. Ve střednědobém horizontu se potom predikce instalovaného výkonu VTE zakládá na Konzervativním scénáři z dokumentu </w:t>
      </w:r>
      <w:r>
        <w:rPr>
          <w:rStyle w:val="CharStyle20"/>
          <w:i/>
          <w:iCs/>
        </w:rPr>
        <w:t>Aktualizace potenciálu větrné energie v České republice z perspektivy roku 2020.</w:t>
      </w:r>
    </w:p>
    <w:p>
      <w:pPr>
        <w:pStyle w:val="Style5"/>
        <w:keepNext w:val="0"/>
        <w:keepLines w:val="0"/>
        <w:widowControl w:val="0"/>
        <w:shd w:val="clear" w:color="auto" w:fill="auto"/>
        <w:tabs>
          <w:tab w:pos="2616" w:val="left"/>
        </w:tabs>
        <w:bidi w:val="0"/>
        <w:spacing w:before="0" w:after="0" w:line="240" w:lineRule="auto"/>
        <w:ind w:left="0" w:right="0" w:firstLine="0"/>
        <w:jc w:val="center"/>
        <w:rPr>
          <w:sz w:val="38"/>
          <w:szCs w:val="38"/>
        </w:rPr>
      </w:pPr>
      <w:r>
        <w:rPr>
          <w:rStyle w:val="CharStyle6"/>
          <w:rFonts w:ascii="Courier New" w:eastAsia="Courier New" w:hAnsi="Courier New" w:cs="Courier New"/>
          <w:color w:val="B7B8B8"/>
          <w:sz w:val="38"/>
          <w:szCs w:val="38"/>
        </w:rPr>
        <w:t>I</w:t>
        <w:tab/>
        <w:t>I</w:t>
      </w:r>
    </w:p>
    <w:p>
      <w:pPr>
        <w:widowControl w:val="0"/>
        <w:spacing w:line="1" w:lineRule="exact"/>
        <w:sectPr>
          <w:footnotePr>
            <w:pos w:val="pageBottom"/>
            <w:numFmt w:val="decimal"/>
            <w:numRestart w:val="continuous"/>
          </w:footnotePr>
          <w:pgSz w:w="12142" w:h="17375"/>
          <w:pgMar w:top="979" w:right="891" w:bottom="1522" w:left="891" w:header="0" w:footer="3" w:gutter="3160"/>
          <w:cols w:space="720"/>
          <w:noEndnote/>
          <w:rtlGutter w:val="0"/>
          <w:docGrid w:linePitch="360"/>
        </w:sectPr>
      </w:pPr>
      <w:r>
        <w:drawing>
          <wp:anchor distT="350520" distB="0" distL="252730" distR="0" simplePos="0" relativeHeight="125829400" behindDoc="0" locked="0" layoutInCell="1" allowOverlap="1">
            <wp:simplePos x="0" y="0"/>
            <wp:positionH relativeFrom="margin">
              <wp:posOffset>-1333500</wp:posOffset>
            </wp:positionH>
            <wp:positionV relativeFrom="paragraph">
              <wp:posOffset>350520</wp:posOffset>
            </wp:positionV>
            <wp:extent cx="6419215" cy="2316480"/>
            <wp:wrapTopAndBottom/>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69"/>
                    <a:stretch/>
                  </pic:blipFill>
                  <pic:spPr>
                    <a:xfrm>
                      <a:ext cx="6419215" cy="231648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-1586230</wp:posOffset>
                </wp:positionH>
                <wp:positionV relativeFrom="paragraph">
                  <wp:posOffset>0</wp:posOffset>
                </wp:positionV>
                <wp:extent cx="6096000" cy="149225"/>
                <wp:wrapNone/>
                <wp:docPr id="81" name="Shape 81"/>
                <a:graphic xmlns:a="http://schemas.openxmlformats.org/drawingml/2006/main">
                  <a:graphicData uri="http://schemas.microsoft.com/office/word/2010/wordprocessingShape">
                    <wps:wsp>
                      <wps:cNvSpPr txBox="1"/>
                      <wps:spPr>
                        <a:xfrm>
                          <a:ext cx="609600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Style w:val="CharStyle3"/>
                                <w:b/>
                                <w:bCs/>
                              </w:rPr>
                              <w:t>Obr. 4.9 Výhled vývoje netto instalovaného výkonu fotovoltaických a větrných elektráren - Progresivní predikce</w:t>
                            </w:r>
                          </w:p>
                        </w:txbxContent>
                      </wps:txbx>
                      <wps:bodyPr lIns="0" tIns="0" rIns="0" bIns="0">
                        <a:noAutoFit/>
                      </wps:bodyPr>
                    </wps:wsp>
                  </a:graphicData>
                </a:graphic>
              </wp:anchor>
            </w:drawing>
          </mc:Choice>
          <mc:Fallback>
            <w:pict>
              <v:shape id="_x0000_s1107" type="#_x0000_t202" style="position:absolute;margin-left:-124.90000000000001pt;margin-top:0;width:480.pt;height:11.75pt;z-index:25165773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Style w:val="CharStyle3"/>
                          <w:b/>
                          <w:bCs/>
                        </w:rPr>
                        <w:t>Obr. 4.9 Výhled vývoje netto instalovaného výkonu fotovoltaických a větrných elektráren - Progresivní predikce</w:t>
                      </w:r>
                    </w:p>
                  </w:txbxContent>
                </v:textbox>
                <w10:wrap anchorx="margin"/>
              </v:shape>
            </w:pict>
          </mc:Fallback>
        </mc:AlternateContent>
      </w:r>
    </w:p>
    <w:p>
      <w:pPr>
        <w:widowControl w:val="0"/>
        <w:spacing w:before="24" w:after="24"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305" w:right="0" w:bottom="1571" w:left="0" w:header="0" w:footer="3" w:gutter="0"/>
          <w:cols w:space="720"/>
          <w:noEndnote/>
          <w:rtlGutter w:val="0"/>
          <w:docGrid w:linePitch="360"/>
        </w:sectPr>
      </w:pPr>
    </w:p>
    <w:p>
      <w:pPr>
        <w:widowControl w:val="0"/>
        <w:spacing w:line="1" w:lineRule="exact"/>
      </w:pPr>
      <w:r>
        <w:drawing>
          <wp:anchor distT="0" distB="0" distL="114300" distR="114300" simplePos="0" relativeHeight="125829401" behindDoc="0" locked="0" layoutInCell="1" allowOverlap="1">
            <wp:simplePos x="0" y="0"/>
            <wp:positionH relativeFrom="margin">
              <wp:posOffset>4793615</wp:posOffset>
            </wp:positionH>
            <wp:positionV relativeFrom="paragraph">
              <wp:posOffset>12700</wp:posOffset>
            </wp:positionV>
            <wp:extent cx="255905" cy="1365250"/>
            <wp:wrapSquare wrapText="bothSides"/>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71"/>
                    <a:stretch/>
                  </pic:blipFill>
                  <pic:spPr>
                    <a:xfrm>
                      <a:ext cx="255905" cy="1365250"/>
                    </a:xfrm>
                    <a:prstGeom prst="rect"/>
                  </pic:spPr>
                </pic:pic>
              </a:graphicData>
            </a:graphic>
          </wp:anchor>
        </w:drawing>
      </w:r>
    </w:p>
    <w:p>
      <w:pPr>
        <w:pStyle w:val="Style19"/>
        <w:keepNext w:val="0"/>
        <w:keepLines w:val="0"/>
        <w:widowControl w:val="0"/>
        <w:numPr>
          <w:ilvl w:val="0"/>
          <w:numId w:val="9"/>
        </w:numPr>
        <w:shd w:val="clear" w:color="auto" w:fill="auto"/>
        <w:tabs>
          <w:tab w:pos="274" w:val="left"/>
        </w:tabs>
        <w:bidi w:val="0"/>
        <w:spacing w:before="0" w:after="300" w:line="240" w:lineRule="auto"/>
        <w:ind w:left="0" w:right="0" w:firstLine="0"/>
        <w:jc w:val="left"/>
      </w:pPr>
      <w:r>
        <w:rPr>
          <w:rStyle w:val="CharStyle20"/>
          <w:b/>
          <w:bCs/>
        </w:rPr>
        <w:t>Dekarbonizační predikce</w:t>
      </w:r>
    </w:p>
    <w:p>
      <w:pPr>
        <w:pStyle w:val="Style19"/>
        <w:keepNext w:val="0"/>
        <w:keepLines w:val="0"/>
        <w:widowControl w:val="0"/>
        <w:shd w:val="clear" w:color="auto" w:fill="auto"/>
        <w:bidi w:val="0"/>
        <w:spacing w:before="0" w:after="0" w:line="300" w:lineRule="auto"/>
        <w:ind w:left="0" w:right="0" w:firstLine="0"/>
        <w:jc w:val="left"/>
        <w:sectPr>
          <w:footnotePr>
            <w:pos w:val="pageBottom"/>
            <w:numFmt w:val="decimal"/>
            <w:numRestart w:val="continuous"/>
          </w:footnotePr>
          <w:type w:val="continuous"/>
          <w:pgSz w:w="12142" w:h="17375"/>
          <w:pgMar w:top="1305" w:right="1027" w:bottom="1571" w:left="1027" w:header="0" w:footer="3" w:gutter="3086"/>
          <w:cols w:space="720"/>
          <w:noEndnote/>
          <w:rtlGutter w:val="0"/>
          <w:docGrid w:linePitch="360"/>
        </w:sectPr>
      </w:pPr>
      <w:r>
        <w:rPr>
          <w:rStyle w:val="CharStyle20"/>
        </w:rPr>
        <w:t xml:space="preserve">Jako podklad pro predikci FVE posloužila stude </w:t>
      </w:r>
      <w:r>
        <w:rPr>
          <w:rStyle w:val="CharStyle20"/>
          <w:i/>
          <w:iCs/>
        </w:rPr>
        <w:t>Klimaticky neutrální Česko - Cesty k dekarbonizaci ekonomiky</w:t>
      </w:r>
      <w:r>
        <w:rPr>
          <w:rStyle w:val="CharStyle20"/>
        </w:rPr>
        <w:t xml:space="preserve"> (McKinsey &amp; Company, 2020) a jako podklad pro predikci VTE byla použita </w:t>
      </w:r>
      <w:r>
        <w:rPr>
          <w:rStyle w:val="CharStyle20"/>
          <w:i/>
          <w:iCs/>
        </w:rPr>
        <w:t>Aktualizace potenciálu větrné energie v České republice z perspektivy roku 2020</w:t>
      </w:r>
      <w:r>
        <w:rPr>
          <w:rStyle w:val="CharStyle20"/>
        </w:rPr>
        <w:t xml:space="preserve"> (Akademie věd).</w:t>
      </w: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003" w:right="0" w:bottom="582" w:left="0" w:header="0" w:footer="3" w:gutter="0"/>
          <w:cols w:space="720"/>
          <w:noEndnote/>
          <w:rtlGutter w:val="0"/>
          <w:docGrid w:linePitch="360"/>
        </w:sectPr>
      </w:pPr>
    </w:p>
    <w:p>
      <w:pPr>
        <w:pStyle w:val="Style2"/>
        <w:keepNext w:val="0"/>
        <w:keepLines w:val="0"/>
        <w:framePr w:w="9302" w:h="240" w:wrap="none" w:vAnchor="text" w:hAnchor="page" w:x="1554" w:y="21"/>
        <w:widowControl w:val="0"/>
        <w:shd w:val="clear" w:color="auto" w:fill="auto"/>
        <w:bidi w:val="0"/>
        <w:spacing w:before="0" w:after="0" w:line="240" w:lineRule="auto"/>
        <w:ind w:left="0" w:right="0" w:firstLine="0"/>
        <w:jc w:val="left"/>
      </w:pPr>
      <w:bookmarkStart w:id="61" w:name="bookmark61"/>
      <w:r>
        <w:rPr>
          <w:rStyle w:val="CharStyle3"/>
          <w:b/>
          <w:bCs/>
        </w:rPr>
        <w:t>Obr. 4.10 Výhled vývoje netto instalovaného výkonu fotovoltaických a větrných elektráren - Dekarbonizační</w:t>
      </w:r>
      <w:bookmarkEnd w:id="61"/>
    </w:p>
    <w:p>
      <w:pPr>
        <w:widowControl w:val="0"/>
        <w:spacing w:line="360" w:lineRule="exact"/>
      </w:pPr>
      <w:r>
        <w:drawing>
          <wp:anchor distT="189230" distB="0" distL="15240" distR="0" simplePos="0" relativeHeight="62914712" behindDoc="1" locked="0" layoutInCell="1" allowOverlap="1">
            <wp:simplePos x="0" y="0"/>
            <wp:positionH relativeFrom="page">
              <wp:posOffset>1001395</wp:posOffset>
            </wp:positionH>
            <wp:positionV relativeFrom="paragraph">
              <wp:posOffset>201930</wp:posOffset>
            </wp:positionV>
            <wp:extent cx="6656705" cy="2480945"/>
            <wp:wrapNone/>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73"/>
                    <a:stretch/>
                  </pic:blipFill>
                  <pic:spPr>
                    <a:xfrm>
                      <a:ext cx="6656705" cy="24809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type w:val="continuous"/>
          <w:pgSz w:w="12142" w:h="17375"/>
          <w:pgMar w:top="1003" w:right="119" w:bottom="582" w:left="119" w:header="0" w:footer="3" w:gutter="1243"/>
          <w:cols w:space="720"/>
          <w:noEndnote/>
          <w:rtlGutter w:val="0"/>
          <w:docGrid w:linePitch="360"/>
        </w:sectPr>
      </w:pPr>
    </w:p>
    <w:p>
      <w:pPr>
        <w:pStyle w:val="Style27"/>
        <w:keepNext/>
        <w:keepLines/>
        <w:widowControl w:val="0"/>
        <w:numPr>
          <w:ilvl w:val="2"/>
          <w:numId w:val="7"/>
        </w:numPr>
        <w:shd w:val="clear" w:color="auto" w:fill="auto"/>
        <w:tabs>
          <w:tab w:pos="572" w:val="left"/>
        </w:tabs>
        <w:bidi w:val="0"/>
        <w:spacing w:before="0" w:after="260"/>
        <w:ind w:left="0" w:right="0" w:firstLine="0"/>
        <w:jc w:val="left"/>
      </w:pPr>
      <w:bookmarkStart w:id="64" w:name="bookmark64"/>
      <w:r>
        <w:rPr>
          <w:rStyle w:val="CharStyle28"/>
          <w:b/>
          <w:bCs/>
        </w:rPr>
        <w:t>BIOPLYNOVÉ STANICE A VYUŽITÍ BIOMASY</w:t>
      </w:r>
      <w:bookmarkEnd w:id="64"/>
    </w:p>
    <w:p>
      <w:pPr>
        <w:pStyle w:val="Style27"/>
        <w:keepNext/>
        <w:keepLines/>
        <w:widowControl w:val="0"/>
        <w:shd w:val="clear" w:color="auto" w:fill="auto"/>
        <w:bidi w:val="0"/>
        <w:spacing w:before="0" w:after="0"/>
        <w:ind w:left="0" w:right="0" w:firstLine="0"/>
        <w:jc w:val="left"/>
      </w:pPr>
      <w:r>
        <w:rPr>
          <w:rStyle w:val="CharStyle28"/>
          <w:b/>
          <w:bCs/>
        </w:rPr>
        <w:t>BIOPLYNOVÉ STANICE</w:t>
      </w:r>
    </w:p>
    <w:p>
      <w:pPr>
        <w:pStyle w:val="Style19"/>
        <w:keepNext w:val="0"/>
        <w:keepLines w:val="0"/>
        <w:widowControl w:val="0"/>
        <w:shd w:val="clear" w:color="auto" w:fill="auto"/>
        <w:bidi w:val="0"/>
        <w:spacing w:before="0" w:after="640"/>
        <w:ind w:left="0" w:right="0" w:firstLine="0"/>
        <w:jc w:val="left"/>
      </w:pPr>
      <w:r>
        <w:rPr>
          <w:rStyle w:val="CharStyle20"/>
        </w:rPr>
        <w:t>Většina bioplynových stanic (BPS) v ČR vznikala v době platnosti zákona o POZE (Zákon č. 180/2005 Sb. o podpoře výroby elektřiny z obnovitelných zdrojů energie), konkrétně mezi lety 2006 a 2013. Zdroje uvedené do provozu do roku 2012 jsou provozovány především s využitím zelených bonusů (pouze malý podíl v režimu pevné výkupní ceny) a zdroje zprovozněné v roce 2013 jsou podporovány na základě hodinového zeleného bonusu (tj. výše zeleného bonusu je stanovena specificky pro každou hodinu v různé výši). BPS byly zpravidla koncipovány na využívání vedlejších produktů ze zemědělství a cíleně pěstované biomasy, a jsou tedy adaptovány na příjem tekutých substrátů (běžně kejda) a tuhé biomasy (senáže, siláže, cukrovarnické řízky, odpadní zbytky plodin atd.).</w:t>
      </w:r>
    </w:p>
    <w:p>
      <w:pPr>
        <w:pStyle w:val="Style15"/>
        <w:keepNext/>
        <w:keepLines/>
        <w:widowControl w:val="0"/>
        <w:shd w:val="clear" w:color="auto" w:fill="auto"/>
        <w:bidi w:val="0"/>
        <w:spacing w:before="0" w:after="520" w:line="240" w:lineRule="auto"/>
        <w:ind w:left="0" w:right="0" w:firstLine="0"/>
        <w:jc w:val="left"/>
      </w:pPr>
      <w:bookmarkStart w:id="66" w:name="bookmark66"/>
      <w:r>
        <w:rPr>
          <w:rStyle w:val="CharStyle16"/>
          <w:b/>
          <w:bCs/>
        </w:rPr>
        <w:t>Obr. 4.11 Počet a brutto instalovaný výkon bioplynových stanic (BPS) dle typu v roce 2022</w:t>
      </w:r>
      <w:bookmarkEnd w:id="66"/>
    </w:p>
    <w:p>
      <w:pPr>
        <w:pStyle w:val="Style19"/>
        <w:keepNext w:val="0"/>
        <w:keepLines w:val="0"/>
        <w:widowControl w:val="0"/>
        <w:shd w:val="clear" w:color="auto" w:fill="auto"/>
        <w:bidi w:val="0"/>
        <w:spacing w:before="0" w:after="260" w:line="240" w:lineRule="auto"/>
        <w:ind w:left="0" w:right="1140" w:firstLine="0"/>
        <w:jc w:val="right"/>
      </w:pPr>
      <w:r>
        <mc:AlternateContent>
          <mc:Choice Requires="wps">
            <w:drawing>
              <wp:anchor distT="0" distB="2599690" distL="708660" distR="1135380" simplePos="0" relativeHeight="125829402" behindDoc="0" locked="0" layoutInCell="1" allowOverlap="1">
                <wp:simplePos x="0" y="0"/>
                <wp:positionH relativeFrom="margin">
                  <wp:posOffset>1260475</wp:posOffset>
                </wp:positionH>
                <wp:positionV relativeFrom="paragraph">
                  <wp:posOffset>12700</wp:posOffset>
                </wp:positionV>
                <wp:extent cx="603250" cy="158750"/>
                <wp:wrapSquare wrapText="right"/>
                <wp:docPr id="87" name="Shape 87"/>
                <a:graphic xmlns:a="http://schemas.openxmlformats.org/drawingml/2006/main">
                  <a:graphicData uri="http://schemas.microsoft.com/office/word/2010/wordprocessingShape">
                    <wps:wsp>
                      <wps:cNvSpPr txBox="1"/>
                      <wps:spPr>
                        <a:xfrm>
                          <a:ext cx="603250" cy="158750"/>
                        </a:xfrm>
                        <a:prstGeom prst="rect"/>
                        <a:solidFill>
                          <a:srgbClr val="F7FCFF"/>
                        </a:solid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b/>
                                <w:bCs/>
                                <w:color w:val="006AB4"/>
                              </w:rPr>
                              <w:t>POČET BPS</w:t>
                            </w:r>
                          </w:p>
                        </w:txbxContent>
                      </wps:txbx>
                      <wps:bodyPr wrap="none" lIns="0" tIns="0" rIns="0" bIns="0">
                        <a:noAutoFit/>
                      </wps:bodyPr>
                    </wps:wsp>
                  </a:graphicData>
                </a:graphic>
              </wp:anchor>
            </w:drawing>
          </mc:Choice>
          <mc:Fallback>
            <w:pict>
              <v:shape id="_x0000_s1113" type="#_x0000_t202" style="position:absolute;margin-left:99.25pt;margin-top:1.pt;width:47.5pt;height:12.5pt;z-index:-125829351;mso-wrap-distance-left:55.800000000000004pt;mso-wrap-distance-right:89.400000000000006pt;mso-wrap-distance-bottom:204.70000000000002pt;mso-position-horizontal-relative:margin" fillcolor="#F7FCF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b/>
                          <w:bCs/>
                          <w:color w:val="006AB4"/>
                        </w:rPr>
                        <w:t>POČET BPS</w:t>
                      </w:r>
                    </w:p>
                  </w:txbxContent>
                </v:textbox>
                <w10:wrap type="square" side="right" anchorx="margin"/>
              </v:shape>
            </w:pict>
          </mc:Fallback>
        </mc:AlternateContent>
      </w:r>
      <w:r>
        <mc:AlternateContent>
          <mc:Choice Requires="wps">
            <w:drawing>
              <wp:anchor distT="328930" distB="1765300" distL="1336675" distR="113665" simplePos="0" relativeHeight="125829404" behindDoc="0" locked="0" layoutInCell="1" allowOverlap="1">
                <wp:simplePos x="0" y="0"/>
                <wp:positionH relativeFrom="margin">
                  <wp:posOffset>1888490</wp:posOffset>
                </wp:positionH>
                <wp:positionV relativeFrom="paragraph">
                  <wp:posOffset>341630</wp:posOffset>
                </wp:positionV>
                <wp:extent cx="996950" cy="664210"/>
                <wp:wrapSquare wrapText="right"/>
                <wp:docPr id="89" name="Shape 89"/>
                <a:graphic xmlns:a="http://schemas.openxmlformats.org/drawingml/2006/main">
                  <a:graphicData uri="http://schemas.microsoft.com/office/word/2010/wordprocessingShape">
                    <wps:wsp>
                      <wps:cNvSpPr txBox="1"/>
                      <wps:spPr>
                        <a:xfrm>
                          <a:ext cx="996950" cy="664210"/>
                        </a:xfrm>
                        <a:prstGeom prst="rect"/>
                        <a:solidFill>
                          <a:srgbClr val="F7FCFF"/>
                        </a:solidFill>
                      </wps:spPr>
                      <wps:txbx>
                        <w:txbxContent>
                          <w:p>
                            <w:pPr>
                              <w:pStyle w:val="Style37"/>
                              <w:keepNext w:val="0"/>
                              <w:keepLines w:val="0"/>
                              <w:widowControl w:val="0"/>
                              <w:shd w:val="clear" w:color="auto" w:fill="auto"/>
                              <w:bidi w:val="0"/>
                              <w:spacing w:before="0" w:after="0" w:line="254" w:lineRule="auto"/>
                              <w:ind w:left="0" w:right="0" w:firstLine="0"/>
                              <w:jc w:val="center"/>
                            </w:pPr>
                            <w:r>
                              <w:rPr>
                                <w:rStyle w:val="CharStyle38"/>
                                <w:b/>
                                <w:bCs/>
                              </w:rPr>
                              <w:t>Skládkový plyn</w:t>
                              <w:br/>
                              <w:t>40 BPS</w:t>
                            </w:r>
                          </w:p>
                          <w:p>
                            <w:pPr>
                              <w:pStyle w:val="Style37"/>
                              <w:keepNext w:val="0"/>
                              <w:keepLines w:val="0"/>
                              <w:widowControl w:val="0"/>
                              <w:shd w:val="clear" w:color="auto" w:fill="auto"/>
                              <w:bidi w:val="0"/>
                              <w:spacing w:before="0" w:after="40" w:line="254" w:lineRule="auto"/>
                              <w:ind w:left="0" w:right="0" w:firstLine="360"/>
                              <w:jc w:val="left"/>
                            </w:pPr>
                            <w:r>
                              <w:rPr>
                                <w:rStyle w:val="CharStyle38"/>
                                <w:b/>
                                <w:bCs/>
                              </w:rPr>
                              <w:t>8 %</w:t>
                            </w:r>
                          </w:p>
                          <w:p>
                            <w:pPr>
                              <w:pStyle w:val="Style37"/>
                              <w:keepNext w:val="0"/>
                              <w:keepLines w:val="0"/>
                              <w:widowControl w:val="0"/>
                              <w:shd w:val="clear" w:color="auto" w:fill="auto"/>
                              <w:bidi w:val="0"/>
                              <w:spacing w:before="0" w:after="0" w:line="254" w:lineRule="auto"/>
                              <w:ind w:left="0" w:right="0" w:firstLine="0"/>
                              <w:jc w:val="center"/>
                            </w:pPr>
                            <w:r>
                              <w:rPr>
                                <w:rStyle w:val="CharStyle38"/>
                                <w:b/>
                                <w:bCs/>
                              </w:rPr>
                              <w:t>Kalový plyn</w:t>
                              <w:br/>
                              <w:t>66 BPS</w:t>
                              <w:br/>
                              <w:t>12 %</w:t>
                            </w:r>
                          </w:p>
                        </w:txbxContent>
                      </wps:txbx>
                      <wps:bodyPr lIns="0" tIns="0" rIns="0" bIns="0">
                        <a:noAutoFit/>
                      </wps:bodyPr>
                    </wps:wsp>
                  </a:graphicData>
                </a:graphic>
              </wp:anchor>
            </w:drawing>
          </mc:Choice>
          <mc:Fallback>
            <w:pict>
              <v:shape id="_x0000_s1115" type="#_x0000_t202" style="position:absolute;margin-left:148.70000000000002pt;margin-top:26.900000000000002pt;width:78.5pt;height:52.300000000000004pt;z-index:-125829349;mso-wrap-distance-left:105.25pt;mso-wrap-distance-top:25.900000000000002pt;mso-wrap-distance-right:8.9500000000000011pt;mso-wrap-distance-bottom:139.pt;mso-position-horizontal-relative:margin" fillcolor="#F7FCFF" stroked="f">
                <v:textbox inset="0,0,0,0">
                  <w:txbxContent>
                    <w:p>
                      <w:pPr>
                        <w:pStyle w:val="Style37"/>
                        <w:keepNext w:val="0"/>
                        <w:keepLines w:val="0"/>
                        <w:widowControl w:val="0"/>
                        <w:shd w:val="clear" w:color="auto" w:fill="auto"/>
                        <w:bidi w:val="0"/>
                        <w:spacing w:before="0" w:after="0" w:line="254" w:lineRule="auto"/>
                        <w:ind w:left="0" w:right="0" w:firstLine="0"/>
                        <w:jc w:val="center"/>
                      </w:pPr>
                      <w:r>
                        <w:rPr>
                          <w:rStyle w:val="CharStyle38"/>
                          <w:b/>
                          <w:bCs/>
                        </w:rPr>
                        <w:t>Skládkový plyn</w:t>
                        <w:br/>
                        <w:t>40 BPS</w:t>
                      </w:r>
                    </w:p>
                    <w:p>
                      <w:pPr>
                        <w:pStyle w:val="Style37"/>
                        <w:keepNext w:val="0"/>
                        <w:keepLines w:val="0"/>
                        <w:widowControl w:val="0"/>
                        <w:shd w:val="clear" w:color="auto" w:fill="auto"/>
                        <w:bidi w:val="0"/>
                        <w:spacing w:before="0" w:after="40" w:line="254" w:lineRule="auto"/>
                        <w:ind w:left="0" w:right="0" w:firstLine="360"/>
                        <w:jc w:val="left"/>
                      </w:pPr>
                      <w:r>
                        <w:rPr>
                          <w:rStyle w:val="CharStyle38"/>
                          <w:b/>
                          <w:bCs/>
                        </w:rPr>
                        <w:t>8 %</w:t>
                      </w:r>
                    </w:p>
                    <w:p>
                      <w:pPr>
                        <w:pStyle w:val="Style37"/>
                        <w:keepNext w:val="0"/>
                        <w:keepLines w:val="0"/>
                        <w:widowControl w:val="0"/>
                        <w:shd w:val="clear" w:color="auto" w:fill="auto"/>
                        <w:bidi w:val="0"/>
                        <w:spacing w:before="0" w:after="0" w:line="254" w:lineRule="auto"/>
                        <w:ind w:left="0" w:right="0" w:firstLine="0"/>
                        <w:jc w:val="center"/>
                      </w:pPr>
                      <w:r>
                        <w:rPr>
                          <w:rStyle w:val="CharStyle38"/>
                          <w:b/>
                          <w:bCs/>
                        </w:rPr>
                        <w:t>Kalový plyn</w:t>
                        <w:br/>
                        <w:t>66 BPS</w:t>
                        <w:br/>
                        <w:t>12 %</w:t>
                      </w:r>
                    </w:p>
                  </w:txbxContent>
                </v:textbox>
                <w10:wrap type="square" side="right" anchorx="margin"/>
              </v:shape>
            </w:pict>
          </mc:Fallback>
        </mc:AlternateContent>
      </w:r>
      <w:r>
        <w:drawing>
          <wp:anchor distT="475615" distB="149225" distL="187325" distR="480060" simplePos="0" relativeHeight="125829406" behindDoc="0" locked="0" layoutInCell="1" allowOverlap="1">
            <wp:simplePos x="0" y="0"/>
            <wp:positionH relativeFrom="margin">
              <wp:posOffset>739140</wp:posOffset>
            </wp:positionH>
            <wp:positionV relativeFrom="paragraph">
              <wp:posOffset>488315</wp:posOffset>
            </wp:positionV>
            <wp:extent cx="1779905" cy="2133600"/>
            <wp:wrapSquare wrapText="right"/>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75"/>
                    <a:stretch/>
                  </pic:blipFill>
                  <pic:spPr>
                    <a:xfrm>
                      <a:ext cx="1779905" cy="213360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666115</wp:posOffset>
                </wp:positionH>
                <wp:positionV relativeFrom="paragraph">
                  <wp:posOffset>2451100</wp:posOffset>
                </wp:positionV>
                <wp:extent cx="341630" cy="320040"/>
                <wp:wrapNone/>
                <wp:docPr id="93" name="Shape 93"/>
                <a:graphic xmlns:a="http://schemas.openxmlformats.org/drawingml/2006/main">
                  <a:graphicData uri="http://schemas.microsoft.com/office/word/2010/wordprocessingShape">
                    <wps:wsp>
                      <wps:cNvSpPr txBox="1"/>
                      <wps:spPr>
                        <a:xfrm>
                          <a:ext cx="341630" cy="320040"/>
                        </a:xfrm>
                        <a:prstGeom prst="rect"/>
                        <a:noFill/>
                      </wps:spPr>
                      <wps:txbx>
                        <w:txbxContent>
                          <w:p>
                            <w:pPr>
                              <w:pStyle w:val="Style2"/>
                              <w:keepNext w:val="0"/>
                              <w:keepLines w:val="0"/>
                              <w:widowControl w:val="0"/>
                              <w:shd w:val="clear" w:color="auto" w:fill="auto"/>
                              <w:bidi w:val="0"/>
                              <w:spacing w:before="0" w:after="0" w:line="254" w:lineRule="auto"/>
                              <w:ind w:left="0" w:right="0" w:firstLine="0"/>
                              <w:jc w:val="center"/>
                              <w:rPr>
                                <w:sz w:val="13"/>
                                <w:szCs w:val="13"/>
                              </w:rPr>
                            </w:pPr>
                            <w:r>
                              <w:rPr>
                                <w:rStyle w:val="CharStyle3"/>
                                <w:b/>
                                <w:bCs/>
                                <w:color w:val="000000"/>
                                <w:sz w:val="13"/>
                                <w:szCs w:val="13"/>
                              </w:rPr>
                              <w:t>Bioplyn 416 BPS 80 %</w:t>
                            </w:r>
                          </w:p>
                        </w:txbxContent>
                      </wps:txbx>
                      <wps:bodyPr lIns="0" tIns="0" rIns="0" bIns="0">
                        <a:noAutoFit/>
                      </wps:bodyPr>
                    </wps:wsp>
                  </a:graphicData>
                </a:graphic>
              </wp:anchor>
            </w:drawing>
          </mc:Choice>
          <mc:Fallback>
            <w:pict>
              <v:shape id="_x0000_s1119" type="#_x0000_t202" style="position:absolute;margin-left:52.450000000000003pt;margin-top:193.pt;width:26.900000000000002pt;height:25.199999999999999pt;z-index:25165773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54" w:lineRule="auto"/>
                        <w:ind w:left="0" w:right="0" w:firstLine="0"/>
                        <w:jc w:val="center"/>
                        <w:rPr>
                          <w:sz w:val="13"/>
                          <w:szCs w:val="13"/>
                        </w:rPr>
                      </w:pPr>
                      <w:r>
                        <w:rPr>
                          <w:rStyle w:val="CharStyle3"/>
                          <w:b/>
                          <w:bCs/>
                          <w:color w:val="000000"/>
                          <w:sz w:val="13"/>
                          <w:szCs w:val="13"/>
                        </w:rPr>
                        <w:t>Bioplyn 416 BPS 80 %</w:t>
                      </w:r>
                    </w:p>
                  </w:txbxContent>
                </v:textbox>
                <w10:wrap anchorx="margin"/>
              </v:shape>
            </w:pict>
          </mc:Fallback>
        </mc:AlternateContent>
      </w:r>
      <w:r>
        <w:rPr>
          <w:rStyle w:val="CharStyle20"/>
          <w:b/>
          <w:bCs/>
          <w:color w:val="006AB4"/>
        </w:rPr>
        <w:t>INSTALOVANÝ VÝKON</w:t>
      </w:r>
    </w:p>
    <w:p>
      <w:pPr>
        <w:pStyle w:val="Style37"/>
        <w:keepNext w:val="0"/>
        <w:keepLines w:val="0"/>
        <w:widowControl w:val="0"/>
        <w:shd w:val="clear" w:color="auto" w:fill="auto"/>
        <w:bidi w:val="0"/>
        <w:spacing w:before="0" w:after="0"/>
        <w:ind w:left="3100" w:right="0" w:firstLine="0"/>
        <w:jc w:val="left"/>
      </w:pPr>
      <w:r>
        <w:rPr>
          <w:rStyle w:val="CharStyle38"/>
          <w:b/>
          <w:bCs/>
        </w:rPr>
        <w:t>Skládkový plyn</w:t>
      </w:r>
    </w:p>
    <w:p>
      <w:pPr>
        <w:pStyle w:val="Style37"/>
        <w:keepNext w:val="0"/>
        <w:keepLines w:val="0"/>
        <w:widowControl w:val="0"/>
        <w:shd w:val="clear" w:color="auto" w:fill="auto"/>
        <w:bidi w:val="0"/>
        <w:spacing w:before="0" w:after="0"/>
        <w:ind w:left="3320" w:right="0" w:firstLine="0"/>
        <w:jc w:val="left"/>
      </w:pPr>
      <w:r>
        <w:drawing>
          <wp:anchor distT="0" distB="149225" distL="113030" distR="0" simplePos="0" relativeHeight="125829407" behindDoc="0" locked="0" layoutInCell="1" allowOverlap="1">
            <wp:simplePos x="0" y="0"/>
            <wp:positionH relativeFrom="margin">
              <wp:posOffset>3817620</wp:posOffset>
            </wp:positionH>
            <wp:positionV relativeFrom="paragraph">
              <wp:posOffset>50800</wp:posOffset>
            </wp:positionV>
            <wp:extent cx="1779905" cy="2133600"/>
            <wp:wrapTight wrapText="right">
              <wp:wrapPolygon>
                <wp:start x="0" y="0"/>
                <wp:lineTo x="15053" y="0"/>
                <wp:lineTo x="15053" y="3024"/>
                <wp:lineTo x="15016" y="3024"/>
                <wp:lineTo x="15016" y="3055"/>
                <wp:lineTo x="15090" y="3055"/>
                <wp:lineTo x="15090" y="3086"/>
                <wp:lineTo x="15201" y="3086"/>
                <wp:lineTo x="15201" y="3117"/>
                <wp:lineTo x="15275" y="3117"/>
                <wp:lineTo x="15275" y="3147"/>
                <wp:lineTo x="15349" y="3147"/>
                <wp:lineTo x="15349" y="3178"/>
                <wp:lineTo x="15423" y="3178"/>
                <wp:lineTo x="15423" y="3209"/>
                <wp:lineTo x="15497" y="3209"/>
                <wp:lineTo x="15497" y="3240"/>
                <wp:lineTo x="15571" y="3240"/>
                <wp:lineTo x="15571" y="3271"/>
                <wp:lineTo x="15645" y="3271"/>
                <wp:lineTo x="15645" y="3302"/>
                <wp:lineTo x="15719" y="3302"/>
                <wp:lineTo x="15719" y="3333"/>
                <wp:lineTo x="15793" y="3333"/>
                <wp:lineTo x="15793" y="3363"/>
                <wp:lineTo x="15867" y="3363"/>
                <wp:lineTo x="15867" y="3394"/>
                <wp:lineTo x="15941" y="3394"/>
                <wp:lineTo x="15941" y="3425"/>
                <wp:lineTo x="16015" y="3425"/>
                <wp:lineTo x="16015" y="3456"/>
                <wp:lineTo x="16089" y="3456"/>
                <wp:lineTo x="16089" y="3487"/>
                <wp:lineTo x="20379" y="3487"/>
                <wp:lineTo x="20379" y="7190"/>
                <wp:lineTo x="21600" y="7190"/>
                <wp:lineTo x="21600" y="21600"/>
                <wp:lineTo x="4068" y="21600"/>
                <wp:lineTo x="4068" y="18607"/>
                <wp:lineTo x="0" y="18607"/>
                <wp:lineTo x="0" y="0"/>
              </wp:wrapPolygon>
            </wp:wrapTight>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77"/>
                    <a:stretch/>
                  </pic:blipFill>
                  <pic:spPr>
                    <a:xfrm>
                      <a:ext cx="1779905" cy="213360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margin">
                  <wp:posOffset>3704590</wp:posOffset>
                </wp:positionH>
                <wp:positionV relativeFrom="paragraph">
                  <wp:posOffset>2013585</wp:posOffset>
                </wp:positionV>
                <wp:extent cx="408305" cy="320040"/>
                <wp:wrapNone/>
                <wp:docPr id="97" name="Shape 97"/>
                <a:graphic xmlns:a="http://schemas.openxmlformats.org/drawingml/2006/main">
                  <a:graphicData uri="http://schemas.microsoft.com/office/word/2010/wordprocessingShape">
                    <wps:wsp>
                      <wps:cNvSpPr txBox="1"/>
                      <wps:spPr>
                        <a:xfrm>
                          <a:ext cx="408305" cy="320040"/>
                        </a:xfrm>
                        <a:prstGeom prst="rect"/>
                        <a:noFill/>
                      </wps:spPr>
                      <wps:txbx>
                        <w:txbxContent>
                          <w:p>
                            <w:pPr>
                              <w:pStyle w:val="Style2"/>
                              <w:keepNext w:val="0"/>
                              <w:keepLines w:val="0"/>
                              <w:widowControl w:val="0"/>
                              <w:shd w:val="clear" w:color="auto" w:fill="auto"/>
                              <w:bidi w:val="0"/>
                              <w:spacing w:before="0" w:after="0" w:line="254" w:lineRule="auto"/>
                              <w:ind w:left="0" w:right="0" w:firstLine="0"/>
                              <w:jc w:val="center"/>
                              <w:rPr>
                                <w:sz w:val="13"/>
                                <w:szCs w:val="13"/>
                              </w:rPr>
                            </w:pPr>
                            <w:r>
                              <w:rPr>
                                <w:rStyle w:val="CharStyle3"/>
                                <w:b/>
                                <w:bCs/>
                                <w:color w:val="000000"/>
                                <w:sz w:val="13"/>
                                <w:szCs w:val="13"/>
                              </w:rPr>
                              <w:t>Bioplyn 334 MWe 79 %</w:t>
                            </w:r>
                          </w:p>
                        </w:txbxContent>
                      </wps:txbx>
                      <wps:bodyPr lIns="0" tIns="0" rIns="0" bIns="0">
                        <a:noAutoFit/>
                      </wps:bodyPr>
                    </wps:wsp>
                  </a:graphicData>
                </a:graphic>
              </wp:anchor>
            </w:drawing>
          </mc:Choice>
          <mc:Fallback>
            <w:pict>
              <v:shape id="_x0000_s1123" type="#_x0000_t202" style="position:absolute;margin-left:291.69999999999999pt;margin-top:158.55000000000001pt;width:32.149999999999999pt;height:25.199999999999999pt;z-index:251657737;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54" w:lineRule="auto"/>
                        <w:ind w:left="0" w:right="0" w:firstLine="0"/>
                        <w:jc w:val="center"/>
                        <w:rPr>
                          <w:sz w:val="13"/>
                          <w:szCs w:val="13"/>
                        </w:rPr>
                      </w:pPr>
                      <w:r>
                        <w:rPr>
                          <w:rStyle w:val="CharStyle3"/>
                          <w:b/>
                          <w:bCs/>
                          <w:color w:val="000000"/>
                          <w:sz w:val="13"/>
                          <w:szCs w:val="13"/>
                        </w:rPr>
                        <w:t>Bioplyn 334 MWe 79 %</w:t>
                      </w:r>
                    </w:p>
                  </w:txbxContent>
                </v:textbox>
                <w10:wrap anchorx="margin"/>
              </v:shape>
            </w:pict>
          </mc:Fallback>
        </mc:AlternateContent>
      </w:r>
      <w:r>
        <w:rPr>
          <w:rStyle w:val="CharStyle38"/>
          <w:b/>
          <w:bCs/>
        </w:rPr>
        <w:t>59 MWe</w:t>
      </w:r>
    </w:p>
    <w:p>
      <w:pPr>
        <w:pStyle w:val="Style37"/>
        <w:keepNext w:val="0"/>
        <w:keepLines w:val="0"/>
        <w:widowControl w:val="0"/>
        <w:shd w:val="clear" w:color="auto" w:fill="auto"/>
        <w:bidi w:val="0"/>
        <w:spacing w:before="0" w:after="40"/>
        <w:ind w:left="3320" w:right="0" w:firstLine="0"/>
        <w:jc w:val="left"/>
      </w:pPr>
      <w:r>
        <w:rPr>
          <w:rStyle w:val="CharStyle38"/>
          <w:b/>
          <w:bCs/>
        </w:rPr>
        <w:t>14 %</w:t>
      </w:r>
    </w:p>
    <w:p>
      <w:pPr>
        <w:pStyle w:val="Style37"/>
        <w:keepNext w:val="0"/>
        <w:keepLines w:val="0"/>
        <w:widowControl w:val="0"/>
        <w:shd w:val="clear" w:color="auto" w:fill="auto"/>
        <w:bidi w:val="0"/>
        <w:spacing w:before="0" w:after="0"/>
        <w:ind w:left="0" w:right="0" w:firstLine="0"/>
        <w:jc w:val="center"/>
      </w:pPr>
      <w:r>
        <w:rPr>
          <w:rStyle w:val="CharStyle38"/>
          <w:b/>
          <w:bCs/>
        </w:rPr>
        <w:t>Kalový plyn</w:t>
      </w:r>
    </w:p>
    <w:p>
      <w:pPr>
        <w:pStyle w:val="Style37"/>
        <w:keepNext w:val="0"/>
        <w:keepLines w:val="0"/>
        <w:widowControl w:val="0"/>
        <w:shd w:val="clear" w:color="auto" w:fill="auto"/>
        <w:bidi w:val="0"/>
        <w:spacing w:before="0" w:after="3560"/>
        <w:ind w:left="0" w:right="0" w:firstLine="0"/>
        <w:jc w:val="center"/>
      </w:pPr>
      <w:r>
        <w:rPr>
          <w:rStyle w:val="CharStyle38"/>
          <w:b/>
          <w:bCs/>
        </w:rPr>
        <w:t>28 MWe</w:t>
        <w:br/>
        <w:t>7 %</w:t>
      </w:r>
    </w:p>
    <w:p>
      <w:pPr>
        <w:pStyle w:val="Style19"/>
        <w:keepNext w:val="0"/>
        <w:keepLines w:val="0"/>
        <w:widowControl w:val="0"/>
        <w:shd w:val="clear" w:color="auto" w:fill="auto"/>
        <w:bidi w:val="0"/>
        <w:spacing w:before="0" w:after="260"/>
        <w:ind w:left="0" w:right="0" w:firstLine="0"/>
        <w:jc w:val="left"/>
      </w:pPr>
      <w:r>
        <w:rPr>
          <w:rStyle w:val="CharStyle20"/>
        </w:rPr>
        <w:t>Z hlediska celkové roční výroby elektrické energie z jednotlivých typů BPS je význam zemědělských BPS výrazný. Celková netto výroba elektřiny BPS za rok 2021 činila 2,4 TWh, z čehož na bioplyn připadá 2,23 TWh, tj. cca 93 %. Kalový plyn se na celkové výrobě podílel celkem 102 GWh (4 %) a skládkový plyn 71 GWh (3 %). Vzhledem k provozní podpoře a základním principům technologie BPS jsou tyto zdroje běžně provozovány s velmi vysokým provozním nasazením. Doba ročního využití BPS se průměrně pohybuje okolo 7 200 hodin, tj. cca 82 %. Přerušení výroby elektřiny jsou běžně způsobena pouze nutným pravidelným servisem.</w:t>
      </w:r>
    </w:p>
    <w:p>
      <w:pPr>
        <w:pStyle w:val="Style19"/>
        <w:keepNext w:val="0"/>
        <w:keepLines w:val="0"/>
        <w:widowControl w:val="0"/>
        <w:shd w:val="clear" w:color="auto" w:fill="auto"/>
        <w:bidi w:val="0"/>
        <w:spacing w:before="0"/>
        <w:ind w:left="0" w:right="0" w:firstLine="0"/>
        <w:jc w:val="left"/>
      </w:pPr>
      <w:r>
        <w:rPr>
          <w:rStyle w:val="CharStyle20"/>
        </w:rPr>
        <w:t xml:space="preserve">Výměra zemědělské půdy v Česku, která je využívána pro produkci surovin využívaných v sektoru energetiky, se pohybuje okolo 350-400 tis. ha ročně (8-9 % zemědělské půdy), z toho pro výrobu bioplynu slouží 130-180 tis. ha (3-4 % zemědělské půdy). </w:t>
      </w:r>
      <w:r>
        <w:rPr>
          <w:rStyle w:val="CharStyle20"/>
          <w:i/>
          <w:iCs/>
        </w:rPr>
        <w:t>Akční plán pro biomasu v ČR na období2012-2020</w:t>
      </w:r>
      <w:r>
        <w:rPr>
          <w:rStyle w:val="CharStyle20"/>
        </w:rPr>
        <w:t xml:space="preserve"> uvádí, že z celkové plochy zemědělské půdy v ČR může být při zajištění 100% potravinové soběstačnosti uvolněno 1 160 000 ha až 1 508 000 ha. Do této výměry je započítána orná půda, trvalé travní porosty a další potenciál tvoří plochy nevhodné pro pěstování potravinářských plodin a krmiv (rekultivované, sanované, po záplavách). V tomto ohledu lze tedy předpokládat, že plocha, na které se v současnosti pěstuje </w:t>
      </w:r>
      <w:r>
        <w:rPr>
          <w:rStyle w:val="CharStyle20"/>
        </w:rPr>
        <w:t>energetická biomasa, by se do budoucna mohla až ztrojnásobit, a celková potenciální plocha na cílené pěstování biomasy pro výrobu bioplynu tak může při uvažování dolní hranice výměry půdy dosahovat cca 900 tis. ha.</w:t>
      </w:r>
    </w:p>
    <w:p>
      <w:pPr>
        <w:pStyle w:val="Style19"/>
        <w:keepNext w:val="0"/>
        <w:keepLines w:val="0"/>
        <w:widowControl w:val="0"/>
        <w:shd w:val="clear" w:color="auto" w:fill="auto"/>
        <w:bidi w:val="0"/>
        <w:spacing w:before="0"/>
        <w:ind w:left="2540" w:right="0" w:firstLine="0"/>
        <w:jc w:val="left"/>
      </w:pPr>
      <w:r>
        <w:rPr>
          <w:rStyle w:val="CharStyle20"/>
        </w:rPr>
        <w:t>Pro potřeby tohoto dokumentu byly vytvořeny dvě trajektorie možného vývoje:</w:t>
      </w:r>
    </w:p>
    <w:p>
      <w:pPr>
        <w:pStyle w:val="Style19"/>
        <w:keepNext w:val="0"/>
        <w:keepLines w:val="0"/>
        <w:widowControl w:val="0"/>
        <w:numPr>
          <w:ilvl w:val="0"/>
          <w:numId w:val="11"/>
        </w:numPr>
        <w:shd w:val="clear" w:color="auto" w:fill="auto"/>
        <w:tabs>
          <w:tab w:pos="2863" w:val="left"/>
        </w:tabs>
        <w:bidi w:val="0"/>
        <w:spacing w:before="0"/>
        <w:ind w:left="2540" w:right="0" w:firstLine="0"/>
        <w:jc w:val="left"/>
      </w:pPr>
      <w:r>
        <w:rPr>
          <w:rStyle w:val="CharStyle20"/>
          <w:b/>
          <w:bCs/>
        </w:rPr>
        <w:t>Respondentní predikce</w:t>
      </w:r>
    </w:p>
    <w:p>
      <w:pPr>
        <w:pStyle w:val="Style19"/>
        <w:keepNext w:val="0"/>
        <w:keepLines w:val="0"/>
        <w:widowControl w:val="0"/>
        <w:shd w:val="clear" w:color="auto" w:fill="auto"/>
        <w:bidi w:val="0"/>
        <w:spacing w:before="0" w:after="380" w:line="300" w:lineRule="auto"/>
        <w:ind w:left="2540" w:right="0" w:firstLine="0"/>
        <w:jc w:val="left"/>
      </w:pPr>
      <w:r>
        <w:rPr>
          <w:rStyle w:val="CharStyle20"/>
        </w:rPr>
        <w:t>Predikce představuje expertní odhad přirozeného vývoje sektoru bioplynových, resp. biometanových stanic, kdy je předpokládáno pokračování provozu stávajících BPS s případnou dílčí modernizací. Očekává se, že část současných stanic přejde na produkci biometanu, část jich pak vznikne přirozeně nově díky cenám elektřiny.</w:t>
      </w:r>
    </w:p>
    <w:p>
      <w:pPr>
        <w:pStyle w:val="Style5"/>
        <w:keepNext w:val="0"/>
        <w:keepLines w:val="0"/>
        <w:widowControl w:val="0"/>
        <w:shd w:val="clear" w:color="auto" w:fill="auto"/>
        <w:tabs>
          <w:tab w:pos="2722" w:val="left"/>
          <w:tab w:pos="5237" w:val="left"/>
        </w:tabs>
        <w:bidi w:val="0"/>
        <w:spacing w:before="0" w:after="80" w:line="240" w:lineRule="auto"/>
        <w:ind w:left="0" w:right="0" w:firstLine="0"/>
        <w:jc w:val="center"/>
        <w:rPr>
          <w:sz w:val="38"/>
          <w:szCs w:val="38"/>
        </w:rPr>
      </w:pPr>
      <w:r>
        <w:rPr>
          <w:rStyle w:val="CharStyle6"/>
          <w:rFonts w:ascii="Courier New" w:eastAsia="Courier New" w:hAnsi="Courier New" w:cs="Courier New"/>
          <w:color w:val="B7B8B8"/>
          <w:sz w:val="38"/>
          <w:szCs w:val="38"/>
        </w:rPr>
        <w:t>I</w:t>
        <w:tab/>
        <w:t>I</w:t>
        <w:tab/>
        <w:t>I</w:t>
      </w:r>
    </w:p>
    <w:p>
      <w:pPr>
        <w:pStyle w:val="Style15"/>
        <w:keepNext/>
        <w:keepLines/>
        <w:widowControl w:val="0"/>
        <w:shd w:val="clear" w:color="auto" w:fill="auto"/>
        <w:bidi w:val="0"/>
        <w:spacing w:before="0" w:after="240" w:line="240" w:lineRule="auto"/>
        <w:ind w:left="0" w:right="0" w:firstLine="0"/>
        <w:jc w:val="left"/>
      </w:pPr>
      <w:bookmarkStart w:id="68" w:name="bookmark68"/>
      <w:r>
        <w:rPr>
          <w:rStyle w:val="CharStyle16"/>
          <w:b/>
          <w:bCs/>
        </w:rPr>
        <w:t>Obr. 4.12 Výhled vývoje netto instalovaného výkonu bioplynových stanic v Respondentní predikci</w:t>
      </w:r>
      <w:bookmarkEnd w:id="68"/>
    </w:p>
    <w:p>
      <w:pPr>
        <w:widowControl w:val="0"/>
        <w:jc w:val="left"/>
        <w:rPr>
          <w:sz w:val="2"/>
          <w:szCs w:val="2"/>
        </w:rPr>
      </w:pPr>
      <w:r>
        <w:drawing>
          <wp:inline>
            <wp:extent cx="6656705" cy="2377440"/>
            <wp:docPr id="99" name="Picutre 99"/>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9"/>
                    <a:stretch/>
                  </pic:blipFill>
                  <pic:spPr>
                    <a:xfrm>
                      <a:ext cx="6656705" cy="2377440"/>
                    </a:xfrm>
                    <a:prstGeom prst="rect"/>
                  </pic:spPr>
                </pic:pic>
              </a:graphicData>
            </a:graphic>
          </wp:inline>
        </w:drawing>
      </w:r>
    </w:p>
    <w:p>
      <w:pPr>
        <w:widowControl w:val="0"/>
        <w:spacing w:after="379" w:line="1" w:lineRule="exact"/>
      </w:pPr>
    </w:p>
    <w:p>
      <w:pPr>
        <w:pStyle w:val="Style5"/>
        <w:keepNext w:val="0"/>
        <w:keepLines w:val="0"/>
        <w:widowControl w:val="0"/>
        <w:shd w:val="clear" w:color="auto" w:fill="auto"/>
        <w:tabs>
          <w:tab w:pos="7396" w:val="left"/>
        </w:tabs>
        <w:bidi w:val="0"/>
        <w:spacing w:before="0" w:after="280" w:line="240" w:lineRule="auto"/>
        <w:ind w:left="4780" w:right="0" w:firstLine="0"/>
        <w:jc w:val="both"/>
        <w:rPr>
          <w:sz w:val="38"/>
          <w:szCs w:val="38"/>
        </w:rPr>
      </w:pPr>
      <w:r>
        <w:rPr>
          <w:rStyle w:val="CharStyle6"/>
          <w:rFonts w:ascii="Courier New" w:eastAsia="Courier New" w:hAnsi="Courier New" w:cs="Courier New"/>
          <w:color w:val="B7B8B8"/>
          <w:sz w:val="38"/>
          <w:szCs w:val="38"/>
        </w:rPr>
        <w:t>I</w:t>
        <w:tab/>
        <w:t>I</w:t>
      </w:r>
    </w:p>
    <w:p>
      <w:pPr>
        <w:pStyle w:val="Style19"/>
        <w:keepNext w:val="0"/>
        <w:keepLines w:val="0"/>
        <w:widowControl w:val="0"/>
        <w:shd w:val="clear" w:color="auto" w:fill="auto"/>
        <w:bidi w:val="0"/>
        <w:spacing w:before="0"/>
        <w:ind w:left="2540" w:right="0" w:firstLine="0"/>
        <w:jc w:val="left"/>
      </w:pPr>
      <w:r>
        <w:rPr>
          <w:rStyle w:val="CharStyle20"/>
        </w:rPr>
        <w:t>Pokles instalovaného výkonu o cca 40 % do roku 2030 je způsoben zejména postupným dožíváním některých současných stanic a přebudováním další části z nich na výrobu biometanu. Následně započne rovnoměrný nárůst potenciálu bioplynu (způsoben zesílením cíleného pěstování biomasy pro výrobu bioplynu) a současně s ním i nárůst instalovaného výkonu BPS.</w:t>
      </w:r>
    </w:p>
    <w:p>
      <w:pPr>
        <w:pStyle w:val="Style19"/>
        <w:keepNext w:val="0"/>
        <w:keepLines w:val="0"/>
        <w:widowControl w:val="0"/>
        <w:numPr>
          <w:ilvl w:val="0"/>
          <w:numId w:val="11"/>
        </w:numPr>
        <w:shd w:val="clear" w:color="auto" w:fill="auto"/>
        <w:tabs>
          <w:tab w:pos="2867" w:val="left"/>
        </w:tabs>
        <w:bidi w:val="0"/>
        <w:spacing w:before="0"/>
        <w:ind w:left="2540" w:right="0" w:firstLine="0"/>
        <w:jc w:val="left"/>
      </w:pPr>
      <w:r>
        <w:rPr>
          <w:rStyle w:val="CharStyle20"/>
          <w:b/>
          <w:bCs/>
        </w:rPr>
        <w:t>Konzervativní, Progresivní a Dekarbonizační predikce</w:t>
      </w:r>
    </w:p>
    <w:p>
      <w:pPr>
        <w:pStyle w:val="Style19"/>
        <w:keepNext w:val="0"/>
        <w:keepLines w:val="0"/>
        <w:widowControl w:val="0"/>
        <w:shd w:val="clear" w:color="auto" w:fill="auto"/>
        <w:bidi w:val="0"/>
        <w:spacing w:before="0" w:after="0" w:line="300" w:lineRule="auto"/>
        <w:ind w:left="2540" w:right="0" w:firstLine="0"/>
        <w:jc w:val="left"/>
      </w:pPr>
      <w:r>
        <w:rPr>
          <w:rStyle w:val="CharStyle20"/>
        </w:rPr>
        <w:t>Predikce upřednostňuje výrobu biometanu před výrobou elektřiny z bioplynu. V roce 2030 se podíl elektrického výkonu v BPS sníží na 20 % dostupného potenciálu.</w:t>
      </w:r>
    </w:p>
    <w:p>
      <w:pPr>
        <w:pStyle w:val="Style19"/>
        <w:keepNext w:val="0"/>
        <w:keepLines w:val="0"/>
        <w:widowControl w:val="0"/>
        <w:shd w:val="clear" w:color="auto" w:fill="auto"/>
        <w:bidi w:val="0"/>
        <w:spacing w:before="0" w:line="300" w:lineRule="auto"/>
        <w:ind w:left="2540" w:right="0" w:firstLine="0"/>
        <w:jc w:val="left"/>
      </w:pPr>
      <w:bookmarkStart w:id="70" w:name="bookmark70"/>
      <w:r>
        <w:rPr>
          <w:rStyle w:val="CharStyle20"/>
        </w:rPr>
        <w:t>Tento podíl zůstane zachován do roku 2040. Z důvodů zastavení poklesu podílu instalovaného elektrického výkonu v roce 2030 a zároveň rostoucího celkového potenciálu výroby bioplynu (elektřina a biometan) se zastaví i pokles absolutního instalovaného elektrického výkonu, a naopak započne jeho mírný nárůst.</w:t>
      </w:r>
      <w:bookmarkEnd w:id="70"/>
    </w:p>
    <w:p>
      <w:pPr>
        <w:pStyle w:val="Style15"/>
        <w:keepNext/>
        <w:keepLines/>
        <w:widowControl w:val="0"/>
        <w:shd w:val="clear" w:color="auto" w:fill="auto"/>
        <w:bidi w:val="0"/>
        <w:spacing w:before="0" w:after="180" w:line="300" w:lineRule="auto"/>
        <w:ind w:left="0" w:right="0" w:firstLine="0"/>
        <w:jc w:val="left"/>
      </w:pPr>
      <w:bookmarkStart w:id="71" w:name="bookmark71"/>
      <w:r>
        <w:rPr>
          <w:rStyle w:val="CharStyle16"/>
          <w:b/>
          <w:bCs/>
        </w:rPr>
        <w:t>Obr. 4.13. Výhled vývoje netto instalovaného výkonu bioplynových stanic v Konzervativní, Progresivní a Dekarbonizační predikci</w:t>
      </w:r>
      <w:bookmarkEnd w:id="71"/>
    </w:p>
    <w:p>
      <w:pPr>
        <w:widowControl w:val="0"/>
        <w:jc w:val="left"/>
        <w:rPr>
          <w:sz w:val="2"/>
          <w:szCs w:val="2"/>
        </w:rPr>
      </w:pPr>
      <w:r>
        <w:drawing>
          <wp:inline>
            <wp:extent cx="6949440" cy="204851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1"/>
                    <a:stretch/>
                  </pic:blipFill>
                  <pic:spPr>
                    <a:xfrm>
                      <a:ext cx="6949440" cy="2048510"/>
                    </a:xfrm>
                    <a:prstGeom prst="rect"/>
                  </pic:spPr>
                </pic:pic>
              </a:graphicData>
            </a:graphic>
          </wp:inline>
        </w:drawing>
      </w:r>
    </w:p>
    <w:p>
      <w:pPr>
        <w:pStyle w:val="Style2"/>
        <w:keepNext w:val="0"/>
        <w:keepLines w:val="0"/>
        <w:widowControl w:val="0"/>
        <w:shd w:val="clear" w:color="auto" w:fill="auto"/>
        <w:tabs>
          <w:tab w:pos="4656" w:val="left"/>
        </w:tabs>
        <w:bidi w:val="0"/>
        <w:spacing w:before="0" w:after="0" w:line="240" w:lineRule="auto"/>
        <w:ind w:left="0" w:right="0" w:firstLine="0"/>
        <w:jc w:val="right"/>
        <w:rPr>
          <w:sz w:val="12"/>
          <w:szCs w:val="12"/>
        </w:rPr>
      </w:pPr>
      <w:r>
        <w:rPr>
          <w:rStyle w:val="CharStyle3"/>
          <w:b/>
          <w:bCs/>
          <w:sz w:val="12"/>
          <w:szCs w:val="12"/>
        </w:rPr>
        <w:t>2022 2023 2024 2025 2026 2027 2028 2029 2030 2031</w:t>
        <w:tab/>
        <w:t>2032 2033 2034 2035 2036 2037 2038 2039 2040</w:t>
      </w:r>
    </w:p>
    <w:p>
      <w:pPr>
        <w:widowControl w:val="0"/>
        <w:spacing w:after="379" w:line="1" w:lineRule="exact"/>
      </w:pPr>
    </w:p>
    <w:p>
      <w:pPr>
        <w:pStyle w:val="Style5"/>
        <w:keepNext w:val="0"/>
        <w:keepLines w:val="0"/>
        <w:widowControl w:val="0"/>
        <w:shd w:val="clear" w:color="auto" w:fill="auto"/>
        <w:tabs>
          <w:tab w:pos="4871" w:val="left"/>
        </w:tabs>
        <w:bidi w:val="0"/>
        <w:spacing w:before="0" w:after="260" w:line="240" w:lineRule="auto"/>
        <w:ind w:left="2260" w:right="0" w:firstLine="0"/>
        <w:jc w:val="left"/>
        <w:rPr>
          <w:sz w:val="38"/>
          <w:szCs w:val="38"/>
        </w:rPr>
      </w:pPr>
      <w:r>
        <w:rPr>
          <w:rStyle w:val="CharStyle6"/>
          <w:rFonts w:ascii="Courier New" w:eastAsia="Courier New" w:hAnsi="Courier New" w:cs="Courier New"/>
          <w:color w:val="B7B8B8"/>
          <w:sz w:val="38"/>
          <w:szCs w:val="38"/>
        </w:rPr>
        <w:t>I</w:t>
        <w:tab/>
        <w:t>I</w:t>
      </w:r>
    </w:p>
    <w:p>
      <w:pPr>
        <w:pStyle w:val="Style19"/>
        <w:keepNext w:val="0"/>
        <w:keepLines w:val="0"/>
        <w:widowControl w:val="0"/>
        <w:shd w:val="clear" w:color="auto" w:fill="auto"/>
        <w:bidi w:val="0"/>
        <w:spacing w:before="0" w:after="260"/>
        <w:ind w:left="0" w:right="0" w:firstLine="0"/>
        <w:jc w:val="left"/>
      </w:pPr>
      <w:r>
        <w:rPr>
          <w:rStyle w:val="CharStyle20"/>
        </w:rPr>
        <w:t>V době psaní tohoto reportu se cena kontraktů pohybovala na úrovni cca 240 EUR/ MWh, což při kurzu 25 Kč/EUR odpovídá cca 6 Kč/kWh. Vzhledem k charakteru výroby BPS tedy lze předpokládat, že BPS budou schopny elektřinu na trhu uplatnit a dodatečná provozní podpora již není nezbytná. Na základě této úvahy lze předpokládat rozšiřování BPS. Zásadním problémem však v tomto ohledu může být potenciální budoucí podpora výroby biometanu, neboť by mohlo dojít k situaci, v níž produkce biometanu přinese i přes nutné počáteční investice větší ekonomickou efektivitu oproti prodeji silové elektřiny z BPS včetně případného poskytování flexibility. V tento okamžik lze očekávat odezvu BPS ve smyslu přebudování kompletního portfolia českých BPS na výrobu biometanu. Pokud by k tomu došlo, znamenalo by to pravděpodobně maximalizaci výroby biometanu za současného snížení elektrického výkonu připojeného do soustavy.</w:t>
      </w:r>
    </w:p>
    <w:p>
      <w:pPr>
        <w:pStyle w:val="Style19"/>
        <w:keepNext w:val="0"/>
        <w:keepLines w:val="0"/>
        <w:widowControl w:val="0"/>
        <w:shd w:val="clear" w:color="auto" w:fill="auto"/>
        <w:bidi w:val="0"/>
        <w:spacing w:before="0" w:after="260"/>
        <w:ind w:left="0" w:right="0" w:firstLine="0"/>
        <w:jc w:val="left"/>
      </w:pPr>
      <w:r>
        <w:rPr>
          <w:rStyle w:val="CharStyle20"/>
        </w:rPr>
        <w:t>Stávající kogenerační jednotky (KGJ) by byly využívány pro vlastní spotřebu (provoz technologií nezbytných pro výrobu bioplynu a následnou úpravu biometanu), do sítě by pak byly dodávány pouze objemy odpovídající přebytkům bioplynu v BPS (přebytky nevyužité pro vlastní spotřebu či přeměnu na biometan). Po případném předimenzování by i tyto přebytky mohly být zužitkovány a celkový připojený výkon z BPS do soustavy by klesl až na nulovou úroveň. Z tohoto pohledu bude pro rozvoj bioplynových zdrojů zásadní zejména vhodně zvolená motivace k výrobě elektřiny z bioplynu i výrobě biometanu. Touto motivací může být například vhodně stanovená investiční podpora, a to s ohledem na aktuální situaci na trhu tak, aby veškerý potenciál v bioplynu nebyl směřován pouze do jednoho z odvětví.</w:t>
      </w:r>
    </w:p>
    <w:p>
      <w:pPr>
        <w:pStyle w:val="Style19"/>
        <w:keepNext w:val="0"/>
        <w:keepLines w:val="0"/>
        <w:widowControl w:val="0"/>
        <w:shd w:val="clear" w:color="auto" w:fill="auto"/>
        <w:bidi w:val="0"/>
        <w:spacing w:before="0" w:after="0"/>
        <w:ind w:left="0" w:right="0" w:firstLine="0"/>
        <w:jc w:val="left"/>
      </w:pPr>
      <w:r>
        <w:rPr>
          <w:rStyle w:val="CharStyle20"/>
          <w:b/>
          <w:bCs/>
          <w:color w:val="006AB4"/>
        </w:rPr>
        <w:t>VYUŽITÍ TUHÉ BIOMASY</w:t>
      </w:r>
    </w:p>
    <w:p>
      <w:pPr>
        <w:pStyle w:val="Style19"/>
        <w:keepNext w:val="0"/>
        <w:keepLines w:val="0"/>
        <w:widowControl w:val="0"/>
        <w:shd w:val="clear" w:color="auto" w:fill="auto"/>
        <w:bidi w:val="0"/>
        <w:spacing w:before="0" w:after="260"/>
        <w:ind w:left="0" w:right="0" w:firstLine="0"/>
        <w:jc w:val="left"/>
      </w:pPr>
      <w:r>
        <w:rPr>
          <w:rStyle w:val="CharStyle20"/>
        </w:rPr>
        <w:t>Strategie resortu Ministerstva zemědělství ČR s výhledem do roku 2030 připouští zvýšení energetického využití zemědělské biomasy do roku 2030 až o 20 %, nicméně pouze za podmínky zachování strategické úrovně zemědělské produkce pro potravinové využití. Strategie tak potvrzuje, že hlavní úlohou zemědělské půdy je zajištění dostatku potravin pro lidskou výživu a krmiv a steliv pro hospodářská zvířata. Tato základní funkce může být ovlivněna řadou negativních faktorů jako je úbytek zemědělské půdy, limity pro pěstování erozně nebezpečných plodin (např. kukuřice, brambory, řepa, bob setý, sója, slunečnice atd.), nebo celkovým zvýšením nestability zemědělské produkce způsobené klimatickými změnami (dlouhodobé sucho, noví škůdci, zvýšené vymrzání ozimů i jařin, škody způsobené přívalovými dešti, krupobitím apod.).</w:t>
      </w:r>
    </w:p>
    <w:p>
      <w:pPr>
        <w:pStyle w:val="Style19"/>
        <w:keepNext w:val="0"/>
        <w:keepLines w:val="0"/>
        <w:widowControl w:val="0"/>
        <w:shd w:val="clear" w:color="auto" w:fill="auto"/>
        <w:bidi w:val="0"/>
        <w:spacing w:before="0"/>
        <w:ind w:left="2540" w:right="0" w:firstLine="0"/>
        <w:jc w:val="left"/>
      </w:pPr>
      <w:r>
        <w:rPr>
          <w:rStyle w:val="CharStyle20"/>
        </w:rPr>
        <w:t>Dodatečná výměra disponibilní půdy využitelné k navýšení produkce energetické biomasy tak může být ve skutečnosti velmi limitována. Do roku 2030 se přitom sníží jak výměra zemědělské půdy (zejména orné), tak stabilita produkce, což znamená, že výměra půdy využitelná pro produkci energetické biomasy bude spíše stagnovat nebo růst jen velmi mírně. Další nejistota vyplývající z kolísání výnosů je vývoj cen nejen cíleně pěstované biomasy, ale i posklizňových zbytků (zejména obilné slámy). Nárůst poptávky po stelivu a krmivu může způsobit nárůst cen, který zasáhne i zájemce o její energetické využití. Obecně je proto potřeba v období 2020-2030 počítat s růstem cen energetické biomasy nad úrovní inflace.</w:t>
      </w:r>
    </w:p>
    <w:p>
      <w:pPr>
        <w:pStyle w:val="Style19"/>
        <w:keepNext w:val="0"/>
        <w:keepLines w:val="0"/>
        <w:widowControl w:val="0"/>
        <w:shd w:val="clear" w:color="auto" w:fill="auto"/>
        <w:bidi w:val="0"/>
        <w:spacing w:before="0"/>
        <w:ind w:left="2540" w:right="0" w:firstLine="0"/>
        <w:jc w:val="left"/>
      </w:pPr>
      <w:r>
        <w:rPr>
          <w:rStyle w:val="CharStyle20"/>
        </w:rPr>
        <w:t>V případě lesní půdy a produkce dřevní biomasy, se předpokládá ve sledovaném období k roku 2030 značná meziroční volatilita její dostupnosti pro energetické a technické využití, a to v závislosti na vývoji šíření škůdců a kapacitách zpracování zvýšených nahodilých těžeb a kapacitách zpracování dřevní hmoty v pilařském a papírenském průmyslu. V oblastech s vysokou intenzitou nahodilých těžeb lze očekávat v následujících rocích nedostatek dřevní biomasy pro energetické využití a růst cen pro bioenergetiku.</w:t>
      </w:r>
    </w:p>
    <w:p>
      <w:pPr>
        <w:pStyle w:val="Style19"/>
        <w:keepNext w:val="0"/>
        <w:keepLines w:val="0"/>
        <w:widowControl w:val="0"/>
        <w:shd w:val="clear" w:color="auto" w:fill="auto"/>
        <w:bidi w:val="0"/>
        <w:spacing w:before="0" w:after="100"/>
        <w:ind w:left="2540" w:right="0" w:firstLine="0"/>
        <w:jc w:val="left"/>
      </w:pPr>
      <w:r>
        <w:rPr>
          <w:rStyle w:val="CharStyle20"/>
        </w:rPr>
        <w:t>Na základě těchto předpokladů, informací poskytnutých provozovateli zdrojů spalujících biomasu nebo plánujících přechod na biomasu, expertních odhadů MPO a NET4GAS byly pro potřeby výpočtů prezentovaných v rámci tohoto dokumentu vytvořeny predikce možného vývoje segmentu elektráren spalujících biomasu (v převážné většině lesní štěpku) (viz Obr. 4.14).</w:t>
      </w:r>
    </w:p>
    <w:p>
      <w:pPr>
        <w:pStyle w:val="Style5"/>
        <w:keepNext w:val="0"/>
        <w:keepLines w:val="0"/>
        <w:widowControl w:val="0"/>
        <w:shd w:val="clear" w:color="auto" w:fill="auto"/>
        <w:tabs>
          <w:tab w:pos="7396" w:val="left"/>
        </w:tabs>
        <w:bidi w:val="0"/>
        <w:spacing w:before="0" w:after="100" w:line="240" w:lineRule="auto"/>
        <w:ind w:left="4780" w:right="0" w:firstLine="0"/>
        <w:jc w:val="both"/>
        <w:rPr>
          <w:sz w:val="38"/>
          <w:szCs w:val="38"/>
        </w:rPr>
      </w:pPr>
      <w:r>
        <w:rPr>
          <w:rStyle w:val="CharStyle6"/>
          <w:rFonts w:ascii="Courier New" w:eastAsia="Courier New" w:hAnsi="Courier New" w:cs="Courier New"/>
          <w:color w:val="B7B8B8"/>
          <w:sz w:val="38"/>
          <w:szCs w:val="38"/>
        </w:rPr>
        <w:t>I</w:t>
        <w:tab/>
        <w:t>I</w:t>
      </w:r>
    </w:p>
    <w:p>
      <w:pPr>
        <w:pStyle w:val="Style2"/>
        <w:keepNext w:val="0"/>
        <w:keepLines w:val="0"/>
        <w:widowControl w:val="0"/>
        <w:shd w:val="clear" w:color="auto" w:fill="auto"/>
        <w:bidi w:val="0"/>
        <w:spacing w:before="0" w:after="0" w:line="240" w:lineRule="auto"/>
        <w:ind w:left="0" w:right="0" w:firstLine="0"/>
        <w:jc w:val="left"/>
      </w:pPr>
      <w:r>
        <w:rPr>
          <w:rStyle w:val="CharStyle3"/>
          <w:b/>
          <w:bCs/>
        </w:rPr>
        <w:t>Obr. 4.14 Výhled vývoje netto instalovaného výkonu zdrojů spalujících biomasu (v převážné většině lesní</w:t>
      </w:r>
    </w:p>
    <w:p>
      <w:pPr>
        <w:widowControl w:val="0"/>
        <w:jc w:val="center"/>
        <w:rPr>
          <w:sz w:val="2"/>
          <w:szCs w:val="2"/>
        </w:rPr>
      </w:pPr>
      <w:r>
        <w:drawing>
          <wp:inline>
            <wp:extent cx="6193790" cy="299339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3"/>
                    <a:stretch/>
                  </pic:blipFill>
                  <pic:spPr>
                    <a:xfrm>
                      <a:ext cx="6193790" cy="2993390"/>
                    </a:xfrm>
                    <a:prstGeom prst="rect"/>
                  </pic:spPr>
                </pic:pic>
              </a:graphicData>
            </a:graphic>
          </wp:inline>
        </w:drawing>
      </w:r>
    </w:p>
    <w:p>
      <w:pPr>
        <w:widowControl w:val="0"/>
        <w:spacing w:after="1099" w:line="1" w:lineRule="exact"/>
      </w:pPr>
    </w:p>
    <w:p>
      <w:pPr>
        <w:pStyle w:val="Style27"/>
        <w:keepNext/>
        <w:keepLines/>
        <w:widowControl w:val="0"/>
        <w:numPr>
          <w:ilvl w:val="2"/>
          <w:numId w:val="13"/>
        </w:numPr>
        <w:shd w:val="clear" w:color="auto" w:fill="auto"/>
        <w:tabs>
          <w:tab w:pos="3117" w:val="left"/>
        </w:tabs>
        <w:bidi w:val="0"/>
        <w:spacing w:before="0" w:after="0" w:line="300" w:lineRule="auto"/>
        <w:ind w:left="2540" w:right="0" w:firstLine="0"/>
        <w:jc w:val="left"/>
      </w:pPr>
      <w:bookmarkStart w:id="74" w:name="bookmark74"/>
      <w:r>
        <w:rPr>
          <w:rStyle w:val="CharStyle28"/>
          <w:b/>
          <w:bCs/>
        </w:rPr>
        <w:t>TUHÝ KOMUNÁLNÍ ODPAD</w:t>
      </w:r>
      <w:bookmarkEnd w:id="74"/>
    </w:p>
    <w:p>
      <w:pPr>
        <w:pStyle w:val="Style19"/>
        <w:keepNext w:val="0"/>
        <w:keepLines w:val="0"/>
        <w:widowControl w:val="0"/>
        <w:shd w:val="clear" w:color="auto" w:fill="auto"/>
        <w:bidi w:val="0"/>
        <w:spacing w:before="0" w:line="300" w:lineRule="auto"/>
        <w:ind w:left="2540" w:right="0" w:firstLine="0"/>
        <w:jc w:val="left"/>
      </w:pPr>
      <w:bookmarkStart w:id="76" w:name="bookmark76"/>
      <w:r>
        <w:rPr>
          <w:rStyle w:val="CharStyle20"/>
        </w:rPr>
        <w:t>Pro potřeby výpočtů prezentovaných v rámci tohoto dokumentu byly vytvořeny Respondentní, Konzervativní, Progresivní a Dekarbonizační predikce možného vývoje segmentu elektráren spalujících tuhý komunální odpad (TKO) (viz Obr. 4.15).</w:t>
      </w:r>
      <w:bookmarkEnd w:id="76"/>
    </w:p>
    <w:p>
      <w:pPr>
        <w:pStyle w:val="Style15"/>
        <w:keepNext/>
        <w:keepLines/>
        <w:widowControl w:val="0"/>
        <w:shd w:val="clear" w:color="auto" w:fill="auto"/>
        <w:bidi w:val="0"/>
        <w:spacing w:before="0" w:after="500" w:line="240" w:lineRule="auto"/>
        <w:ind w:left="0" w:right="0" w:firstLine="0"/>
        <w:jc w:val="left"/>
      </w:pPr>
      <w:bookmarkStart w:id="77" w:name="bookmark77"/>
      <w:r>
        <w:rPr>
          <w:rStyle w:val="CharStyle16"/>
          <w:b/>
          <w:bCs/>
        </w:rPr>
        <w:t>Obr. 4.15 Výhled vývoje instalovaného výkonu zdrojů spalujících tuhý komunální odpad (TKO)</w:t>
      </w:r>
      <w:bookmarkEnd w:id="77"/>
    </w:p>
    <w:p>
      <w:pPr>
        <w:widowControl w:val="0"/>
        <w:jc w:val="center"/>
        <w:rPr>
          <w:sz w:val="2"/>
          <w:szCs w:val="2"/>
        </w:rPr>
      </w:pPr>
      <w:r>
        <w:drawing>
          <wp:inline>
            <wp:extent cx="6590030" cy="272478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5"/>
                    <a:stretch/>
                  </pic:blipFill>
                  <pic:spPr>
                    <a:xfrm>
                      <a:ext cx="6590030" cy="2724785"/>
                    </a:xfrm>
                    <a:prstGeom prst="rect"/>
                  </pic:spPr>
                </pic:pic>
              </a:graphicData>
            </a:graphic>
          </wp:inline>
        </w:drawing>
      </w:r>
    </w:p>
    <w:p>
      <w:pPr>
        <w:widowControl w:val="0"/>
        <w:spacing w:after="319" w:line="1" w:lineRule="exact"/>
      </w:pPr>
    </w:p>
    <w:p>
      <w:pPr>
        <w:pStyle w:val="Style5"/>
        <w:keepNext w:val="0"/>
        <w:keepLines w:val="0"/>
        <w:widowControl w:val="0"/>
        <w:shd w:val="clear" w:color="auto" w:fill="auto"/>
        <w:tabs>
          <w:tab w:pos="4851" w:val="left"/>
        </w:tabs>
        <w:bidi w:val="0"/>
        <w:spacing w:before="0" w:after="320" w:line="240" w:lineRule="auto"/>
        <w:ind w:left="2240" w:right="0" w:firstLine="0"/>
        <w:jc w:val="left"/>
        <w:rPr>
          <w:sz w:val="38"/>
          <w:szCs w:val="38"/>
        </w:rPr>
      </w:pPr>
      <w:r>
        <w:rPr>
          <w:rStyle w:val="CharStyle6"/>
          <w:rFonts w:ascii="Courier New" w:eastAsia="Courier New" w:hAnsi="Courier New" w:cs="Courier New"/>
          <w:color w:val="B7B8B8"/>
          <w:sz w:val="38"/>
          <w:szCs w:val="38"/>
        </w:rPr>
        <w:t>I</w:t>
        <w:tab/>
        <w:t>I</w:t>
      </w:r>
    </w:p>
    <w:p>
      <w:pPr>
        <w:pStyle w:val="Style19"/>
        <w:keepNext w:val="0"/>
        <w:keepLines w:val="0"/>
        <w:widowControl w:val="0"/>
        <w:shd w:val="clear" w:color="auto" w:fill="auto"/>
        <w:bidi w:val="0"/>
        <w:spacing w:before="0"/>
        <w:ind w:left="0" w:right="0" w:firstLine="0"/>
        <w:jc w:val="left"/>
      </w:pPr>
      <w:r>
        <w:rPr>
          <w:rStyle w:val="CharStyle20"/>
        </w:rPr>
        <w:t>Respondentní predikce představuje odhad vycházející z dat získaných v rámci pravidelného sběru dat od provozovatelů zdrojů (ADSEND). Konzervativní, Progresivní a Dekarbonizační predikce představují expertní odhad založený jednak na datech získaných v rámci sběru ADSEND a jednak na dodatečných informacích od MPO a NET4GAS při respektování ostatních klíčových parametrů scénářů (viz kapitola 6.1).</w:t>
      </w:r>
    </w:p>
    <w:p>
      <w:pPr>
        <w:pStyle w:val="Style27"/>
        <w:keepNext/>
        <w:keepLines/>
        <w:widowControl w:val="0"/>
        <w:numPr>
          <w:ilvl w:val="2"/>
          <w:numId w:val="13"/>
        </w:numPr>
        <w:shd w:val="clear" w:color="auto" w:fill="auto"/>
        <w:tabs>
          <w:tab w:pos="626" w:val="left"/>
        </w:tabs>
        <w:bidi w:val="0"/>
        <w:spacing w:before="0" w:after="0"/>
        <w:ind w:left="0" w:right="0" w:firstLine="0"/>
        <w:jc w:val="left"/>
      </w:pPr>
      <w:bookmarkStart w:id="79" w:name="bookmark79"/>
      <w:r>
        <w:rPr>
          <w:rStyle w:val="CharStyle28"/>
          <w:b/>
          <w:bCs/>
        </w:rPr>
        <w:t>GEOTERMÁLNÍ ZDROJE</w:t>
      </w:r>
      <w:bookmarkEnd w:id="79"/>
    </w:p>
    <w:p>
      <w:pPr>
        <w:pStyle w:val="Style19"/>
        <w:keepNext w:val="0"/>
        <w:keepLines w:val="0"/>
        <w:widowControl w:val="0"/>
        <w:shd w:val="clear" w:color="auto" w:fill="auto"/>
        <w:bidi w:val="0"/>
        <w:spacing w:before="0"/>
        <w:ind w:left="0" w:right="0" w:firstLine="0"/>
        <w:jc w:val="left"/>
      </w:pPr>
      <w:r>
        <w:rPr>
          <w:rStyle w:val="CharStyle20"/>
        </w:rPr>
        <w:t>Geotermální energie představuje typ tepelné energie, která zahřívá podzemní horniny a vody na různou teplotu v závislosti na hloubce a geologických poměrech v daném místě. Geotermální energie se využívá buď přímo při vytápění nebo chlazení, průmyslových procesech, rekreaci a lázeňství, nebo k výrobě elektrické energie.</w:t>
      </w:r>
    </w:p>
    <w:p>
      <w:pPr>
        <w:pStyle w:val="Style19"/>
        <w:keepNext w:val="0"/>
        <w:keepLines w:val="0"/>
        <w:widowControl w:val="0"/>
        <w:shd w:val="clear" w:color="auto" w:fill="auto"/>
        <w:bidi w:val="0"/>
        <w:spacing w:before="0" w:after="180"/>
        <w:ind w:left="0" w:right="0" w:firstLine="0"/>
        <w:jc w:val="left"/>
      </w:pPr>
      <w:r>
        <w:rPr>
          <w:rStyle w:val="CharStyle20"/>
        </w:rPr>
        <w:t>Podle teploty dělíme geotermální zdroje na:</w:t>
      </w:r>
    </w:p>
    <w:p>
      <w:pPr>
        <w:pStyle w:val="Style19"/>
        <w:keepNext w:val="0"/>
        <w:keepLines w:val="0"/>
        <w:widowControl w:val="0"/>
        <w:shd w:val="clear" w:color="auto" w:fill="auto"/>
        <w:bidi w:val="0"/>
        <w:spacing w:before="0" w:after="80" w:line="240" w:lineRule="auto"/>
        <w:ind w:left="0" w:right="0" w:firstLine="0"/>
        <w:jc w:val="left"/>
      </w:pPr>
      <w:r>
        <w:rPr>
          <w:rStyle w:val="CharStyle20"/>
          <w:color w:val="006AB4"/>
          <w:sz w:val="22"/>
          <w:szCs w:val="22"/>
        </w:rPr>
        <w:t xml:space="preserve">^ </w:t>
      </w:r>
      <w:r>
        <w:rPr>
          <w:rStyle w:val="CharStyle20"/>
          <w:b/>
          <w:bCs/>
          <w:color w:val="006AB4"/>
        </w:rPr>
        <w:t>Vysoko-teplotní</w:t>
      </w:r>
    </w:p>
    <w:p>
      <w:pPr>
        <w:pStyle w:val="Style19"/>
        <w:keepNext w:val="0"/>
        <w:keepLines w:val="0"/>
        <w:widowControl w:val="0"/>
        <w:shd w:val="clear" w:color="auto" w:fill="auto"/>
        <w:bidi w:val="0"/>
        <w:spacing w:before="0" w:after="180" w:line="300" w:lineRule="auto"/>
        <w:ind w:left="240" w:right="0" w:firstLine="0"/>
        <w:jc w:val="left"/>
      </w:pPr>
      <w:r>
        <w:rPr>
          <w:rStyle w:val="CharStyle20"/>
        </w:rPr>
        <w:t>Zdroje pracují s párou o teplotě nad 200 °C a jsou pouze ve vulkanicky aktivních oblastech. Lze je využít na přímou výrobu elektřiny</w:t>
      </w:r>
    </w:p>
    <w:p>
      <w:pPr>
        <w:pStyle w:val="Style19"/>
        <w:keepNext w:val="0"/>
        <w:keepLines w:val="0"/>
        <w:widowControl w:val="0"/>
        <w:shd w:val="clear" w:color="auto" w:fill="auto"/>
        <w:bidi w:val="0"/>
        <w:spacing w:before="0" w:after="80" w:line="240" w:lineRule="auto"/>
        <w:ind w:left="0" w:right="0" w:firstLine="0"/>
        <w:jc w:val="left"/>
      </w:pPr>
      <w:r>
        <w:rPr>
          <w:rStyle w:val="CharStyle20"/>
          <w:color w:val="006AB4"/>
          <w:sz w:val="22"/>
          <w:szCs w:val="22"/>
        </w:rPr>
        <w:t xml:space="preserve">^ </w:t>
      </w:r>
      <w:r>
        <w:rPr>
          <w:rStyle w:val="CharStyle20"/>
          <w:b/>
          <w:bCs/>
          <w:color w:val="006AB4"/>
        </w:rPr>
        <w:t>Středně-teplotní</w:t>
      </w:r>
    </w:p>
    <w:p>
      <w:pPr>
        <w:pStyle w:val="Style19"/>
        <w:keepNext w:val="0"/>
        <w:keepLines w:val="0"/>
        <w:widowControl w:val="0"/>
        <w:shd w:val="clear" w:color="auto" w:fill="auto"/>
        <w:bidi w:val="0"/>
        <w:spacing w:before="0" w:after="180" w:line="307" w:lineRule="auto"/>
        <w:ind w:left="240" w:right="0" w:firstLine="0"/>
        <w:jc w:val="left"/>
      </w:pPr>
      <w:r>
        <w:rPr>
          <w:rStyle w:val="CharStyle20"/>
        </w:rPr>
        <w:t>Pára použitá ve zdroji má teplotu v rozmezí 150 °C až 200 °C. Jsou použitelné jak pro přímé vytápění, tak pro výrobu elektřiny</w:t>
      </w:r>
    </w:p>
    <w:p>
      <w:pPr>
        <w:pStyle w:val="Style19"/>
        <w:keepNext w:val="0"/>
        <w:keepLines w:val="0"/>
        <w:widowControl w:val="0"/>
        <w:shd w:val="clear" w:color="auto" w:fill="auto"/>
        <w:bidi w:val="0"/>
        <w:spacing w:before="0" w:after="80" w:line="240" w:lineRule="auto"/>
        <w:ind w:left="0" w:right="0" w:firstLine="0"/>
        <w:jc w:val="left"/>
      </w:pPr>
      <w:r>
        <w:rPr>
          <w:rStyle w:val="CharStyle20"/>
          <w:color w:val="006AB4"/>
          <w:sz w:val="22"/>
          <w:szCs w:val="22"/>
        </w:rPr>
        <w:t xml:space="preserve">^ </w:t>
      </w:r>
      <w:r>
        <w:rPr>
          <w:rStyle w:val="CharStyle20"/>
          <w:b/>
          <w:bCs/>
          <w:color w:val="006AB4"/>
        </w:rPr>
        <w:t>Nízko-teplotní</w:t>
      </w:r>
    </w:p>
    <w:p>
      <w:pPr>
        <w:pStyle w:val="Style19"/>
        <w:keepNext w:val="0"/>
        <w:keepLines w:val="0"/>
        <w:widowControl w:val="0"/>
        <w:shd w:val="clear" w:color="auto" w:fill="auto"/>
        <w:bidi w:val="0"/>
        <w:spacing w:before="0" w:line="300" w:lineRule="auto"/>
        <w:ind w:left="240" w:right="0" w:firstLine="0"/>
        <w:jc w:val="left"/>
      </w:pPr>
      <w:r>
        <w:rPr>
          <w:rStyle w:val="CharStyle20"/>
        </w:rPr>
        <w:t>Zdroje využívají páru v teplotním rozmezí 70 °C až 150 °C, jsou světově nejrozšířenější a najdeme je jak ve vulkanicky aktivních, tak i stabilních oblastech</w:t>
      </w:r>
    </w:p>
    <w:p>
      <w:pPr>
        <w:pStyle w:val="Style19"/>
        <w:keepNext w:val="0"/>
        <w:keepLines w:val="0"/>
        <w:widowControl w:val="0"/>
        <w:shd w:val="clear" w:color="auto" w:fill="auto"/>
        <w:bidi w:val="0"/>
        <w:spacing w:before="0" w:line="300" w:lineRule="auto"/>
        <w:ind w:left="0" w:right="0" w:firstLine="0"/>
        <w:jc w:val="left"/>
      </w:pPr>
      <w:r>
        <w:rPr>
          <w:rStyle w:val="CharStyle20"/>
        </w:rPr>
        <w:t>Vysoko teplotní zdroje jsou v Evropě rozšířeny pouze na Islandu, Itálii, Řecku a Azorech. Nízkoteplotní a středně teplotní zdroje jsou častější, například ve Francii a Maďarsku.</w:t>
      </w:r>
    </w:p>
    <w:p>
      <w:pPr>
        <w:pStyle w:val="Style19"/>
        <w:keepNext w:val="0"/>
        <w:keepLines w:val="0"/>
        <w:widowControl w:val="0"/>
        <w:shd w:val="clear" w:color="auto" w:fill="auto"/>
        <w:bidi w:val="0"/>
        <w:spacing w:before="0" w:line="300" w:lineRule="auto"/>
        <w:ind w:left="0" w:right="0" w:firstLine="0"/>
        <w:jc w:val="left"/>
      </w:pPr>
      <w:r>
        <w:rPr>
          <w:rStyle w:val="CharStyle20"/>
        </w:rPr>
        <w:t>Na základě Vnitrostátního plánu České republiky (NEKP) v oblasti energetiky a klimatu lze předpokládat růst instalovaného výkonu geotermálních zdrojů</w:t>
      </w:r>
    </w:p>
    <w:p>
      <w:pPr>
        <w:pStyle w:val="Style15"/>
        <w:keepNext/>
        <w:keepLines/>
        <w:widowControl w:val="0"/>
        <w:shd w:val="clear" w:color="auto" w:fill="auto"/>
        <w:bidi w:val="0"/>
        <w:spacing w:before="0" w:after="200" w:line="300" w:lineRule="auto"/>
        <w:ind w:left="0" w:right="0" w:firstLine="0"/>
        <w:jc w:val="left"/>
      </w:pPr>
      <w:bookmarkStart w:id="81" w:name="bookmark81"/>
      <w:r>
        <w:rPr>
          <w:rStyle w:val="CharStyle16"/>
          <w:b/>
          <w:bCs/>
        </w:rPr>
        <w:t>Obr. 4.16 Výhled brutto instalovaného výkonu geotermálních zdrojů, včetně potenciálu výroby elektrické energie, tepla a chlazení</w:t>
      </w:r>
      <w:bookmarkEnd w:id="81"/>
    </w:p>
    <w:p>
      <w:pPr>
        <w:pStyle w:val="Style2"/>
        <w:keepNext w:val="0"/>
        <w:keepLines w:val="0"/>
        <w:widowControl w:val="0"/>
        <w:shd w:val="clear" w:color="auto" w:fill="auto"/>
        <w:tabs>
          <w:tab w:pos="8448" w:val="left"/>
        </w:tabs>
        <w:bidi w:val="0"/>
        <w:spacing w:before="0" w:after="0" w:line="240" w:lineRule="auto"/>
        <w:ind w:left="0" w:right="0" w:firstLine="0"/>
        <w:jc w:val="right"/>
        <w:rPr>
          <w:sz w:val="12"/>
          <w:szCs w:val="12"/>
        </w:rPr>
      </w:pPr>
      <w:r>
        <w:rPr>
          <w:rStyle w:val="CharStyle3"/>
          <w:b/>
          <w:bCs/>
          <w:sz w:val="12"/>
          <w:szCs w:val="12"/>
        </w:rPr>
        <w:t>40</w:t>
        <w:tab/>
        <w:t>1 800</w:t>
      </w:r>
    </w:p>
    <w:p>
      <w:pPr>
        <w:widowControl w:val="0"/>
        <w:jc w:val="center"/>
        <w:rPr>
          <w:sz w:val="2"/>
          <w:szCs w:val="2"/>
        </w:rPr>
      </w:pPr>
      <w:r>
        <w:drawing>
          <wp:inline>
            <wp:extent cx="5559425" cy="199326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7"/>
                    <a:stretch/>
                  </pic:blipFill>
                  <pic:spPr>
                    <a:xfrm>
                      <a:ext cx="5559425" cy="1993265"/>
                    </a:xfrm>
                    <a:prstGeom prst="rect"/>
                  </pic:spPr>
                </pic:pic>
              </a:graphicData>
            </a:graphic>
          </wp:inline>
        </w:drawing>
      </w:r>
    </w:p>
    <w:p>
      <w:pPr>
        <w:pStyle w:val="Style2"/>
        <w:keepNext w:val="0"/>
        <w:keepLines w:val="0"/>
        <w:widowControl w:val="0"/>
        <w:shd w:val="clear" w:color="auto" w:fill="auto"/>
        <w:tabs>
          <w:tab w:pos="5026" w:val="left"/>
        </w:tabs>
        <w:bidi w:val="0"/>
        <w:spacing w:before="0" w:after="60" w:line="240" w:lineRule="auto"/>
        <w:ind w:left="250" w:right="0" w:firstLine="0"/>
        <w:jc w:val="left"/>
        <w:rPr>
          <w:sz w:val="16"/>
          <w:szCs w:val="16"/>
        </w:rPr>
      </w:pPr>
      <w:r>
        <w:rPr>
          <w:rStyle w:val="CharStyle3"/>
          <w:color w:val="ED6B5E"/>
          <w:sz w:val="16"/>
          <w:szCs w:val="16"/>
        </w:rPr>
        <w:t xml:space="preserve">| </w:t>
      </w:r>
      <w:r>
        <w:rPr>
          <w:rStyle w:val="CharStyle3"/>
          <w:color w:val="000000"/>
          <w:sz w:val="16"/>
          <w:szCs w:val="16"/>
        </w:rPr>
        <w:t>Očekávaný rozvoj vytápění a chlazení</w:t>
        <w:tab/>
        <w:t>Očekávaný instalovaný elektrický výkon</w:t>
      </w:r>
    </w:p>
    <w:p>
      <w:pPr>
        <w:pStyle w:val="Style2"/>
        <w:keepNext w:val="0"/>
        <w:keepLines w:val="0"/>
        <w:widowControl w:val="0"/>
        <w:shd w:val="clear" w:color="auto" w:fill="auto"/>
        <w:bidi w:val="0"/>
        <w:spacing w:before="0" w:after="0" w:line="240" w:lineRule="auto"/>
        <w:ind w:left="250" w:right="0" w:firstLine="0"/>
        <w:jc w:val="left"/>
        <w:rPr>
          <w:sz w:val="16"/>
          <w:szCs w:val="16"/>
        </w:rPr>
      </w:pPr>
      <w:r>
        <w:rPr>
          <w:rStyle w:val="CharStyle3"/>
          <w:sz w:val="16"/>
          <w:szCs w:val="16"/>
        </w:rPr>
        <w:t xml:space="preserve">| </w:t>
      </w:r>
      <w:r>
        <w:rPr>
          <w:rStyle w:val="CharStyle3"/>
          <w:color w:val="000000"/>
          <w:sz w:val="16"/>
          <w:szCs w:val="16"/>
        </w:rPr>
        <w:t>Očekávaný rozvoj výroby elektřiny</w:t>
      </w:r>
    </w:p>
    <w:p>
      <w:pPr>
        <w:widowControl w:val="0"/>
        <w:spacing w:after="259" w:line="1" w:lineRule="exact"/>
      </w:pPr>
    </w:p>
    <w:p>
      <w:pPr>
        <w:pStyle w:val="Style5"/>
        <w:keepNext w:val="0"/>
        <w:keepLines w:val="0"/>
        <w:widowControl w:val="0"/>
        <w:numPr>
          <w:ilvl w:val="0"/>
          <w:numId w:val="15"/>
        </w:numPr>
        <w:shd w:val="clear" w:color="auto" w:fill="auto"/>
        <w:tabs>
          <w:tab w:pos="2616" w:val="left"/>
          <w:tab w:pos="5237" w:val="left"/>
        </w:tabs>
        <w:bidi w:val="0"/>
        <w:spacing w:before="0" w:after="80" w:line="240" w:lineRule="auto"/>
        <w:ind w:left="0" w:right="0" w:firstLine="0"/>
        <w:jc w:val="center"/>
        <w:rPr>
          <w:sz w:val="60"/>
          <w:szCs w:val="60"/>
        </w:rPr>
      </w:pPr>
      <w:r>
        <w:rPr>
          <w:rStyle w:val="CharStyle6"/>
          <w:rFonts w:ascii="Courier New" w:eastAsia="Courier New" w:hAnsi="Courier New" w:cs="Courier New"/>
          <w:color w:val="B7B8B8"/>
          <w:sz w:val="60"/>
          <w:szCs w:val="60"/>
          <w:vertAlign w:val="superscript"/>
        </w:rPr>
        <w:t>1</w:t>
        <w:tab/>
        <w:t>1</w:t>
      </w:r>
    </w:p>
    <w:p>
      <w:pPr>
        <w:pStyle w:val="Style19"/>
        <w:keepNext w:val="0"/>
        <w:keepLines w:val="0"/>
        <w:widowControl w:val="0"/>
        <w:shd w:val="clear" w:color="auto" w:fill="auto"/>
        <w:bidi w:val="0"/>
        <w:spacing w:before="0" w:after="260"/>
        <w:ind w:left="2680" w:right="0" w:firstLine="0"/>
        <w:jc w:val="left"/>
      </w:pPr>
      <w:r>
        <w:rPr>
          <w:rStyle w:val="CharStyle20"/>
        </w:rPr>
        <w:t>(viz Obr. 4.16). Forma státní podpory bude dle NEKP stanovena ročním zeleným bonusem. Doba podpory v případě výstavby nových výroben geotermální energie bude stanovena po dobu životnosti 20 let, v případě tzv. udržovací podpory bude stanovena minimálně 3 roky od vyhlášení podpory v nařízení vlády.</w:t>
      </w:r>
    </w:p>
    <w:p>
      <w:pPr>
        <w:pStyle w:val="Style27"/>
        <w:keepNext/>
        <w:keepLines/>
        <w:widowControl w:val="0"/>
        <w:numPr>
          <w:ilvl w:val="1"/>
          <w:numId w:val="15"/>
        </w:numPr>
        <w:shd w:val="clear" w:color="auto" w:fill="auto"/>
        <w:tabs>
          <w:tab w:pos="3101" w:val="left"/>
        </w:tabs>
        <w:bidi w:val="0"/>
        <w:spacing w:before="0" w:after="0"/>
        <w:ind w:left="2680" w:right="0" w:firstLine="0"/>
        <w:jc w:val="left"/>
      </w:pPr>
      <w:bookmarkStart w:id="83" w:name="bookmark83"/>
      <w:r>
        <w:rPr>
          <w:rStyle w:val="CharStyle28"/>
          <w:b/>
          <w:bCs/>
        </w:rPr>
        <w:t>BATERIOVÁ AKUMULACE</w:t>
      </w:r>
      <w:bookmarkEnd w:id="83"/>
    </w:p>
    <w:p>
      <w:pPr>
        <w:pStyle w:val="Style19"/>
        <w:keepNext w:val="0"/>
        <w:keepLines w:val="0"/>
        <w:widowControl w:val="0"/>
        <w:shd w:val="clear" w:color="auto" w:fill="auto"/>
        <w:bidi w:val="0"/>
        <w:spacing w:before="0" w:after="260"/>
        <w:ind w:left="2680" w:right="0" w:firstLine="0"/>
        <w:jc w:val="left"/>
      </w:pPr>
      <w:r>
        <w:rPr>
          <w:rStyle w:val="CharStyle20"/>
        </w:rPr>
        <w:t>K rozvoji bateriové akumulace dochází postupně především z důvodu poklesu cen technologie a podmíněné instalaci baterií zejména k fotovoltaickým elektrárnám. Mimo domácí bateriové systémy ke střešní fotovoltaice jsou uvažovány i velké stacionární baterie, které jsou schopné dosahovat výkonů v řádu jednotek až desítek MW. Rychlost rozvoje akumulace je dána ekonomickou návratností investice ovlivněnou v dnešní době podporou na instalaci, ukotvením akumulace v legislativě a v neposlední řadě i současnými vysokými cenami plynu a elektřiny. Predikce pro Českou republiku vychází ze známých hodnot současných kapacit a instalovaných výkonů bateriových úložišť v České republice a Německu. Poměr výkonu a kapacity u baterií je uvažován jako 1 MW výkonu na 1,3 MWh energie.</w:t>
      </w:r>
    </w:p>
    <w:p>
      <w:pPr>
        <w:pStyle w:val="Style19"/>
        <w:keepNext w:val="0"/>
        <w:keepLines w:val="0"/>
        <w:widowControl w:val="0"/>
        <w:shd w:val="clear" w:color="auto" w:fill="auto"/>
        <w:bidi w:val="0"/>
        <w:spacing w:before="0" w:after="260" w:line="300" w:lineRule="auto"/>
        <w:ind w:left="2680" w:right="0" w:firstLine="0"/>
        <w:jc w:val="left"/>
      </w:pPr>
      <w:r>
        <w:rPr>
          <w:rStyle w:val="CharStyle20"/>
        </w:rPr>
        <w:t>Pro potřeby tohoto dokumentu byly vytvořeny následující trajektorie možného vývoje stacionární bateriové akumulace:</w:t>
      </w:r>
    </w:p>
    <w:p>
      <w:pPr>
        <w:pStyle w:val="Style19"/>
        <w:keepNext w:val="0"/>
        <w:keepLines w:val="0"/>
        <w:widowControl w:val="0"/>
        <w:numPr>
          <w:ilvl w:val="0"/>
          <w:numId w:val="17"/>
        </w:numPr>
        <w:shd w:val="clear" w:color="auto" w:fill="auto"/>
        <w:tabs>
          <w:tab w:pos="2991" w:val="left"/>
        </w:tabs>
        <w:bidi w:val="0"/>
        <w:spacing w:before="0" w:after="260"/>
        <w:ind w:left="2680" w:right="0" w:firstLine="0"/>
        <w:jc w:val="left"/>
      </w:pPr>
      <w:r>
        <w:rPr>
          <w:rStyle w:val="CharStyle20"/>
          <w:b/>
          <w:bCs/>
        </w:rPr>
        <w:t>Respondentní a Konzervativní predikce</w:t>
      </w:r>
    </w:p>
    <w:p>
      <w:pPr>
        <w:pStyle w:val="Style19"/>
        <w:keepNext w:val="0"/>
        <w:keepLines w:val="0"/>
        <w:widowControl w:val="0"/>
        <w:shd w:val="clear" w:color="auto" w:fill="auto"/>
        <w:bidi w:val="0"/>
        <w:spacing w:before="0" w:after="200" w:line="300" w:lineRule="auto"/>
        <w:ind w:left="2680" w:right="0" w:firstLine="0"/>
        <w:jc w:val="left"/>
      </w:pPr>
      <w:r>
        <w:rPr>
          <w:rStyle w:val="CharStyle20"/>
          <w:u w:val="single"/>
        </w:rPr>
        <w:t>Uvažované předpoklady:</w:t>
      </w:r>
    </w:p>
    <w:p>
      <w:pPr>
        <w:pStyle w:val="Style19"/>
        <w:keepNext w:val="0"/>
        <w:keepLines w:val="0"/>
        <w:widowControl w:val="0"/>
        <w:shd w:val="clear" w:color="auto" w:fill="auto"/>
        <w:bidi w:val="0"/>
        <w:spacing w:before="0" w:after="200" w:line="271" w:lineRule="auto"/>
        <w:ind w:left="2900" w:right="0" w:hanging="220"/>
        <w:jc w:val="left"/>
      </w:pPr>
      <w:r>
        <w:rPr>
          <w:rStyle w:val="CharStyle20"/>
          <w:color w:val="006AB4"/>
          <w:sz w:val="22"/>
          <w:szCs w:val="22"/>
        </w:rPr>
        <w:t xml:space="preserve">^ </w:t>
      </w:r>
      <w:r>
        <w:rPr>
          <w:rStyle w:val="CharStyle20"/>
        </w:rPr>
        <w:t>Přechod společnosti na decentrální výrobu v místech, kde je to ekonomicky smysluplné</w:t>
      </w:r>
    </w:p>
    <w:p>
      <w:pPr>
        <w:pStyle w:val="Style19"/>
        <w:keepNext w:val="0"/>
        <w:keepLines w:val="0"/>
        <w:widowControl w:val="0"/>
        <w:shd w:val="clear" w:color="auto" w:fill="auto"/>
        <w:bidi w:val="0"/>
        <w:spacing w:before="0" w:after="200" w:line="271" w:lineRule="auto"/>
        <w:ind w:left="2900" w:right="0" w:hanging="220"/>
        <w:jc w:val="left"/>
      </w:pPr>
      <w:r>
        <w:rPr>
          <w:rStyle w:val="CharStyle20"/>
          <w:color w:val="006AB4"/>
          <w:sz w:val="22"/>
          <w:szCs w:val="22"/>
        </w:rPr>
        <w:t xml:space="preserve">^ </w:t>
      </w:r>
      <w:r>
        <w:rPr>
          <w:rStyle w:val="CharStyle20"/>
        </w:rPr>
        <w:t>Vodíkové technologie se rychle vyvíjejí a dostávají na trh, což má za následek menší uplatnění bateriových úložišť a dřívější zpomalení růstu velké akumulace</w:t>
      </w:r>
    </w:p>
    <w:p>
      <w:pPr>
        <w:pStyle w:val="Style19"/>
        <w:keepNext w:val="0"/>
        <w:keepLines w:val="0"/>
        <w:widowControl w:val="0"/>
        <w:shd w:val="clear" w:color="auto" w:fill="auto"/>
        <w:bidi w:val="0"/>
        <w:spacing w:before="0" w:after="220" w:line="271" w:lineRule="auto"/>
        <w:ind w:left="2900" w:right="0" w:hanging="220"/>
        <w:jc w:val="left"/>
      </w:pPr>
      <w:bookmarkStart w:id="85" w:name="bookmark85"/>
      <w:r>
        <w:rPr>
          <w:rStyle w:val="CharStyle20"/>
          <w:color w:val="006AB4"/>
          <w:sz w:val="22"/>
          <w:szCs w:val="22"/>
        </w:rPr>
        <w:t xml:space="preserve">^ </w:t>
      </w:r>
      <w:r>
        <w:rPr>
          <w:rStyle w:val="CharStyle20"/>
        </w:rPr>
        <w:t>Oblast velké akumulace je podporována specifickými dotační programy na úrovni EU (projekty PCI, nebo výzvy CEF atd.)</w:t>
      </w:r>
      <w:bookmarkEnd w:id="85"/>
    </w:p>
    <w:p>
      <w:pPr>
        <w:pStyle w:val="Style19"/>
        <w:keepNext w:val="0"/>
        <w:keepLines w:val="0"/>
        <w:widowControl w:val="0"/>
        <w:numPr>
          <w:ilvl w:val="0"/>
          <w:numId w:val="17"/>
        </w:numPr>
        <w:shd w:val="clear" w:color="auto" w:fill="auto"/>
        <w:tabs>
          <w:tab w:pos="325" w:val="left"/>
        </w:tabs>
        <w:bidi w:val="0"/>
        <w:spacing w:before="0" w:after="260" w:line="300" w:lineRule="auto"/>
        <w:ind w:left="0" w:right="0" w:firstLine="0"/>
        <w:jc w:val="left"/>
      </w:pPr>
      <w:r>
        <w:rPr>
          <w:rStyle w:val="CharStyle20"/>
          <w:b/>
          <w:bCs/>
        </w:rPr>
        <w:t>Progresivní a Dekarbonizační predikce</w:t>
      </w:r>
    </w:p>
    <w:p>
      <w:pPr>
        <w:pStyle w:val="Style19"/>
        <w:keepNext w:val="0"/>
        <w:keepLines w:val="0"/>
        <w:widowControl w:val="0"/>
        <w:shd w:val="clear" w:color="auto" w:fill="auto"/>
        <w:bidi w:val="0"/>
        <w:spacing w:before="0" w:after="200" w:line="300" w:lineRule="auto"/>
        <w:ind w:left="0" w:right="0" w:firstLine="0"/>
        <w:jc w:val="left"/>
      </w:pPr>
      <w:r>
        <w:rPr>
          <w:rStyle w:val="CharStyle20"/>
          <w:u w:val="single"/>
        </w:rPr>
        <w:t>Uvažované předpoklady:</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Rozvoj bateriové akumulace je stimulován potřebou trhu vyrovnávat přemíru přebytků elektřiny vyrobené z OZE</w:t>
      </w:r>
    </w:p>
    <w:p>
      <w:pPr>
        <w:pStyle w:val="Style19"/>
        <w:keepNext w:val="0"/>
        <w:keepLines w:val="0"/>
        <w:widowControl w:val="0"/>
        <w:shd w:val="clear" w:color="auto" w:fill="auto"/>
        <w:bidi w:val="0"/>
        <w:spacing w:before="0" w:after="200" w:line="283" w:lineRule="auto"/>
        <w:ind w:left="240" w:right="0" w:hanging="240"/>
        <w:jc w:val="left"/>
      </w:pPr>
      <w:r>
        <w:rPr>
          <w:rStyle w:val="CharStyle20"/>
          <w:color w:val="006AB4"/>
          <w:sz w:val="22"/>
          <w:szCs w:val="22"/>
        </w:rPr>
        <w:t xml:space="preserve">^ </w:t>
      </w:r>
      <w:r>
        <w:rPr>
          <w:rStyle w:val="CharStyle20"/>
        </w:rPr>
        <w:t>Oblast bateriové akumulace je podporována specifickými dotačními programy na úrovni EU (projekty PCI, nebo výzvy CEF atd.), ale rovněž subvencemi na národní úrovni</w:t>
      </w:r>
    </w:p>
    <w:p>
      <w:pPr>
        <w:pStyle w:val="Style19"/>
        <w:keepNext w:val="0"/>
        <w:keepLines w:val="0"/>
        <w:widowControl w:val="0"/>
        <w:shd w:val="clear" w:color="auto" w:fill="auto"/>
        <w:bidi w:val="0"/>
        <w:spacing w:before="0" w:after="260" w:line="271" w:lineRule="auto"/>
        <w:ind w:left="240" w:right="0" w:hanging="240"/>
        <w:jc w:val="left"/>
      </w:pPr>
      <w:r>
        <w:rPr>
          <w:rStyle w:val="CharStyle20"/>
          <w:color w:val="006AB4"/>
          <w:sz w:val="22"/>
          <w:szCs w:val="22"/>
        </w:rPr>
        <w:t xml:space="preserve">^ </w:t>
      </w:r>
      <w:r>
        <w:rPr>
          <w:rStyle w:val="CharStyle20"/>
        </w:rPr>
        <w:t>S vyšší cenou systémové odchylky existuje větší poptávka po optimalizaci odchylek subjektů zúčtování, zároveň dochází k pozvolnému rozvoji nových služeb agregace</w:t>
      </w:r>
    </w:p>
    <w:p>
      <w:pPr>
        <w:pStyle w:val="Style19"/>
        <w:keepNext w:val="0"/>
        <w:keepLines w:val="0"/>
        <w:widowControl w:val="0"/>
        <w:shd w:val="clear" w:color="auto" w:fill="auto"/>
        <w:bidi w:val="0"/>
        <w:spacing w:before="0" w:after="620" w:line="300" w:lineRule="auto"/>
        <w:ind w:left="0" w:right="0" w:firstLine="0"/>
        <w:jc w:val="left"/>
      </w:pPr>
      <w:r>
        <w:rPr>
          <w:rStyle w:val="CharStyle20"/>
        </w:rPr>
        <w:t>Vzhledem k tomu, že sestavování scénářů bateriové akumulace probíhalo v průběhu roku, nemusí hodnoty pro blízkou budoucnost plně reflektovat aktuální zrychlený rozvoj instalací způsobený investicemi motivovanými prudkým nárůstem cen energetických komodit. Středně a dlouhodobé trajektorie jsou v souladu s rozvojem OZE.</w:t>
      </w:r>
    </w:p>
    <w:p>
      <w:pPr>
        <w:pStyle w:val="Style15"/>
        <w:keepNext/>
        <w:keepLines/>
        <w:widowControl w:val="0"/>
        <w:shd w:val="clear" w:color="auto" w:fill="auto"/>
        <w:bidi w:val="0"/>
        <w:spacing w:before="0" w:after="460" w:line="240" w:lineRule="auto"/>
        <w:ind w:left="0" w:right="0" w:firstLine="0"/>
        <w:jc w:val="left"/>
      </w:pPr>
      <w:bookmarkStart w:id="86" w:name="bookmark86"/>
      <w:r>
        <w:rPr>
          <w:rStyle w:val="CharStyle16"/>
          <w:b/>
          <w:bCs/>
        </w:rPr>
        <w:t>Obr. 4.17 Výhled vývoje bateriové akumulace</w:t>
      </w:r>
      <w:bookmarkEnd w:id="86"/>
    </w:p>
    <w:p>
      <w:pPr>
        <w:framePr w:w="9307" w:h="3014" w:hSpace="466" w:vSpace="494" w:wrap="notBeside" w:vAnchor="text" w:hAnchor="text" w:x="436" w:y="495"/>
        <w:widowControl w:val="0"/>
        <w:rPr>
          <w:sz w:val="2"/>
          <w:szCs w:val="2"/>
        </w:rPr>
      </w:pPr>
      <w:r>
        <w:drawing>
          <wp:inline>
            <wp:extent cx="5913120" cy="191389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9"/>
                    <a:stretch/>
                  </pic:blipFill>
                  <pic:spPr>
                    <a:xfrm>
                      <a:ext cx="5913120" cy="1913890"/>
                    </a:xfrm>
                    <a:prstGeom prst="rect"/>
                  </pic:spPr>
                </pic:pic>
              </a:graphicData>
            </a:graphic>
          </wp:inline>
        </w:drawing>
      </w:r>
    </w:p>
    <w:p>
      <w:pPr>
        <w:widowControl w:val="0"/>
        <w:spacing w:line="1" w:lineRule="exact"/>
      </w:pPr>
      <w:r>
        <mc:AlternateContent>
          <mc:Choice Requires="wps">
            <w:drawing>
              <wp:anchor distT="0" distB="0" distL="0" distR="5950585" simplePos="0" relativeHeight="125829408" behindDoc="0" locked="0" layoutInCell="1" allowOverlap="1">
                <wp:simplePos x="0" y="0"/>
                <wp:positionH relativeFrom="column">
                  <wp:posOffset>257810</wp:posOffset>
                </wp:positionH>
                <wp:positionV relativeFrom="paragraph">
                  <wp:posOffset>0</wp:posOffset>
                </wp:positionV>
                <wp:extent cx="234950" cy="115570"/>
                <wp:wrapTopAndBottom/>
                <wp:docPr id="105" name="Shape 105"/>
                <a:graphic xmlns:a="http://schemas.openxmlformats.org/drawingml/2006/main">
                  <a:graphicData uri="http://schemas.microsoft.com/office/word/2010/wordprocessingShape">
                    <wps:wsp>
                      <wps:cNvSpPr txBox="1"/>
                      <wps:spPr>
                        <a:xfrm>
                          <a:ext cx="23495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3 000</w:t>
                            </w:r>
                          </w:p>
                        </w:txbxContent>
                      </wps:txbx>
                      <wps:bodyPr lIns="0" tIns="0" rIns="0" bIns="0">
                        <a:noAutoFit/>
                      </wps:bodyPr>
                    </wps:wsp>
                  </a:graphicData>
                </a:graphic>
              </wp:anchor>
            </w:drawing>
          </mc:Choice>
          <mc:Fallback>
            <w:pict>
              <v:shape id="_x0000_s1131" type="#_x0000_t202" style="position:absolute;margin-left:20.300000000000001pt;margin-top:0;width:18.5pt;height:9.0999999999999996pt;z-index:-125829345;mso-wrap-distance-left:0;mso-wrap-distance-right:468.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3 000</w:t>
                      </w:r>
                    </w:p>
                  </w:txbxContent>
                </v:textbox>
                <w10:wrap type="topAndBottom"/>
              </v:shape>
            </w:pict>
          </mc:Fallback>
        </mc:AlternateContent>
      </w:r>
      <w:r>
        <mc:AlternateContent>
          <mc:Choice Requires="wps">
            <w:drawing>
              <wp:anchor distT="0" distB="0" distL="0" distR="6102985" simplePos="0" relativeHeight="125829410" behindDoc="0" locked="0" layoutInCell="1" allowOverlap="1">
                <wp:simplePos x="0" y="0"/>
                <wp:positionH relativeFrom="column">
                  <wp:posOffset>-4445</wp:posOffset>
                </wp:positionH>
                <wp:positionV relativeFrom="paragraph">
                  <wp:posOffset>835025</wp:posOffset>
                </wp:positionV>
                <wp:extent cx="82550" cy="97790"/>
                <wp:wrapTopAndBottom/>
                <wp:docPr id="107" name="Shape 107"/>
                <a:graphic xmlns:a="http://schemas.openxmlformats.org/drawingml/2006/main">
                  <a:graphicData uri="http://schemas.microsoft.com/office/word/2010/wordprocessingShape">
                    <wps:wsp>
                      <wps:cNvSpPr txBox="1"/>
                      <wps:spPr>
                        <a:xfrm>
                          <a:ext cx="8255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o</w:t>
                            </w:r>
                          </w:p>
                        </w:txbxContent>
                      </wps:txbx>
                      <wps:bodyPr lIns="0" tIns="0" rIns="0" bIns="0">
                        <a:noAutoFit/>
                      </wps:bodyPr>
                    </wps:wsp>
                  </a:graphicData>
                </a:graphic>
              </wp:anchor>
            </w:drawing>
          </mc:Choice>
          <mc:Fallback>
            <w:pict>
              <v:shape id="_x0000_s1133" type="#_x0000_t202" style="position:absolute;margin-left:-0.35000000000000003pt;margin-top:65.75pt;width:6.5pt;height:7.7000000000000002pt;z-index:-125829343;mso-wrap-distance-left:0;mso-wrap-distance-right:480.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o</w:t>
                      </w:r>
                    </w:p>
                  </w:txbxContent>
                </v:textbox>
                <w10:wrap type="topAndBottom"/>
              </v:shape>
            </w:pict>
          </mc:Fallback>
        </mc:AlternateContent>
      </w:r>
      <w:r>
        <mc:AlternateContent>
          <mc:Choice Requires="wps">
            <w:drawing>
              <wp:anchor distT="0" distB="0" distL="0" distR="6102985" simplePos="0" relativeHeight="125829412" behindDoc="0" locked="0" layoutInCell="1" allowOverlap="1">
                <wp:simplePos x="0" y="0"/>
                <wp:positionH relativeFrom="column">
                  <wp:posOffset>-4445</wp:posOffset>
                </wp:positionH>
                <wp:positionV relativeFrom="paragraph">
                  <wp:posOffset>1264920</wp:posOffset>
                </wp:positionV>
                <wp:extent cx="82550" cy="97790"/>
                <wp:wrapTopAndBottom/>
                <wp:docPr id="109" name="Shape 109"/>
                <a:graphic xmlns:a="http://schemas.openxmlformats.org/drawingml/2006/main">
                  <a:graphicData uri="http://schemas.microsoft.com/office/word/2010/wordprocessingShape">
                    <wps:wsp>
                      <wps:cNvSpPr txBox="1"/>
                      <wps:spPr>
                        <a:xfrm>
                          <a:ext cx="8255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o</w:t>
                            </w:r>
                          </w:p>
                        </w:txbxContent>
                      </wps:txbx>
                      <wps:bodyPr lIns="0" tIns="0" rIns="0" bIns="0">
                        <a:noAutoFit/>
                      </wps:bodyPr>
                    </wps:wsp>
                  </a:graphicData>
                </a:graphic>
              </wp:anchor>
            </w:drawing>
          </mc:Choice>
          <mc:Fallback>
            <w:pict>
              <v:shape id="_x0000_s1135" type="#_x0000_t202" style="position:absolute;margin-left:-0.35000000000000003pt;margin-top:99.600000000000009pt;width:6.5pt;height:7.7000000000000002pt;z-index:-125829341;mso-wrap-distance-left:0;mso-wrap-distance-right:480.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o</w:t>
                      </w:r>
                    </w:p>
                  </w:txbxContent>
                </v:textbox>
                <w10:wrap type="topAndBottom"/>
              </v:shape>
            </w:pict>
          </mc:Fallback>
        </mc:AlternateContent>
      </w:r>
      <w:r>
        <mc:AlternateContent>
          <mc:Choice Requires="wps">
            <w:drawing>
              <wp:anchor distT="0" distB="0" distL="0" distR="6087745" simplePos="0" relativeHeight="125829414" behindDoc="0" locked="0" layoutInCell="1" allowOverlap="1">
                <wp:simplePos x="0" y="0"/>
                <wp:positionH relativeFrom="column">
                  <wp:posOffset>-19685</wp:posOffset>
                </wp:positionH>
                <wp:positionV relativeFrom="paragraph">
                  <wp:posOffset>551180</wp:posOffset>
                </wp:positionV>
                <wp:extent cx="97790" cy="155575"/>
                <wp:wrapTopAndBottom/>
                <wp:docPr id="111" name="Shape 111"/>
                <a:graphic xmlns:a="http://schemas.openxmlformats.org/drawingml/2006/main">
                  <a:graphicData uri="http://schemas.microsoft.com/office/word/2010/wordprocessingShape">
                    <wps:wsp>
                      <wps:cNvSpPr txBox="1"/>
                      <wps:spPr>
                        <a:xfrm>
                          <a:ext cx="97790" cy="1555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w:t>
                            </w:r>
                          </w:p>
                        </w:txbxContent>
                      </wps:txbx>
                      <wps:bodyPr lIns="0" tIns="0" rIns="0" bIns="0">
                        <a:noAutoFit/>
                      </wps:bodyPr>
                    </wps:wsp>
                  </a:graphicData>
                </a:graphic>
              </wp:anchor>
            </w:drawing>
          </mc:Choice>
          <mc:Fallback>
            <w:pict>
              <v:shape id="_x0000_s1137" type="#_x0000_t202" style="position:absolute;margin-left:-1.55pt;margin-top:43.399999999999999pt;width:7.7000000000000002pt;height:12.25pt;z-index:-125829339;mso-wrap-distance-left:0;mso-wrap-distance-right:479.35000000000002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w:t>
                      </w:r>
                    </w:p>
                  </w:txbxContent>
                </v:textbox>
                <w10:wrap type="topAndBottom"/>
              </v:shape>
            </w:pict>
          </mc:Fallback>
        </mc:AlternateContent>
      </w:r>
    </w:p>
    <w:p>
      <w:pPr>
        <w:framePr w:w="9754" w:h="3480" w:vSpace="581" w:wrap="notBeside" w:vAnchor="text" w:hAnchor="text" w:x="-21" w:y="1"/>
        <w:widowControl w:val="0"/>
        <w:rPr>
          <w:sz w:val="2"/>
          <w:szCs w:val="2"/>
        </w:rPr>
      </w:pPr>
      <w:r>
        <w:drawing>
          <wp:inline>
            <wp:extent cx="6193790" cy="2212975"/>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91"/>
                    <a:stretch/>
                  </pic:blipFill>
                  <pic:spPr>
                    <a:xfrm>
                      <a:ext cx="6193790" cy="2212975"/>
                    </a:xfrm>
                    <a:prstGeom prst="rect"/>
                  </pic:spPr>
                </pic:pic>
              </a:graphicData>
            </a:graphic>
          </wp:inline>
        </w:drawing>
      </w:r>
    </w:p>
    <w:p>
      <w:pPr>
        <w:widowControl w:val="0"/>
        <w:spacing w:line="1" w:lineRule="exact"/>
      </w:pPr>
      <w:r>
        <mc:AlternateContent>
          <mc:Choice Requires="wps">
            <w:drawing>
              <wp:anchor distT="0" distB="0" distL="0" distR="4286885" simplePos="0" relativeHeight="125829416" behindDoc="0" locked="0" layoutInCell="1" allowOverlap="1">
                <wp:simplePos x="0" y="0"/>
                <wp:positionH relativeFrom="column">
                  <wp:posOffset>922020</wp:posOffset>
                </wp:positionH>
                <wp:positionV relativeFrom="paragraph">
                  <wp:posOffset>2438400</wp:posOffset>
                </wp:positionV>
                <wp:extent cx="1892935" cy="140335"/>
                <wp:wrapTopAndBottom/>
                <wp:docPr id="114" name="Shape 114"/>
                <a:graphic xmlns:a="http://schemas.openxmlformats.org/drawingml/2006/main">
                  <a:graphicData uri="http://schemas.microsoft.com/office/word/2010/wordprocessingShape">
                    <wps:wsp>
                      <wps:cNvSpPr txBox="1"/>
                      <wps:spPr>
                        <a:xfrm>
                          <a:ext cx="189293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Respondentní a Konzervativní predikce</w:t>
                            </w:r>
                          </w:p>
                        </w:txbxContent>
                      </wps:txbx>
                      <wps:bodyPr lIns="0" tIns="0" rIns="0" bIns="0">
                        <a:noAutoFit/>
                      </wps:bodyPr>
                    </wps:wsp>
                  </a:graphicData>
                </a:graphic>
              </wp:anchor>
            </w:drawing>
          </mc:Choice>
          <mc:Fallback>
            <w:pict>
              <v:shape id="_x0000_s1140" type="#_x0000_t202" style="position:absolute;margin-left:72.600000000000009pt;margin-top:192.pt;width:149.05000000000001pt;height:11.050000000000001pt;z-index:-125829337;mso-wrap-distance-left:0;mso-wrap-distance-right:337.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Respondentní a Konzervativní predikce</w:t>
                      </w:r>
                    </w:p>
                  </w:txbxContent>
                </v:textbox>
                <w10:wrap type="topAndBottom"/>
              </v:shape>
            </w:pict>
          </mc:Fallback>
        </mc:AlternateContent>
      </w:r>
      <w:r>
        <mc:AlternateContent>
          <mc:Choice Requires="wps">
            <w:drawing>
              <wp:anchor distT="0" distB="0" distL="0" distR="4332605" simplePos="0" relativeHeight="125829418" behindDoc="0" locked="0" layoutInCell="1" allowOverlap="1">
                <wp:simplePos x="0" y="0"/>
                <wp:positionH relativeFrom="column">
                  <wp:posOffset>3536950</wp:posOffset>
                </wp:positionH>
                <wp:positionV relativeFrom="paragraph">
                  <wp:posOffset>2438400</wp:posOffset>
                </wp:positionV>
                <wp:extent cx="1847215" cy="140335"/>
                <wp:wrapTopAndBottom/>
                <wp:docPr id="116" name="Shape 116"/>
                <a:graphic xmlns:a="http://schemas.openxmlformats.org/drawingml/2006/main">
                  <a:graphicData uri="http://schemas.microsoft.com/office/word/2010/wordprocessingShape">
                    <wps:wsp>
                      <wps:cNvSpPr txBox="1"/>
                      <wps:spPr>
                        <a:xfrm>
                          <a:ext cx="1847215"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Progresivní a Dekarbonizační predikce</w:t>
                            </w:r>
                          </w:p>
                        </w:txbxContent>
                      </wps:txbx>
                      <wps:bodyPr lIns="0" tIns="0" rIns="0" bIns="0">
                        <a:noAutoFit/>
                      </wps:bodyPr>
                    </wps:wsp>
                  </a:graphicData>
                </a:graphic>
              </wp:anchor>
            </w:drawing>
          </mc:Choice>
          <mc:Fallback>
            <w:pict>
              <v:shape id="_x0000_s1142" type="#_x0000_t202" style="position:absolute;margin-left:278.5pt;margin-top:192.pt;width:145.45000000000002pt;height:11.050000000000001pt;z-index:-125829335;mso-wrap-distance-left:0;mso-wrap-distance-right:341.15000000000003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Progresivní a Dekarbonizační predikce</w:t>
                      </w:r>
                    </w:p>
                  </w:txbxContent>
                </v:textbox>
                <w10:wrap type="topAndBottom"/>
              </v:shape>
            </w:pict>
          </mc:Fallback>
        </mc:AlternateContent>
      </w:r>
    </w:p>
    <w:p>
      <w:pPr>
        <w:pStyle w:val="Style27"/>
        <w:keepNext/>
        <w:keepLines/>
        <w:widowControl w:val="0"/>
        <w:numPr>
          <w:ilvl w:val="1"/>
          <w:numId w:val="15"/>
        </w:numPr>
        <w:shd w:val="clear" w:color="auto" w:fill="auto"/>
        <w:tabs>
          <w:tab w:pos="3061" w:val="left"/>
        </w:tabs>
        <w:bidi w:val="0"/>
        <w:spacing w:before="0" w:after="0"/>
        <w:ind w:left="2620" w:right="0" w:firstLine="0"/>
        <w:jc w:val="left"/>
      </w:pPr>
      <w:bookmarkStart w:id="88" w:name="bookmark88"/>
      <w:r>
        <w:rPr>
          <w:rStyle w:val="CharStyle28"/>
          <w:b/>
          <w:bCs/>
        </w:rPr>
        <w:t>VODÍK</w:t>
      </w:r>
      <w:bookmarkEnd w:id="88"/>
    </w:p>
    <w:p>
      <w:pPr>
        <w:pStyle w:val="Style19"/>
        <w:keepNext w:val="0"/>
        <w:keepLines w:val="0"/>
        <w:widowControl w:val="0"/>
        <w:shd w:val="clear" w:color="auto" w:fill="auto"/>
        <w:bidi w:val="0"/>
        <w:spacing w:before="0" w:after="200"/>
        <w:ind w:left="2620" w:right="0" w:firstLine="0"/>
        <w:jc w:val="left"/>
      </w:pPr>
      <w:r>
        <w:rPr>
          <w:rStyle w:val="CharStyle20"/>
        </w:rPr>
        <w:t>Taxonomické zařazení vodíku do příslušných kategorií je kombinací primárního zdroje energie a výrobního procesu vodíku, jež dohromady determinují emisní náročnost výsledné produkce (v CO</w:t>
      </w:r>
      <w:r>
        <w:rPr>
          <w:rStyle w:val="CharStyle20"/>
          <w:sz w:val="10"/>
          <w:szCs w:val="10"/>
        </w:rPr>
        <w:t xml:space="preserve">2 </w:t>
      </w:r>
      <w:r>
        <w:rPr>
          <w:rStyle w:val="CharStyle20"/>
        </w:rPr>
        <w:t>ekv.). Podle této emisní náročnosti a typu primárního zdroje energie lze vodík klasifikovat následovně:</w:t>
      </w:r>
    </w:p>
    <w:p>
      <w:pPr>
        <w:pStyle w:val="Style19"/>
        <w:keepNext w:val="0"/>
        <w:keepLines w:val="0"/>
        <w:widowControl w:val="0"/>
        <w:shd w:val="clear" w:color="auto" w:fill="auto"/>
        <w:bidi w:val="0"/>
        <w:spacing w:before="0" w:after="200" w:line="271" w:lineRule="auto"/>
        <w:ind w:left="2840" w:right="0" w:hanging="220"/>
        <w:jc w:val="left"/>
      </w:pPr>
      <w:r>
        <w:rPr>
          <w:rStyle w:val="CharStyle20"/>
          <w:color w:val="006AB4"/>
          <w:sz w:val="22"/>
          <w:szCs w:val="22"/>
        </w:rPr>
        <w:t xml:space="preserve">^ </w:t>
      </w:r>
      <w:r>
        <w:rPr>
          <w:rStyle w:val="CharStyle20"/>
        </w:rPr>
        <w:t>Šedý vodík se získává z fosilního plynu nejčastěji parním reformingem, emise CO</w:t>
      </w:r>
      <w:r>
        <w:rPr>
          <w:rStyle w:val="CharStyle20"/>
          <w:sz w:val="10"/>
          <w:szCs w:val="10"/>
        </w:rPr>
        <w:t xml:space="preserve">2 </w:t>
      </w:r>
      <w:r>
        <w:rPr>
          <w:rStyle w:val="CharStyle20"/>
        </w:rPr>
        <w:t>nejsou zachycovány a jsou uvolňovány do atmosféry</w:t>
      </w:r>
    </w:p>
    <w:p>
      <w:pPr>
        <w:pStyle w:val="Style19"/>
        <w:keepNext w:val="0"/>
        <w:keepLines w:val="0"/>
        <w:widowControl w:val="0"/>
        <w:shd w:val="clear" w:color="auto" w:fill="auto"/>
        <w:bidi w:val="0"/>
        <w:spacing w:before="0" w:after="0" w:line="240" w:lineRule="auto"/>
        <w:ind w:left="2620" w:right="0" w:firstLine="0"/>
        <w:jc w:val="left"/>
      </w:pPr>
      <w:r>
        <w:rPr>
          <w:rStyle w:val="CharStyle20"/>
          <w:color w:val="006AB4"/>
          <w:sz w:val="22"/>
          <w:szCs w:val="22"/>
        </w:rPr>
        <w:t xml:space="preserve">^ </w:t>
      </w:r>
      <w:r>
        <w:rPr>
          <w:rStyle w:val="CharStyle20"/>
        </w:rPr>
        <w:t>Modrý vodík představuje zelenější variantu šedého vodíku - původ je stejný, ale</w:t>
      </w:r>
    </w:p>
    <w:p>
      <w:pPr>
        <w:pStyle w:val="Style19"/>
        <w:keepNext w:val="0"/>
        <w:keepLines w:val="0"/>
        <w:widowControl w:val="0"/>
        <w:shd w:val="clear" w:color="auto" w:fill="auto"/>
        <w:bidi w:val="0"/>
        <w:spacing w:before="0" w:after="200"/>
        <w:ind w:left="2840" w:right="0" w:firstLine="0"/>
        <w:jc w:val="left"/>
      </w:pPr>
      <w:r>
        <w:rPr>
          <w:rStyle w:val="CharStyle20"/>
        </w:rPr>
        <w:t>v tomto případě se emise CO</w:t>
      </w:r>
      <w:r>
        <w:rPr>
          <w:rStyle w:val="CharStyle20"/>
          <w:sz w:val="10"/>
          <w:szCs w:val="10"/>
        </w:rPr>
        <w:t xml:space="preserve">2 </w:t>
      </w:r>
      <w:r>
        <w:rPr>
          <w:rStyle w:val="CharStyle20"/>
        </w:rPr>
        <w:t>zachycují a ukládají pomocí technologií CCS</w:t>
      </w:r>
    </w:p>
    <w:p>
      <w:pPr>
        <w:pStyle w:val="Style19"/>
        <w:keepNext w:val="0"/>
        <w:keepLines w:val="0"/>
        <w:widowControl w:val="0"/>
        <w:shd w:val="clear" w:color="auto" w:fill="auto"/>
        <w:bidi w:val="0"/>
        <w:spacing w:before="0" w:after="200" w:line="288" w:lineRule="auto"/>
        <w:ind w:left="2840" w:right="0" w:hanging="220"/>
        <w:jc w:val="left"/>
      </w:pPr>
      <w:r>
        <w:rPr>
          <w:rStyle w:val="CharStyle20"/>
          <w:color w:val="006AB4"/>
          <w:sz w:val="22"/>
          <w:szCs w:val="22"/>
        </w:rPr>
        <w:t xml:space="preserve">^ </w:t>
      </w:r>
      <w:r>
        <w:rPr>
          <w:rStyle w:val="CharStyle20"/>
        </w:rPr>
        <w:t>Tyrkysový vodík vzniká pyrolýzním rozkladem zemního plynu bez přístupu vzduchu, přičemž jediným odpadním zbytkem této reakce je pevná forma uhlíku, kterou je možné dále využít např. jako grafen (pokud je reaktor poháněn z OZE, je tento typ výroby z hlediska emisí CO</w:t>
      </w:r>
      <w:r>
        <w:rPr>
          <w:rStyle w:val="CharStyle20"/>
          <w:sz w:val="10"/>
          <w:szCs w:val="10"/>
        </w:rPr>
        <w:t xml:space="preserve">2 </w:t>
      </w:r>
      <w:r>
        <w:rPr>
          <w:rStyle w:val="CharStyle20"/>
        </w:rPr>
        <w:t>považován za uhlíkově neutrální)</w:t>
      </w:r>
    </w:p>
    <w:p>
      <w:pPr>
        <w:pStyle w:val="Style19"/>
        <w:keepNext w:val="0"/>
        <w:keepLines w:val="0"/>
        <w:widowControl w:val="0"/>
        <w:shd w:val="clear" w:color="auto" w:fill="auto"/>
        <w:bidi w:val="0"/>
        <w:spacing w:before="0" w:after="200" w:line="276" w:lineRule="auto"/>
        <w:ind w:left="2840" w:right="0" w:hanging="220"/>
        <w:jc w:val="left"/>
      </w:pPr>
      <w:r>
        <w:rPr>
          <w:rStyle w:val="CharStyle20"/>
          <w:color w:val="006AB4"/>
          <w:sz w:val="22"/>
          <w:szCs w:val="22"/>
        </w:rPr>
        <w:t xml:space="preserve">^ </w:t>
      </w:r>
      <w:r>
        <w:rPr>
          <w:rStyle w:val="CharStyle20"/>
        </w:rPr>
        <w:t>Zelený vodík vzniká elektrolytickým procesem za pomoci obnovitelných zdrojů a při výrobě nedochází k lokálnímu uvolnění skleníkových plynů, největším současným limitujícím faktorem tohoto typu vodíku je jeho vysoká cena</w:t>
      </w:r>
    </w:p>
    <w:p>
      <w:pPr>
        <w:pStyle w:val="Style19"/>
        <w:keepNext w:val="0"/>
        <w:keepLines w:val="0"/>
        <w:widowControl w:val="0"/>
        <w:shd w:val="clear" w:color="auto" w:fill="auto"/>
        <w:bidi w:val="0"/>
        <w:spacing w:before="0" w:after="200" w:line="276" w:lineRule="auto"/>
        <w:ind w:left="2840" w:right="0" w:hanging="220"/>
        <w:jc w:val="left"/>
      </w:pPr>
      <w:r>
        <w:rPr>
          <w:rStyle w:val="CharStyle20"/>
          <w:color w:val="006AB4"/>
          <w:sz w:val="22"/>
          <w:szCs w:val="22"/>
        </w:rPr>
        <w:t xml:space="preserve">^ </w:t>
      </w:r>
      <w:r>
        <w:rPr>
          <w:rStyle w:val="CharStyle20"/>
        </w:rPr>
        <w:t>Žlutý vodík vzniká obdobně jako vodík zelený, přičemž elektřina potřebná k elektrolytickému procesu nepochází výhradně z OZE, ale z primárního palivového mixu dané elektrizační soustavy</w:t>
      </w:r>
    </w:p>
    <w:p>
      <w:pPr>
        <w:pStyle w:val="Style19"/>
        <w:keepNext w:val="0"/>
        <w:keepLines w:val="0"/>
        <w:widowControl w:val="0"/>
        <w:shd w:val="clear" w:color="auto" w:fill="auto"/>
        <w:bidi w:val="0"/>
        <w:spacing w:before="0" w:after="680" w:line="276" w:lineRule="auto"/>
        <w:ind w:left="2840" w:right="0" w:hanging="220"/>
        <w:jc w:val="left"/>
      </w:pPr>
      <w:r>
        <w:rPr>
          <w:rStyle w:val="CharStyle20"/>
          <w:color w:val="006AB4"/>
          <w:sz w:val="22"/>
          <w:szCs w:val="22"/>
        </w:rPr>
        <w:t xml:space="preserve">^ </w:t>
      </w:r>
      <w:r>
        <w:rPr>
          <w:rStyle w:val="CharStyle20"/>
        </w:rPr>
        <w:t>Růžový vodík je taktéž výsledkem elektrolytického procesu, při jehož výrobě se však používá elektřina výhradně z jaderného štěpení</w:t>
      </w:r>
    </w:p>
    <w:p>
      <w:pPr>
        <w:pStyle w:val="Style15"/>
        <w:keepNext/>
        <w:keepLines/>
        <w:widowControl w:val="0"/>
        <w:shd w:val="clear" w:color="auto" w:fill="auto"/>
        <w:bidi w:val="0"/>
        <w:spacing w:before="0" w:after="380" w:line="240" w:lineRule="auto"/>
        <w:ind w:left="0" w:right="0" w:firstLine="0"/>
        <w:jc w:val="left"/>
      </w:pPr>
      <w:bookmarkStart w:id="90" w:name="bookmark90"/>
      <w:bookmarkStart w:id="91" w:name="bookmark91"/>
      <w:r>
        <w:rPr>
          <w:rStyle w:val="CharStyle16"/>
          <w:b/>
          <w:bCs/>
        </w:rPr>
        <w:t>Obr. 4.18 Taxonomická klasifikace vodíku</w:t>
      </w:r>
      <w:bookmarkEnd w:id="91"/>
      <w:bookmarkEnd w:id="90"/>
    </w:p>
    <w:p>
      <w:pPr>
        <w:widowControl w:val="0"/>
        <w:jc w:val="center"/>
        <w:rPr>
          <w:sz w:val="2"/>
          <w:szCs w:val="2"/>
        </w:rPr>
      </w:pPr>
      <w:r>
        <w:drawing>
          <wp:inline>
            <wp:extent cx="6053455" cy="3907790"/>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3"/>
                    <a:stretch/>
                  </pic:blipFill>
                  <pic:spPr>
                    <a:xfrm>
                      <a:ext cx="6053455" cy="3907790"/>
                    </a:xfrm>
                    <a:prstGeom prst="rect"/>
                  </pic:spPr>
                </pic:pic>
              </a:graphicData>
            </a:graphic>
          </wp:inline>
        </w:drawing>
      </w:r>
      <w:r>
        <w:br w:type="page"/>
      </w:r>
    </w:p>
    <w:p>
      <w:pPr>
        <w:pStyle w:val="Style27"/>
        <w:keepNext/>
        <w:keepLines/>
        <w:widowControl w:val="0"/>
        <w:numPr>
          <w:ilvl w:val="2"/>
          <w:numId w:val="15"/>
        </w:numPr>
        <w:shd w:val="clear" w:color="auto" w:fill="auto"/>
        <w:tabs>
          <w:tab w:pos="553" w:val="left"/>
        </w:tabs>
        <w:bidi w:val="0"/>
        <w:spacing w:before="0" w:after="0"/>
        <w:ind w:left="0" w:right="0" w:firstLine="0"/>
        <w:jc w:val="left"/>
      </w:pPr>
      <w:bookmarkStart w:id="93" w:name="bookmark93"/>
      <w:r>
        <w:rPr>
          <w:rStyle w:val="CharStyle28"/>
          <w:b/>
          <w:bCs/>
        </w:rPr>
        <w:t>ELEKTROLYZÉRY</w:t>
      </w:r>
      <w:bookmarkEnd w:id="93"/>
    </w:p>
    <w:p>
      <w:pPr>
        <w:pStyle w:val="Style19"/>
        <w:keepNext w:val="0"/>
        <w:keepLines w:val="0"/>
        <w:widowControl w:val="0"/>
        <w:shd w:val="clear" w:color="auto" w:fill="auto"/>
        <w:bidi w:val="0"/>
        <w:spacing w:before="0"/>
        <w:ind w:left="0" w:right="0" w:firstLine="0"/>
        <w:jc w:val="both"/>
      </w:pPr>
      <w:r>
        <w:rPr>
          <w:rStyle w:val="CharStyle20"/>
        </w:rPr>
        <w:t>Podle odhadů agentury Bloomberg a International Renewable Energy Agency (IRENA) bude zelený vodík ekonomicky konkurenceschopný s ostatními H</w:t>
      </w:r>
      <w:r>
        <w:rPr>
          <w:rStyle w:val="CharStyle20"/>
          <w:sz w:val="10"/>
          <w:szCs w:val="10"/>
        </w:rPr>
        <w:t xml:space="preserve">2 </w:t>
      </w:r>
      <w:r>
        <w:rPr>
          <w:rStyle w:val="CharStyle20"/>
        </w:rPr>
        <w:t>výrobními metodami v průběhu 30. let tohoto století. Cenová parita zeleného vodíku s modrým vodíkem se očekává na konci 30. let, s šedým dokonce již v polovině 30. let. Za současné geopolitické situace, prudce rostoucích cenách zemního plynu a celkové nejistotě budoucích dodávek ruského zemního plynu lze napříč Evropou očekávat dosažení rentability mezi šedým a zeleným vodíkem již mnohem dříve před rokem 2030.</w:t>
      </w:r>
    </w:p>
    <w:p>
      <w:pPr>
        <w:pStyle w:val="Style19"/>
        <w:keepNext w:val="0"/>
        <w:keepLines w:val="0"/>
        <w:widowControl w:val="0"/>
        <w:shd w:val="clear" w:color="auto" w:fill="auto"/>
        <w:bidi w:val="0"/>
        <w:spacing w:before="0" w:after="0"/>
        <w:ind w:left="0" w:right="0" w:firstLine="0"/>
        <w:jc w:val="both"/>
      </w:pPr>
      <w:r>
        <w:rPr>
          <w:rStyle w:val="CharStyle20"/>
        </w:rPr>
        <w:t>V současné době se předpokládá, že pro výrobu zeleného vodíku bude používána elektrolýza se zaměřením na technologii alkalické elektrolýzy (AE). Pro výrobu vodíku potřebuje AE jako základní vstupní suroviny elektrickou energii a vodu.</w:t>
      </w:r>
    </w:p>
    <w:p>
      <w:pPr>
        <w:pStyle w:val="Style19"/>
        <w:keepNext w:val="0"/>
        <w:keepLines w:val="0"/>
        <w:widowControl w:val="0"/>
        <w:shd w:val="clear" w:color="auto" w:fill="auto"/>
        <w:bidi w:val="0"/>
        <w:spacing w:before="0" w:after="80"/>
        <w:ind w:left="0" w:right="0" w:firstLine="0"/>
        <w:jc w:val="both"/>
      </w:pPr>
      <w:r>
        <w:rPr>
          <w:rStyle w:val="CharStyle20"/>
        </w:rPr>
        <w:t>V této souvislosti může elektrolyzér nabízet využití v energetických provozech, a to primárně k akumulaci přebytečné elektrické energie do vodíku. Elektrolytická výroba vodíku může sloužit k akumulaci elektrické energie z intermitentních OZE. Celý proces může pomoci soustavě uchovat přebytečnou energii pro jinou formu využití nebo pro pozdější zpětnou výrobu elektřiny v palivových článcích (či v plynových elektrárnách schopných spalovat vodík) v obdobích špičky nebo až při hrozícím nedostatku elektřiny. Podobně jako elektrochemická akumulace elektřiny mohou elektrolyzéry pomoci zvýšit utilizaci obnovitelných zdrojů. Provozní teplota významně ovlivňuje parametry technologie a parametry účinnosti, obdobně jako vodivost prostředí. Velkokapacitní elektrolytické výrobny je potřeba budovat v blízkosti zdroje vody.</w:t>
      </w:r>
    </w:p>
    <w:p>
      <w:pPr>
        <w:pStyle w:val="Style68"/>
        <w:keepNext w:val="0"/>
        <w:keepLines w:val="0"/>
        <w:widowControl w:val="0"/>
        <w:shd w:val="clear" w:color="auto" w:fill="auto"/>
        <w:tabs>
          <w:tab w:pos="4851" w:val="left"/>
        </w:tabs>
        <w:bidi w:val="0"/>
        <w:spacing w:before="0" w:line="240" w:lineRule="auto"/>
        <w:ind w:right="0" w:firstLine="0"/>
        <w:jc w:val="left"/>
      </w:pPr>
      <w:r>
        <w:rPr>
          <w:rStyle w:val="CharStyle69"/>
        </w:rPr>
        <w:t>I</w:t>
        <w:tab/>
        <w:t>I</w:t>
      </w:r>
    </w:p>
    <w:p>
      <w:pPr>
        <w:pStyle w:val="Style15"/>
        <w:keepNext/>
        <w:keepLines/>
        <w:widowControl w:val="0"/>
        <w:shd w:val="clear" w:color="auto" w:fill="auto"/>
        <w:bidi w:val="0"/>
        <w:spacing w:before="0" w:after="0" w:line="302" w:lineRule="auto"/>
        <w:ind w:left="0" w:right="0" w:firstLine="0"/>
        <w:jc w:val="left"/>
        <w:sectPr>
          <w:footnotePr>
            <w:pos w:val="pageBottom"/>
            <w:numFmt w:val="decimal"/>
            <w:numRestart w:val="continuous"/>
          </w:footnotePr>
          <w:pgSz w:w="12142" w:h="17375"/>
          <w:pgMar w:top="1199" w:right="820" w:bottom="1492" w:left="820" w:header="0" w:footer="3" w:gutter="792"/>
          <w:cols w:space="720"/>
          <w:noEndnote/>
          <w:rtlGutter w:val="0"/>
          <w:docGrid w:linePitch="360"/>
        </w:sectPr>
      </w:pPr>
      <w:bookmarkStart w:id="95" w:name="bookmark95"/>
      <w:r>
        <w:rPr>
          <w:rStyle w:val="CharStyle16"/>
          <w:b/>
          <w:bCs/>
        </w:rPr>
        <w:t>Obr. 4.19 Energetická bilance výroby vodíku</w:t>
      </w:r>
      <w:bookmarkEnd w:id="95"/>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752" w:right="0" w:bottom="781" w:left="0" w:header="0" w:footer="3" w:gutter="0"/>
          <w:cols w:space="720"/>
          <w:noEndnote/>
          <w:rtlGutter w:val="0"/>
          <w:docGrid w:linePitch="360"/>
        </w:sectPr>
      </w:pPr>
    </w:p>
    <w:p>
      <w:pPr>
        <w:pStyle w:val="Style2"/>
        <w:keepNext w:val="0"/>
        <w:keepLines w:val="0"/>
        <w:framePr w:w="744" w:h="403" w:wrap="none" w:vAnchor="text" w:hAnchor="page" w:x="1099" w:y="779"/>
        <w:widowControl w:val="0"/>
        <w:shd w:val="clear" w:color="auto" w:fill="auto"/>
        <w:bidi w:val="0"/>
        <w:spacing w:before="0" w:after="0" w:line="317" w:lineRule="auto"/>
        <w:ind w:left="0" w:right="0" w:firstLine="0"/>
        <w:jc w:val="center"/>
        <w:rPr>
          <w:sz w:val="12"/>
          <w:szCs w:val="12"/>
        </w:rPr>
      </w:pPr>
      <w:r>
        <w:rPr>
          <w:rStyle w:val="CharStyle3"/>
          <w:b/>
          <w:bCs/>
          <w:color w:val="000000"/>
          <w:sz w:val="12"/>
          <w:szCs w:val="12"/>
        </w:rPr>
        <w:t>Elektrolyzér 1 MWh</w:t>
      </w:r>
    </w:p>
    <w:p>
      <w:pPr>
        <w:pStyle w:val="Style2"/>
        <w:keepNext w:val="0"/>
        <w:keepLines w:val="0"/>
        <w:framePr w:w="331" w:h="365" w:wrap="none" w:vAnchor="text" w:hAnchor="page" w:x="3005" w:y="784"/>
        <w:widowControl w:val="0"/>
        <w:shd w:val="clear" w:color="auto" w:fill="auto"/>
        <w:bidi w:val="0"/>
        <w:spacing w:before="0" w:after="0" w:line="240" w:lineRule="auto"/>
        <w:ind w:left="0" w:right="0" w:firstLine="0"/>
        <w:jc w:val="center"/>
        <w:rPr>
          <w:sz w:val="12"/>
          <w:szCs w:val="12"/>
        </w:rPr>
      </w:pPr>
      <w:r>
        <w:rPr>
          <w:rStyle w:val="CharStyle3"/>
          <w:b/>
          <w:bCs/>
          <w:color w:val="000000"/>
          <w:sz w:val="12"/>
          <w:szCs w:val="12"/>
        </w:rPr>
        <w:t>H</w:t>
      </w:r>
      <w:r>
        <w:rPr>
          <w:rStyle w:val="CharStyle3"/>
          <w:b/>
          <w:bCs/>
          <w:color w:val="000000"/>
          <w:sz w:val="8"/>
          <w:szCs w:val="8"/>
        </w:rPr>
        <w:t>2</w:t>
      </w:r>
      <w:r>
        <w:rPr>
          <w:rStyle w:val="CharStyle3"/>
          <w:b/>
          <w:bCs/>
          <w:color w:val="000000"/>
          <w:sz w:val="8"/>
          <w:szCs w:val="8"/>
          <w:vertAlign w:val="superscript"/>
        </w:rPr>
        <w:t xml:space="preserve">O </w:t>
      </w:r>
      <w:r>
        <w:rPr>
          <w:rStyle w:val="CharStyle3"/>
          <w:b/>
          <w:bCs/>
          <w:color w:val="000000"/>
          <w:sz w:val="12"/>
          <w:szCs w:val="12"/>
        </w:rPr>
        <w:t>260 l</w:t>
      </w:r>
    </w:p>
    <w:p>
      <w:pPr>
        <w:pStyle w:val="Style2"/>
        <w:keepNext w:val="0"/>
        <w:keepLines w:val="0"/>
        <w:framePr w:w="365" w:h="370" w:wrap="none" w:vAnchor="text" w:hAnchor="page" w:x="4699" w:y="783"/>
        <w:widowControl w:val="0"/>
        <w:shd w:val="clear" w:color="auto" w:fill="auto"/>
        <w:bidi w:val="0"/>
        <w:spacing w:before="0" w:after="0" w:line="240" w:lineRule="auto"/>
        <w:ind w:left="0" w:right="0" w:firstLine="0"/>
        <w:jc w:val="left"/>
        <w:rPr>
          <w:sz w:val="8"/>
          <w:szCs w:val="8"/>
        </w:rPr>
      </w:pPr>
      <w:r>
        <w:rPr>
          <w:rStyle w:val="CharStyle3"/>
          <w:b/>
          <w:bCs/>
          <w:color w:val="000000"/>
          <w:sz w:val="8"/>
          <w:szCs w:val="8"/>
          <w:vertAlign w:val="superscript"/>
        </w:rPr>
        <w:t>H</w:t>
      </w:r>
      <w:r>
        <w:rPr>
          <w:rStyle w:val="CharStyle3"/>
          <w:b/>
          <w:bCs/>
          <w:color w:val="000000"/>
          <w:sz w:val="8"/>
          <w:szCs w:val="8"/>
        </w:rPr>
        <w:t>2</w:t>
      </w:r>
    </w:p>
    <w:p>
      <w:pPr>
        <w:pStyle w:val="Style2"/>
        <w:keepNext w:val="0"/>
        <w:keepLines w:val="0"/>
        <w:framePr w:w="365" w:h="370" w:wrap="none" w:vAnchor="text" w:hAnchor="page" w:x="4699" w:y="783"/>
        <w:widowControl w:val="0"/>
        <w:shd w:val="clear" w:color="auto" w:fill="auto"/>
        <w:bidi w:val="0"/>
        <w:spacing w:before="0" w:after="0" w:line="233" w:lineRule="auto"/>
        <w:ind w:left="0" w:right="0" w:firstLine="0"/>
        <w:jc w:val="left"/>
        <w:rPr>
          <w:sz w:val="12"/>
          <w:szCs w:val="12"/>
        </w:rPr>
      </w:pPr>
      <w:r>
        <w:rPr>
          <w:rStyle w:val="CharStyle3"/>
          <w:b/>
          <w:bCs/>
          <w:color w:val="000000"/>
          <w:sz w:val="12"/>
          <w:szCs w:val="12"/>
        </w:rPr>
        <w:t>19 kg</w:t>
      </w:r>
    </w:p>
    <w:p>
      <w:pPr>
        <w:pStyle w:val="Style37"/>
        <w:keepNext w:val="0"/>
        <w:keepLines w:val="0"/>
        <w:framePr w:w="1258" w:h="1368" w:wrap="none" w:vAnchor="text" w:hAnchor="page" w:x="5943" w:y="21"/>
        <w:widowControl w:val="0"/>
        <w:shd w:val="clear" w:color="auto" w:fill="auto"/>
        <w:bidi w:val="0"/>
        <w:spacing w:before="600" w:after="0" w:line="240" w:lineRule="auto"/>
        <w:ind w:left="0" w:right="0" w:firstLine="0"/>
        <w:jc w:val="center"/>
        <w:rPr>
          <w:sz w:val="12"/>
          <w:szCs w:val="12"/>
        </w:rPr>
      </w:pPr>
      <w:r>
        <w:rPr>
          <w:rStyle w:val="CharStyle38"/>
          <w:b/>
          <w:bCs/>
          <w:sz w:val="12"/>
          <w:szCs w:val="12"/>
        </w:rPr>
        <w:t>1 kg = 33,3 kWh</w:t>
      </w:r>
    </w:p>
    <w:p>
      <w:pPr>
        <w:pStyle w:val="Style37"/>
        <w:keepNext w:val="0"/>
        <w:keepLines w:val="0"/>
        <w:framePr w:w="1253" w:h="1368" w:wrap="none" w:vAnchor="text" w:hAnchor="page" w:x="7647" w:y="21"/>
        <w:widowControl w:val="0"/>
        <w:shd w:val="clear" w:color="auto" w:fill="auto"/>
        <w:bidi w:val="0"/>
        <w:spacing w:before="560" w:after="0" w:line="240" w:lineRule="auto"/>
        <w:ind w:left="0" w:right="0" w:firstLine="0"/>
        <w:jc w:val="center"/>
        <w:rPr>
          <w:sz w:val="12"/>
          <w:szCs w:val="12"/>
        </w:rPr>
      </w:pPr>
      <w:r>
        <w:rPr>
          <w:rStyle w:val="CharStyle38"/>
          <w:rFonts w:ascii="Times New Roman" w:eastAsia="Times New Roman" w:hAnsi="Times New Roman" w:cs="Times New Roman"/>
          <w:sz w:val="20"/>
          <w:szCs w:val="20"/>
        </w:rPr>
        <w:t xml:space="preserve">n </w:t>
      </w:r>
      <w:r>
        <w:rPr>
          <w:rStyle w:val="CharStyle38"/>
          <w:b/>
          <w:bCs/>
          <w:sz w:val="12"/>
          <w:szCs w:val="12"/>
        </w:rPr>
        <w:t>= 0,5-0,6</w:t>
      </w:r>
    </w:p>
    <w:p>
      <w:pPr>
        <w:pStyle w:val="Style37"/>
        <w:keepNext w:val="0"/>
        <w:keepLines w:val="0"/>
        <w:framePr w:w="1253" w:h="1368" w:wrap="none" w:vAnchor="text" w:hAnchor="page" w:x="9346" w:y="21"/>
        <w:widowControl w:val="0"/>
        <w:shd w:val="clear" w:color="auto" w:fill="auto"/>
        <w:bidi w:val="0"/>
        <w:spacing w:before="280" w:after="0" w:line="276" w:lineRule="auto"/>
        <w:ind w:left="0" w:right="0" w:firstLine="0"/>
        <w:jc w:val="center"/>
        <w:rPr>
          <w:sz w:val="12"/>
          <w:szCs w:val="12"/>
        </w:rPr>
      </w:pPr>
      <w:r>
        <w:rPr>
          <w:rStyle w:val="CharStyle38"/>
          <w:b/>
          <w:bCs/>
          <w:sz w:val="12"/>
          <w:szCs w:val="12"/>
        </w:rPr>
        <w:t>z 19 kg H</w:t>
      </w:r>
      <w:r>
        <w:rPr>
          <w:rStyle w:val="CharStyle38"/>
          <w:b/>
          <w:bCs/>
          <w:sz w:val="8"/>
          <w:szCs w:val="8"/>
        </w:rPr>
        <w:t>2</w:t>
        <w:br/>
      </w:r>
      <w:r>
        <w:rPr>
          <w:rStyle w:val="CharStyle38"/>
          <w:b/>
          <w:bCs/>
          <w:sz w:val="12"/>
          <w:szCs w:val="12"/>
        </w:rPr>
        <w:t>palivový článek</w:t>
        <w:br/>
        <w:t>vyprodukuje cca:</w:t>
        <w:br/>
        <w:t>316-380 kWh</w:t>
        <w:br/>
        <w:t>elektrické energie</w:t>
      </w:r>
    </w:p>
    <w:p>
      <w:pPr>
        <w:widowControl w:val="0"/>
        <w:spacing w:line="360" w:lineRule="exact"/>
      </w:pPr>
      <w:r>
        <w:drawing>
          <wp:anchor distT="0" distB="338455" distL="85090" distR="115570" simplePos="0" relativeHeight="62914713" behindDoc="1" locked="0" layoutInCell="1" allowOverlap="1">
            <wp:simplePos x="0" y="0"/>
            <wp:positionH relativeFrom="page">
              <wp:posOffset>782320</wp:posOffset>
            </wp:positionH>
            <wp:positionV relativeFrom="paragraph">
              <wp:posOffset>125095</wp:posOffset>
            </wp:positionV>
            <wp:extent cx="274320" cy="286385"/>
            <wp:wrapNone/>
            <wp:docPr id="119" name="Shape 119"/>
            <a:graphic xmlns:a="http://schemas.openxmlformats.org/drawingml/2006/main">
              <a:graphicData uri="http://schemas.openxmlformats.org/drawingml/2006/picture">
                <pic:pic xmlns:pic="http://schemas.openxmlformats.org/drawingml/2006/picture">
                  <pic:nvPicPr>
                    <pic:cNvPr id="120" name="Picture box 120"/>
                    <pic:cNvPicPr/>
                  </pic:nvPicPr>
                  <pic:blipFill>
                    <a:blip r:embed="rId95"/>
                    <a:stretch/>
                  </pic:blipFill>
                  <pic:spPr>
                    <a:xfrm>
                      <a:ext cx="274320" cy="286385"/>
                    </a:xfrm>
                    <a:prstGeom prst="rect"/>
                  </pic:spPr>
                </pic:pic>
              </a:graphicData>
            </a:graphic>
          </wp:anchor>
        </w:drawing>
      </w:r>
      <w:r>
        <w:drawing>
          <wp:anchor distT="0" distB="332105" distL="6350" distR="6350" simplePos="0" relativeHeight="62914714" behindDoc="1" locked="0" layoutInCell="1" allowOverlap="1">
            <wp:simplePos x="0" y="0"/>
            <wp:positionH relativeFrom="page">
              <wp:posOffset>1913890</wp:posOffset>
            </wp:positionH>
            <wp:positionV relativeFrom="paragraph">
              <wp:posOffset>109855</wp:posOffset>
            </wp:positionV>
            <wp:extent cx="201295" cy="286385"/>
            <wp:wrapNone/>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97"/>
                    <a:stretch/>
                  </pic:blipFill>
                  <pic:spPr>
                    <a:xfrm>
                      <a:ext cx="201295" cy="286385"/>
                    </a:xfrm>
                    <a:prstGeom prst="rect"/>
                  </pic:spPr>
                </pic:pic>
              </a:graphicData>
            </a:graphic>
          </wp:anchor>
        </w:drawing>
      </w:r>
      <w:r>
        <w:drawing>
          <wp:anchor distT="0" distB="292735" distL="0" distR="0" simplePos="0" relativeHeight="62914715" behindDoc="1" locked="0" layoutInCell="1" allowOverlap="1">
            <wp:simplePos x="0" y="0"/>
            <wp:positionH relativeFrom="page">
              <wp:posOffset>2922270</wp:posOffset>
            </wp:positionH>
            <wp:positionV relativeFrom="paragraph">
              <wp:posOffset>106680</wp:posOffset>
            </wp:positionV>
            <wp:extent cx="335280" cy="335280"/>
            <wp:wrapNone/>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99"/>
                    <a:stretch/>
                  </pic:blipFill>
                  <pic:spPr>
                    <a:xfrm>
                      <a:ext cx="335280" cy="335280"/>
                    </a:xfrm>
                    <a:prstGeom prst="rect"/>
                  </pic:spPr>
                </pic:pic>
              </a:graphicData>
            </a:graphic>
          </wp:anchor>
        </w:drawing>
      </w:r>
    </w:p>
    <w:p>
      <w:pPr>
        <w:widowControl w:val="0"/>
        <w:spacing w:line="360" w:lineRule="exact"/>
      </w:pPr>
    </w:p>
    <w:p>
      <w:pPr>
        <w:widowControl w:val="0"/>
        <w:spacing w:after="647" w:line="1" w:lineRule="exact"/>
      </w:pPr>
    </w:p>
    <w:p>
      <w:pPr>
        <w:widowControl w:val="0"/>
        <w:spacing w:line="1" w:lineRule="exact"/>
        <w:sectPr>
          <w:footnotePr>
            <w:pos w:val="pageBottom"/>
            <w:numFmt w:val="decimal"/>
            <w:numRestart w:val="continuous"/>
          </w:footnotePr>
          <w:type w:val="continuous"/>
          <w:pgSz w:w="12142" w:h="17375"/>
          <w:pgMar w:top="752" w:right="680" w:bottom="781" w:left="680" w:header="0" w:footer="3" w:gutter="682"/>
          <w:cols w:space="720"/>
          <w:noEndnote/>
          <w:rtlGutter w:val="0"/>
          <w:docGrid w:linePitch="360"/>
        </w:sectPr>
      </w:pPr>
    </w:p>
    <w:p>
      <w:pPr>
        <w:widowControl w:val="0"/>
        <w:spacing w:line="240" w:lineRule="exact"/>
        <w:rPr>
          <w:sz w:val="19"/>
          <w:szCs w:val="19"/>
        </w:rPr>
      </w:pPr>
    </w:p>
    <w:p>
      <w:pPr>
        <w:widowControl w:val="0"/>
        <w:spacing w:before="60" w:after="60"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310" w:right="0" w:bottom="1526" w:left="0" w:header="0" w:footer="3" w:gutter="0"/>
          <w:cols w:space="720"/>
          <w:noEndnote/>
          <w:rtlGutter w:val="0"/>
          <w:docGrid w:linePitch="360"/>
        </w:sectPr>
      </w:pPr>
    </w:p>
    <w:p>
      <w:pPr>
        <w:pStyle w:val="Style68"/>
        <w:keepNext w:val="0"/>
        <w:keepLines w:val="0"/>
        <w:widowControl w:val="0"/>
        <w:shd w:val="clear" w:color="auto" w:fill="auto"/>
        <w:tabs>
          <w:tab w:pos="2611" w:val="left"/>
        </w:tabs>
        <w:bidi w:val="0"/>
        <w:spacing w:before="0" w:after="160" w:line="240" w:lineRule="auto"/>
        <w:ind w:left="0" w:right="0" w:firstLine="0"/>
        <w:jc w:val="center"/>
      </w:pPr>
      <w:r>
        <w:rPr>
          <w:rStyle w:val="CharStyle69"/>
        </w:rPr>
        <w:t>I</w:t>
        <w:tab/>
        <w:t>I</w:t>
      </w:r>
    </w:p>
    <w:p>
      <w:pPr>
        <w:pStyle w:val="Style19"/>
        <w:keepNext w:val="0"/>
        <w:keepLines w:val="0"/>
        <w:widowControl w:val="0"/>
        <w:shd w:val="clear" w:color="auto" w:fill="auto"/>
        <w:bidi w:val="0"/>
        <w:spacing w:before="0" w:after="0" w:line="300" w:lineRule="auto"/>
        <w:ind w:left="0" w:right="0" w:firstLine="0"/>
        <w:jc w:val="left"/>
      </w:pPr>
      <w:r>
        <w:rPr>
          <w:rStyle w:val="CharStyle20"/>
        </w:rPr>
        <w:t>Na výrobu 1 kg H</w:t>
      </w:r>
      <w:r>
        <w:rPr>
          <w:rStyle w:val="CharStyle20"/>
          <w:vertAlign w:val="subscript"/>
        </w:rPr>
        <w:t>2</w:t>
      </w:r>
      <w:r>
        <w:rPr>
          <w:rStyle w:val="CharStyle20"/>
        </w:rPr>
        <w:t xml:space="preserve"> je potřeba cca 53 kWh elektrické energie a 13,7 litrů vody.</w:t>
      </w:r>
    </w:p>
    <w:p>
      <w:pPr>
        <w:pStyle w:val="Style19"/>
        <w:keepNext w:val="0"/>
        <w:keepLines w:val="0"/>
        <w:widowControl w:val="0"/>
        <w:shd w:val="clear" w:color="auto" w:fill="auto"/>
        <w:bidi w:val="0"/>
        <w:spacing w:before="0" w:after="0" w:line="300" w:lineRule="auto"/>
        <w:ind w:left="0" w:right="0" w:firstLine="0"/>
        <w:jc w:val="left"/>
      </w:pPr>
      <w:r>
        <w:rPr>
          <w:rStyle w:val="CharStyle20"/>
        </w:rPr>
        <w:t>Uvažovaná spotřeba vody však představuje demineralizovanou vodu o vysoké čistotě.</w:t>
      </w:r>
    </w:p>
    <w:p>
      <w:pPr>
        <w:pStyle w:val="Style19"/>
        <w:keepNext w:val="0"/>
        <w:keepLines w:val="0"/>
        <w:widowControl w:val="0"/>
        <w:shd w:val="clear" w:color="auto" w:fill="auto"/>
        <w:bidi w:val="0"/>
        <w:spacing w:before="0" w:line="300" w:lineRule="auto"/>
        <w:ind w:left="0" w:right="0" w:firstLine="0"/>
        <w:jc w:val="left"/>
      </w:pPr>
      <w:r>
        <w:rPr>
          <w:rStyle w:val="CharStyle20"/>
        </w:rPr>
        <w:t>Spotřeba běžně dostupné sladké vody tak může být až 20 litrů na 1 kg H</w:t>
      </w:r>
      <w:r>
        <w:rPr>
          <w:rStyle w:val="CharStyle20"/>
          <w:sz w:val="10"/>
          <w:szCs w:val="10"/>
        </w:rPr>
        <w:t>2</w:t>
      </w:r>
      <w:r>
        <w:rPr>
          <w:rStyle w:val="CharStyle20"/>
        </w:rPr>
        <w:t>.</w:t>
      </w:r>
    </w:p>
    <w:p>
      <w:pPr>
        <w:pStyle w:val="Style19"/>
        <w:keepNext w:val="0"/>
        <w:keepLines w:val="0"/>
        <w:widowControl w:val="0"/>
        <w:shd w:val="clear" w:color="auto" w:fill="auto"/>
        <w:bidi w:val="0"/>
        <w:spacing w:before="0" w:after="200" w:line="300" w:lineRule="auto"/>
        <w:ind w:left="0" w:right="0" w:firstLine="0"/>
        <w:jc w:val="left"/>
      </w:pPr>
      <w:r>
        <w:rPr>
          <w:rStyle w:val="CharStyle20"/>
        </w:rPr>
        <w:t>Pro potřeby tohoto dokumentu byly vytvořeny tři trajektorie možného rozvoje elektrolyzérů (viz Obr. 4.20):</w:t>
      </w:r>
      <w:r>
        <w:br w:type="page"/>
      </w:r>
    </w:p>
    <w:p>
      <w:pPr>
        <w:widowControl w:val="0"/>
        <w:spacing w:line="1" w:lineRule="exact"/>
      </w:pPr>
      <w:r>
        <w:drawing>
          <wp:anchor distT="0" distB="571500" distL="0" distR="0" simplePos="0" relativeHeight="125829420" behindDoc="0" locked="0" layoutInCell="1" allowOverlap="1">
            <wp:simplePos x="0" y="0"/>
            <wp:positionH relativeFrom="margin">
              <wp:posOffset>-1740535</wp:posOffset>
            </wp:positionH>
            <wp:positionV relativeFrom="paragraph">
              <wp:posOffset>0</wp:posOffset>
            </wp:positionV>
            <wp:extent cx="6449695" cy="3188335"/>
            <wp:wrapTopAndBottom/>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101"/>
                    <a:stretch/>
                  </pic:blipFill>
                  <pic:spPr>
                    <a:xfrm>
                      <a:ext cx="6449695" cy="3188335"/>
                    </a:xfrm>
                    <a:prstGeom prst="rect"/>
                  </pic:spPr>
                </pic:pic>
              </a:graphicData>
            </a:graphic>
          </wp:anchor>
        </w:drawing>
      </w:r>
      <w:r>
        <w:drawing>
          <wp:anchor distT="1840865" distB="946785" distL="0" distR="0" simplePos="0" relativeHeight="125829421" behindDoc="0" locked="0" layoutInCell="1" allowOverlap="1">
            <wp:simplePos x="0" y="0"/>
            <wp:positionH relativeFrom="margin">
              <wp:posOffset>-1167765</wp:posOffset>
            </wp:positionH>
            <wp:positionV relativeFrom="paragraph">
              <wp:posOffset>1840865</wp:posOffset>
            </wp:positionV>
            <wp:extent cx="5754370" cy="969010"/>
            <wp:wrapTopAndBottom/>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103"/>
                    <a:stretch/>
                  </pic:blipFill>
                  <pic:spPr>
                    <a:xfrm>
                      <a:ext cx="5754370" cy="969010"/>
                    </a:xfrm>
                    <a:prstGeom prst="rect"/>
                  </pic:spPr>
                </pic:pic>
              </a:graphicData>
            </a:graphic>
          </wp:anchor>
        </w:drawing>
      </w:r>
    </w:p>
    <w:p>
      <w:pPr>
        <w:pStyle w:val="Style19"/>
        <w:keepNext w:val="0"/>
        <w:keepLines w:val="0"/>
        <w:widowControl w:val="0"/>
        <w:shd w:val="clear" w:color="auto" w:fill="auto"/>
        <w:bidi w:val="0"/>
        <w:spacing w:before="0" w:after="200" w:line="300" w:lineRule="auto"/>
        <w:ind w:left="0" w:right="0" w:firstLine="0"/>
        <w:jc w:val="left"/>
      </w:pPr>
      <w:r>
        <w:rPr>
          <w:rStyle w:val="CharStyle20"/>
          <w:i/>
          <w:iCs/>
        </w:rPr>
        <w:t>Ve</w:t>
      </w:r>
      <w:r>
        <w:rPr>
          <w:rStyle w:val="CharStyle20"/>
        </w:rPr>
        <w:t xml:space="preserve"> vazbě na Evropskou vodíkovou strategii schválila vláda ČR v červenci 2021 Vodíkovou strategii ČR s cílem naplnit klimatické cíle EU, podpořit rozvoj vodíkových technologií v ČR, dekarbonizaci české ekonomiky a posílit její hospodářský růst. Strategie ČR se dělí do následujících tří etap:</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b/>
          <w:bCs/>
          <w:color w:val="006AB4"/>
        </w:rPr>
        <w:t xml:space="preserve">1. Etapa (2021-2025): </w:t>
      </w:r>
      <w:r>
        <w:rPr>
          <w:rStyle w:val="CharStyle20"/>
        </w:rPr>
        <w:t>využití vodíku v rámci čisté mobility, rozvoj „ostrovního provozu“, doprava vodíku ještě nebude plně rozvinutá</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b/>
          <w:bCs/>
          <w:color w:val="006AB4"/>
        </w:rPr>
        <w:t xml:space="preserve">2. Etapa (2026-2030): </w:t>
      </w:r>
      <w:r>
        <w:rPr>
          <w:rStyle w:val="CharStyle20"/>
        </w:rPr>
        <w:t>využití vodíku v průmyslu a testování zásobování domácností vodíkem</w:t>
      </w:r>
    </w:p>
    <w:p>
      <w:pPr>
        <w:pStyle w:val="Style19"/>
        <w:keepNext w:val="0"/>
        <w:keepLines w:val="0"/>
        <w:widowControl w:val="0"/>
        <w:shd w:val="clear" w:color="auto" w:fill="auto"/>
        <w:bidi w:val="0"/>
        <w:spacing w:before="0" w:after="260" w:line="271" w:lineRule="auto"/>
        <w:ind w:left="240" w:right="0" w:hanging="240"/>
        <w:jc w:val="left"/>
      </w:pPr>
      <w:r>
        <w:rPr>
          <w:rStyle w:val="CharStyle20"/>
          <w:color w:val="006AB4"/>
          <w:sz w:val="22"/>
          <w:szCs w:val="22"/>
        </w:rPr>
        <w:t xml:space="preserve">^ </w:t>
      </w:r>
      <w:r>
        <w:rPr>
          <w:rStyle w:val="CharStyle20"/>
          <w:b/>
          <w:bCs/>
          <w:color w:val="006AB4"/>
        </w:rPr>
        <w:t xml:space="preserve">3. Etapa (2031-2050): </w:t>
      </w:r>
      <w:r>
        <w:rPr>
          <w:rStyle w:val="CharStyle20"/>
        </w:rPr>
        <w:t xml:space="preserve">komerční nasazení vodíku v průmyslu a </w:t>
      </w:r>
      <w:r>
        <w:rPr>
          <w:rStyle w:val="CharStyle20"/>
          <w:i/>
          <w:iCs/>
        </w:rPr>
        <w:t xml:space="preserve">repurposing </w:t>
      </w:r>
      <w:r>
        <w:rPr>
          <w:rStyle w:val="CharStyle20"/>
        </w:rPr>
        <w:t>existující plynové infrastruktury na vodíkové plynovody</w:t>
      </w:r>
    </w:p>
    <w:p>
      <w:pPr>
        <w:pStyle w:val="Style19"/>
        <w:keepNext w:val="0"/>
        <w:keepLines w:val="0"/>
        <w:widowControl w:val="0"/>
        <w:shd w:val="clear" w:color="auto" w:fill="auto"/>
        <w:bidi w:val="0"/>
        <w:spacing w:before="0" w:after="260" w:line="300" w:lineRule="auto"/>
        <w:ind w:left="0" w:right="0" w:firstLine="0"/>
        <w:jc w:val="left"/>
      </w:pPr>
      <w:r>
        <w:rPr>
          <w:rStyle w:val="CharStyle20"/>
        </w:rPr>
        <w:t>Výroba vodíku v ČR se momentálně pohybuje na úrovni cca 100 tisíc tun ročně, vodík je však produkovaný zejména parciální oxidací ropných látek (POX).</w:t>
      </w:r>
    </w:p>
    <w:p>
      <w:pPr>
        <w:pStyle w:val="Style19"/>
        <w:keepNext w:val="0"/>
        <w:keepLines w:val="0"/>
        <w:widowControl w:val="0"/>
        <w:shd w:val="clear" w:color="auto" w:fill="auto"/>
        <w:bidi w:val="0"/>
        <w:spacing w:before="0" w:after="260" w:line="300" w:lineRule="auto"/>
        <w:ind w:left="0" w:right="0" w:firstLine="0"/>
        <w:jc w:val="left"/>
      </w:pPr>
      <w:r>
        <w:rPr>
          <w:rStyle w:val="CharStyle20"/>
        </w:rPr>
        <w:t>Výroba zeleného vodíku z FVE a VTE na území ČR je limitovaná množstvím slunečního svitu a silou větru, a proto bude pro ČR nezbytné se připojit k budoucímu transevropskému systému vodíkových plynovodů. V budoucnosti se uvažuje zejména s dovozem čistého vodíku z oblastí s vysokou penetrací OZE (Severní, Baltské a Středozemní moře zejména pro VTE, severní Afrika pro FVE).</w:t>
      </w:r>
    </w:p>
    <w:p>
      <w:pPr>
        <w:pStyle w:val="Style27"/>
        <w:keepNext/>
        <w:keepLines/>
        <w:widowControl w:val="0"/>
        <w:numPr>
          <w:ilvl w:val="2"/>
          <w:numId w:val="15"/>
        </w:numPr>
        <w:shd w:val="clear" w:color="auto" w:fill="auto"/>
        <w:tabs>
          <w:tab w:pos="632" w:val="left"/>
        </w:tabs>
        <w:bidi w:val="0"/>
        <w:spacing w:before="0" w:after="0" w:line="300" w:lineRule="auto"/>
        <w:ind w:left="0" w:right="0" w:firstLine="0"/>
        <w:jc w:val="left"/>
      </w:pPr>
      <w:bookmarkStart w:id="97" w:name="bookmark97"/>
      <w:r>
        <w:rPr>
          <w:rStyle w:val="CharStyle28"/>
          <w:b/>
          <w:bCs/>
        </w:rPr>
        <w:t>PALIVOVÉ ČLÁNKY</w:t>
      </w:r>
      <w:bookmarkEnd w:id="97"/>
    </w:p>
    <w:p>
      <w:pPr>
        <w:pStyle w:val="Style19"/>
        <w:keepNext w:val="0"/>
        <w:keepLines w:val="0"/>
        <w:widowControl w:val="0"/>
        <w:shd w:val="clear" w:color="auto" w:fill="auto"/>
        <w:bidi w:val="0"/>
        <w:spacing w:before="0" w:after="260" w:line="300" w:lineRule="auto"/>
        <w:ind w:left="0" w:right="0" w:firstLine="0"/>
        <w:jc w:val="left"/>
      </w:pPr>
      <w:r>
        <w:rPr>
          <w:rStyle w:val="CharStyle20"/>
        </w:rPr>
        <w:t>Palivový článek je zařízení, které zpětným elektrolytickým procesem vyrábí elektrickou energii z vodíku.</w:t>
      </w:r>
    </w:p>
    <w:p>
      <w:pPr>
        <w:pStyle w:val="Style19"/>
        <w:keepNext w:val="0"/>
        <w:keepLines w:val="0"/>
        <w:widowControl w:val="0"/>
        <w:shd w:val="clear" w:color="auto" w:fill="auto"/>
        <w:bidi w:val="0"/>
        <w:spacing w:before="0" w:after="200" w:line="300" w:lineRule="auto"/>
        <w:ind w:left="0" w:right="0" w:firstLine="0"/>
        <w:jc w:val="left"/>
      </w:pPr>
      <w:r>
        <w:rPr>
          <w:rStyle w:val="CharStyle20"/>
        </w:rPr>
        <w:t>Palivové články dělíme dle provozní teploty na:</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Nízko-teplotní (60 °C až 130 °C)</w:t>
      </w:r>
    </w:p>
    <w:p>
      <w:pPr>
        <w:pStyle w:val="Style19"/>
        <w:keepNext w:val="0"/>
        <w:keepLines w:val="0"/>
        <w:widowControl w:val="0"/>
        <w:shd w:val="clear" w:color="auto" w:fill="auto"/>
        <w:bidi w:val="0"/>
        <w:spacing w:before="0" w:after="260" w:line="240" w:lineRule="auto"/>
        <w:ind w:left="0" w:right="0" w:firstLine="0"/>
        <w:jc w:val="left"/>
      </w:pPr>
      <w:r>
        <w:rPr>
          <w:rStyle w:val="CharStyle20"/>
          <w:color w:val="006AB4"/>
          <w:sz w:val="22"/>
          <w:szCs w:val="22"/>
        </w:rPr>
        <w:t xml:space="preserve">^ </w:t>
      </w:r>
      <w:r>
        <w:rPr>
          <w:rStyle w:val="CharStyle20"/>
        </w:rPr>
        <w:t>Středně-teplotní (160 °C až 220 °C)</w:t>
      </w:r>
    </w:p>
    <w:p>
      <w:pPr>
        <w:pStyle w:val="Style19"/>
        <w:keepNext w:val="0"/>
        <w:keepLines w:val="0"/>
        <w:widowControl w:val="0"/>
        <w:shd w:val="clear" w:color="auto" w:fill="auto"/>
        <w:bidi w:val="0"/>
        <w:spacing w:before="0" w:after="260" w:line="240" w:lineRule="auto"/>
        <w:ind w:left="0" w:right="0" w:firstLine="0"/>
        <w:jc w:val="left"/>
        <w:sectPr>
          <w:footnotePr>
            <w:pos w:val="pageBottom"/>
            <w:numFmt w:val="decimal"/>
            <w:numRestart w:val="continuous"/>
          </w:footnotePr>
          <w:type w:val="continuous"/>
          <w:pgSz w:w="12142" w:h="17375"/>
          <w:pgMar w:top="1310" w:right="858" w:bottom="1526" w:left="858" w:header="0" w:footer="3" w:gutter="3240"/>
          <w:cols w:space="720"/>
          <w:noEndnote/>
          <w:rtlGutter w:val="0"/>
          <w:docGrid w:linePitch="360"/>
        </w:sectPr>
      </w:pPr>
      <w:bookmarkStart w:id="99" w:name="bookmark99"/>
      <w:r>
        <w:rPr>
          <w:rStyle w:val="CharStyle20"/>
          <w:color w:val="006AB4"/>
          <w:sz w:val="22"/>
          <w:szCs w:val="22"/>
        </w:rPr>
        <w:t xml:space="preserve">^ </w:t>
      </w:r>
      <w:r>
        <w:rPr>
          <w:rStyle w:val="CharStyle20"/>
        </w:rPr>
        <w:t>Vysoko-teplotní (600 °C až 1050 °C)</w:t>
      </w:r>
      <w:bookmarkEnd w:id="99"/>
    </w:p>
    <w:p>
      <w:pPr>
        <w:pStyle w:val="Style19"/>
        <w:keepNext w:val="0"/>
        <w:keepLines w:val="0"/>
        <w:widowControl w:val="0"/>
        <w:shd w:val="clear" w:color="auto" w:fill="auto"/>
        <w:bidi w:val="0"/>
        <w:spacing w:before="0" w:after="180" w:line="300" w:lineRule="auto"/>
        <w:ind w:left="0" w:right="0" w:firstLine="0"/>
        <w:jc w:val="left"/>
      </w:pPr>
      <w:r>
        <w:rPr>
          <w:rStyle w:val="CharStyle20"/>
        </w:rPr>
        <w:t>Dalším kritériem je použitý elektrolyt:</w:t>
      </w:r>
    </w:p>
    <w:p>
      <w:pPr>
        <w:pStyle w:val="Style19"/>
        <w:keepNext w:val="0"/>
        <w:keepLines w:val="0"/>
        <w:widowControl w:val="0"/>
        <w:shd w:val="clear" w:color="auto" w:fill="auto"/>
        <w:bidi w:val="0"/>
        <w:spacing w:before="0" w:after="340" w:line="240" w:lineRule="auto"/>
        <w:ind w:left="0" w:right="0" w:firstLine="0"/>
        <w:jc w:val="left"/>
      </w:pPr>
      <w:r>
        <w:rPr>
          <w:rStyle w:val="CharStyle20"/>
          <w:color w:val="006AB4"/>
          <w:sz w:val="22"/>
          <w:szCs w:val="22"/>
        </w:rPr>
        <w:t xml:space="preserve">^ </w:t>
      </w:r>
      <w:r>
        <w:rPr>
          <w:rStyle w:val="CharStyle20"/>
          <w:b/>
          <w:bCs/>
          <w:color w:val="006AB4"/>
        </w:rPr>
        <w:t>Alkalický palivový článek (AFC)</w:t>
      </w:r>
    </w:p>
    <w:p>
      <w:pPr>
        <w:pStyle w:val="Style19"/>
        <w:keepNext w:val="0"/>
        <w:keepLines w:val="0"/>
        <w:widowControl w:val="0"/>
        <w:numPr>
          <w:ilvl w:val="0"/>
          <w:numId w:val="19"/>
        </w:numPr>
        <w:shd w:val="clear" w:color="auto" w:fill="auto"/>
        <w:tabs>
          <w:tab w:pos="531" w:val="left"/>
        </w:tabs>
        <w:bidi w:val="0"/>
        <w:spacing w:before="0" w:after="180" w:line="300" w:lineRule="auto"/>
        <w:ind w:left="0" w:right="0" w:firstLine="240"/>
        <w:jc w:val="left"/>
      </w:pPr>
      <w:r>
        <w:rPr>
          <w:rStyle w:val="CharStyle20"/>
        </w:rPr>
        <w:t>Jako elektrolyt využívají vodný roztok alkalického hydroxidu</w:t>
      </w:r>
    </w:p>
    <w:p>
      <w:pPr>
        <w:pStyle w:val="Style19"/>
        <w:keepNext w:val="0"/>
        <w:keepLines w:val="0"/>
        <w:widowControl w:val="0"/>
        <w:shd w:val="clear" w:color="auto" w:fill="auto"/>
        <w:bidi w:val="0"/>
        <w:spacing w:before="0" w:after="300" w:line="240" w:lineRule="auto"/>
        <w:ind w:left="0" w:right="0" w:firstLine="0"/>
        <w:jc w:val="left"/>
      </w:pPr>
      <w:r>
        <w:rPr>
          <w:rStyle w:val="CharStyle20"/>
          <w:color w:val="006AB4"/>
          <w:sz w:val="22"/>
          <w:szCs w:val="22"/>
        </w:rPr>
        <w:t xml:space="preserve">^ </w:t>
      </w:r>
      <w:r>
        <w:rPr>
          <w:rStyle w:val="CharStyle20"/>
        </w:rPr>
        <w:t>Palivový článek s přímým použitím metanolu (DMFC)</w:t>
      </w:r>
    </w:p>
    <w:p>
      <w:pPr>
        <w:pStyle w:val="Style19"/>
        <w:keepNext w:val="0"/>
        <w:keepLines w:val="0"/>
        <w:widowControl w:val="0"/>
        <w:numPr>
          <w:ilvl w:val="0"/>
          <w:numId w:val="19"/>
        </w:numPr>
        <w:shd w:val="clear" w:color="auto" w:fill="auto"/>
        <w:tabs>
          <w:tab w:pos="531" w:val="left"/>
        </w:tabs>
        <w:bidi w:val="0"/>
        <w:spacing w:before="0" w:after="180" w:line="300" w:lineRule="auto"/>
        <w:ind w:left="380" w:right="0" w:hanging="140"/>
        <w:jc w:val="left"/>
      </w:pPr>
      <w:r>
        <w:rPr>
          <w:rStyle w:val="CharStyle20"/>
        </w:rPr>
        <w:t>Jako elektrolyt je využíván metanol. Provozní teplota palivového článku může dosahovat až 40 °C</w:t>
      </w:r>
    </w:p>
    <w:p>
      <w:pPr>
        <w:pStyle w:val="Style19"/>
        <w:keepNext w:val="0"/>
        <w:keepLines w:val="0"/>
        <w:widowControl w:val="0"/>
        <w:shd w:val="clear" w:color="auto" w:fill="auto"/>
        <w:bidi w:val="0"/>
        <w:spacing w:before="0" w:after="300" w:line="240" w:lineRule="auto"/>
        <w:ind w:left="0" w:right="0" w:firstLine="0"/>
        <w:jc w:val="left"/>
      </w:pPr>
      <w:r>
        <w:rPr>
          <w:rStyle w:val="CharStyle20"/>
          <w:color w:val="006AB4"/>
          <w:sz w:val="22"/>
          <w:szCs w:val="22"/>
        </w:rPr>
        <w:t xml:space="preserve">^ </w:t>
      </w:r>
      <w:r>
        <w:rPr>
          <w:rStyle w:val="CharStyle20"/>
          <w:b/>
          <w:bCs/>
          <w:color w:val="006AB4"/>
        </w:rPr>
        <w:t>Palivový článek s polymerní membránou (PEMFC)</w:t>
      </w:r>
    </w:p>
    <w:p>
      <w:pPr>
        <w:pStyle w:val="Style19"/>
        <w:keepNext w:val="0"/>
        <w:keepLines w:val="0"/>
        <w:widowControl w:val="0"/>
        <w:numPr>
          <w:ilvl w:val="0"/>
          <w:numId w:val="19"/>
        </w:numPr>
        <w:shd w:val="clear" w:color="auto" w:fill="auto"/>
        <w:tabs>
          <w:tab w:pos="531" w:val="left"/>
        </w:tabs>
        <w:bidi w:val="0"/>
        <w:spacing w:before="0" w:after="180"/>
        <w:ind w:left="380" w:right="0" w:hanging="140"/>
        <w:jc w:val="left"/>
      </w:pPr>
      <w:r>
        <w:rPr>
          <w:rStyle w:val="CharStyle20"/>
        </w:rPr>
        <w:t>Funkci elektrolytu zde plní polymerní membrána vodivá pro vodíkové ionty. Pracovní teplota je do 90 °C. Vysoká citlivost katalyzátoru na katalytické jedy, především na oxid uhelnatý</w:t>
      </w:r>
    </w:p>
    <w:p>
      <w:pPr>
        <w:pStyle w:val="Style19"/>
        <w:keepNext w:val="0"/>
        <w:keepLines w:val="0"/>
        <w:widowControl w:val="0"/>
        <w:shd w:val="clear" w:color="auto" w:fill="auto"/>
        <w:bidi w:val="0"/>
        <w:spacing w:before="0" w:after="300" w:line="240" w:lineRule="auto"/>
        <w:ind w:left="0" w:right="0" w:firstLine="0"/>
        <w:jc w:val="left"/>
      </w:pPr>
      <w:r>
        <w:rPr>
          <w:rStyle w:val="CharStyle20"/>
          <w:color w:val="006AB4"/>
          <w:sz w:val="22"/>
          <w:szCs w:val="22"/>
        </w:rPr>
        <w:t xml:space="preserve">^ </w:t>
      </w:r>
      <w:r>
        <w:rPr>
          <w:rStyle w:val="CharStyle20"/>
          <w:b/>
          <w:bCs/>
          <w:color w:val="006AB4"/>
        </w:rPr>
        <w:t>Palivové články s tuhými oxidy (SOFC)</w:t>
      </w:r>
    </w:p>
    <w:p>
      <w:pPr>
        <w:pStyle w:val="Style19"/>
        <w:keepNext w:val="0"/>
        <w:keepLines w:val="0"/>
        <w:widowControl w:val="0"/>
        <w:numPr>
          <w:ilvl w:val="0"/>
          <w:numId w:val="19"/>
        </w:numPr>
        <w:shd w:val="clear" w:color="auto" w:fill="auto"/>
        <w:tabs>
          <w:tab w:pos="531" w:val="left"/>
        </w:tabs>
        <w:bidi w:val="0"/>
        <w:spacing w:before="0" w:after="180"/>
        <w:ind w:left="380" w:right="0" w:hanging="140"/>
        <w:jc w:val="left"/>
      </w:pPr>
      <w:r>
        <w:rPr>
          <w:rStyle w:val="CharStyle20"/>
        </w:rPr>
        <w:t>Pracují při teplotě okolo 800-1 000 °C, lze je tedy použít v expanzní turbíně, což vede ke zvýšení účinnosti. Jako palivo slouží zemní plyn, bioplyn, plyn z parního reformingu fosilních paliv a bioplynu a jako oxidační činidlo vzduch. Tyto palivové články skýtají možnost využití v kogeneračních jednotkách a elektrárnách</w:t>
      </w:r>
    </w:p>
    <w:p>
      <w:pPr>
        <w:pStyle w:val="Style19"/>
        <w:keepNext w:val="0"/>
        <w:keepLines w:val="0"/>
        <w:widowControl w:val="0"/>
        <w:shd w:val="clear" w:color="auto" w:fill="auto"/>
        <w:bidi w:val="0"/>
        <w:spacing w:before="0" w:after="300" w:line="240" w:lineRule="auto"/>
        <w:ind w:left="0" w:right="0" w:firstLine="0"/>
        <w:jc w:val="left"/>
      </w:pPr>
      <w:r>
        <w:rPr>
          <w:rStyle w:val="CharStyle20"/>
          <w:color w:val="006AB4"/>
          <w:sz w:val="22"/>
          <w:szCs w:val="22"/>
        </w:rPr>
        <w:t xml:space="preserve">^ </w:t>
      </w:r>
      <w:r>
        <w:rPr>
          <w:rStyle w:val="CharStyle20"/>
          <w:b/>
          <w:bCs/>
          <w:color w:val="006AB4"/>
        </w:rPr>
        <w:t>Palivové články s kyselinou fosforečnou (PAFC)</w:t>
      </w:r>
    </w:p>
    <w:p>
      <w:pPr>
        <w:pStyle w:val="Style19"/>
        <w:keepNext w:val="0"/>
        <w:keepLines w:val="0"/>
        <w:widowControl w:val="0"/>
        <w:numPr>
          <w:ilvl w:val="0"/>
          <w:numId w:val="19"/>
        </w:numPr>
        <w:shd w:val="clear" w:color="auto" w:fill="auto"/>
        <w:tabs>
          <w:tab w:pos="531" w:val="left"/>
        </w:tabs>
        <w:bidi w:val="0"/>
        <w:spacing w:before="0" w:after="180" w:line="300" w:lineRule="auto"/>
        <w:ind w:left="380" w:right="0" w:hanging="140"/>
        <w:jc w:val="left"/>
      </w:pPr>
      <w:r>
        <w:rPr>
          <w:rStyle w:val="CharStyle20"/>
        </w:rPr>
        <w:t>Jako elektrolyt slouží 100% kyselina fosforečná (působí však korozní potíže). Články pracují při teplotách 150 °C až 220 °C. Odpadá problém s otravou oxidem uhelnatým, a lze tedy použít přímo plyn z parního reformingu</w:t>
      </w:r>
    </w:p>
    <w:p>
      <w:pPr>
        <w:pStyle w:val="Style19"/>
        <w:keepNext w:val="0"/>
        <w:keepLines w:val="0"/>
        <w:widowControl w:val="0"/>
        <w:shd w:val="clear" w:color="auto" w:fill="auto"/>
        <w:bidi w:val="0"/>
        <w:spacing w:before="0" w:after="300" w:line="240" w:lineRule="auto"/>
        <w:ind w:left="0" w:right="0" w:firstLine="0"/>
        <w:jc w:val="left"/>
      </w:pPr>
      <w:r>
        <w:rPr>
          <w:rStyle w:val="CharStyle20"/>
          <w:color w:val="006AB4"/>
          <w:sz w:val="22"/>
          <w:szCs w:val="22"/>
        </w:rPr>
        <w:t xml:space="preserve">^ </w:t>
      </w:r>
      <w:r>
        <w:rPr>
          <w:rStyle w:val="CharStyle20"/>
          <w:b/>
          <w:bCs/>
          <w:color w:val="006AB4"/>
        </w:rPr>
        <w:t>Palivové články s roztaveným uhličitanem (MCFC)</w:t>
      </w:r>
    </w:p>
    <w:p>
      <w:pPr>
        <w:pStyle w:val="Style19"/>
        <w:keepNext w:val="0"/>
        <w:keepLines w:val="0"/>
        <w:widowControl w:val="0"/>
        <w:numPr>
          <w:ilvl w:val="0"/>
          <w:numId w:val="19"/>
        </w:numPr>
        <w:shd w:val="clear" w:color="auto" w:fill="auto"/>
        <w:tabs>
          <w:tab w:pos="531" w:val="left"/>
        </w:tabs>
        <w:bidi w:val="0"/>
        <w:spacing w:before="0" w:after="120" w:line="300" w:lineRule="auto"/>
        <w:ind w:left="380" w:right="0" w:hanging="140"/>
        <w:jc w:val="left"/>
      </w:pPr>
      <w:r>
        <w:rPr>
          <w:rStyle w:val="CharStyle20"/>
        </w:rPr>
        <w:t>Provozní teplota těchto palivových článků je mezi 600 °C až 700 °C. V palivovém článku dochází k vnitřnímu reformingu, což zvyšuje účinnost článku a palivo tedy nemusí být čisté. Jako palivo se používá plyn z parního reformingu fosilních paliv a bioplynu a jako oxidační činidlo vzduch. U těchto palivových článků je vysoký potenciál budoucího využití v kogeneračních jednotkách a elektrárnách</w:t>
      </w:r>
    </w:p>
    <w:p>
      <w:pPr>
        <w:pStyle w:val="Style68"/>
        <w:keepNext w:val="0"/>
        <w:keepLines w:val="0"/>
        <w:widowControl w:val="0"/>
        <w:shd w:val="clear" w:color="auto" w:fill="auto"/>
        <w:tabs>
          <w:tab w:pos="4851" w:val="left"/>
        </w:tabs>
        <w:bidi w:val="0"/>
        <w:spacing w:before="0" w:line="240" w:lineRule="auto"/>
        <w:ind w:right="0" w:firstLine="0"/>
        <w:jc w:val="left"/>
      </w:pPr>
      <w:r>
        <w:rPr>
          <w:rStyle w:val="CharStyle69"/>
        </w:rPr>
        <w:t>I</w:t>
        <w:tab/>
        <w:t>I</w:t>
      </w:r>
    </w:p>
    <w:p>
      <w:pPr>
        <w:pStyle w:val="Style15"/>
        <w:keepNext/>
        <w:keepLines/>
        <w:widowControl w:val="0"/>
        <w:shd w:val="clear" w:color="auto" w:fill="auto"/>
        <w:bidi w:val="0"/>
        <w:spacing w:before="0" w:after="500" w:line="300" w:lineRule="auto"/>
        <w:ind w:left="0" w:right="0" w:firstLine="0"/>
        <w:jc w:val="left"/>
      </w:pPr>
      <w:bookmarkStart w:id="100" w:name="bookmark100"/>
      <w:r>
        <w:rPr>
          <w:rStyle w:val="CharStyle16"/>
          <w:b/>
          <w:bCs/>
        </w:rPr>
        <w:t>Obr. 4.21 Výkonové rozsahy palivových článků</w:t>
      </w:r>
      <w:bookmarkEnd w:id="100"/>
    </w:p>
    <w:p>
      <w:pPr>
        <w:widowControl w:val="0"/>
        <w:jc w:val="center"/>
        <w:rPr>
          <w:sz w:val="2"/>
          <w:szCs w:val="2"/>
        </w:rPr>
      </w:pPr>
      <w:r>
        <w:drawing>
          <wp:inline>
            <wp:extent cx="6187440" cy="1999615"/>
            <wp:docPr id="129" name="Picutre 129"/>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05"/>
                    <a:stretch/>
                  </pic:blipFill>
                  <pic:spPr>
                    <a:xfrm>
                      <a:ext cx="6187440" cy="1999615"/>
                    </a:xfrm>
                    <a:prstGeom prst="rect"/>
                  </pic:spPr>
                </pic:pic>
              </a:graphicData>
            </a:graphic>
          </wp:inline>
        </w:drawing>
      </w:r>
    </w:p>
    <w:p>
      <w:pPr>
        <w:pStyle w:val="Style2"/>
        <w:keepNext w:val="0"/>
        <w:keepLines w:val="0"/>
        <w:widowControl w:val="0"/>
        <w:shd w:val="clear" w:color="auto" w:fill="auto"/>
        <w:tabs>
          <w:tab w:pos="4925" w:val="left"/>
          <w:tab w:pos="7253" w:val="left"/>
        </w:tabs>
        <w:bidi w:val="0"/>
        <w:spacing w:before="0" w:after="0" w:line="240" w:lineRule="auto"/>
        <w:ind w:left="2597" w:right="0" w:firstLine="0"/>
        <w:jc w:val="left"/>
        <w:rPr>
          <w:sz w:val="12"/>
          <w:szCs w:val="12"/>
        </w:rPr>
      </w:pPr>
      <w:r>
        <w:rPr>
          <w:rStyle w:val="CharStyle3"/>
          <w:b/>
          <w:bCs/>
          <w:sz w:val="12"/>
          <w:szCs w:val="12"/>
        </w:rPr>
        <w:t>W</w:t>
        <w:tab/>
        <w:t>kW</w:t>
        <w:tab/>
        <w:t>MW</w:t>
      </w:r>
    </w:p>
    <w:p>
      <w:pPr>
        <w:pStyle w:val="Style19"/>
        <w:keepNext w:val="0"/>
        <w:keepLines w:val="0"/>
        <w:widowControl w:val="0"/>
        <w:shd w:val="clear" w:color="auto" w:fill="auto"/>
        <w:bidi w:val="0"/>
        <w:spacing w:before="0"/>
        <w:ind w:left="2620" w:right="0" w:firstLine="0"/>
        <w:jc w:val="left"/>
      </w:pPr>
      <w:r>
        <w:rPr>
          <w:rStyle w:val="CharStyle20"/>
        </w:rPr>
        <w:t xml:space="preserve">Pro drobné decentralizované aplikace jsou vhodné DMFC a AFC. Pro střední decentrální výkony PEMFC, pro průmyslové využití pak SOFC vzhledem k využití páry. K energetickým účelům a pro dodávku elektřiny z palivového článku do soustavy lze přepokládat blokové spojení několika palivových článků. Pro potřeby tohoto </w:t>
      </w:r>
      <w:r>
        <w:rPr>
          <w:rStyle w:val="CharStyle20"/>
        </w:rPr>
        <w:t>dokumentu uvažujeme velikost instalovaného výkonu jedné jednotky 250 kW, tj. pro výkon 1 MW je zapotřebí 4 jednotek v rámci jednoho zařízení.</w:t>
      </w:r>
    </w:p>
    <w:p>
      <w:pPr>
        <w:pStyle w:val="Style19"/>
        <w:keepNext w:val="0"/>
        <w:keepLines w:val="0"/>
        <w:widowControl w:val="0"/>
        <w:shd w:val="clear" w:color="auto" w:fill="auto"/>
        <w:bidi w:val="0"/>
        <w:spacing w:before="0" w:after="140" w:line="307" w:lineRule="auto"/>
        <w:ind w:left="2620" w:right="0" w:firstLine="0"/>
        <w:jc w:val="left"/>
      </w:pPr>
      <w:r>
        <w:rPr>
          <w:rStyle w:val="CharStyle20"/>
        </w:rPr>
        <w:t>Na základě těchto předpokladů a informací byly pro potřeby výpočtů prezentovaných v rámci tohoto dokumentu vytvořeny následující tři predikce:</w:t>
      </w:r>
    </w:p>
    <w:p>
      <w:pPr>
        <w:pStyle w:val="Style68"/>
        <w:keepNext w:val="0"/>
        <w:keepLines w:val="0"/>
        <w:widowControl w:val="0"/>
        <w:shd w:val="clear" w:color="auto" w:fill="auto"/>
        <w:tabs>
          <w:tab w:pos="7476" w:val="left"/>
        </w:tabs>
        <w:bidi w:val="0"/>
        <w:spacing w:before="0" w:line="240" w:lineRule="auto"/>
        <w:ind w:left="4860" w:right="0" w:firstLine="0"/>
        <w:jc w:val="left"/>
      </w:pPr>
      <w:r>
        <w:rPr>
          <w:rStyle w:val="CharStyle69"/>
        </w:rPr>
        <w:t>I</w:t>
        <w:tab/>
        <w:t>I</w:t>
      </w:r>
    </w:p>
    <w:p>
      <w:pPr>
        <w:pStyle w:val="Style15"/>
        <w:keepNext/>
        <w:keepLines/>
        <w:widowControl w:val="0"/>
        <w:shd w:val="clear" w:color="auto" w:fill="auto"/>
        <w:bidi w:val="0"/>
        <w:spacing w:before="0" w:after="440" w:line="307" w:lineRule="auto"/>
        <w:ind w:left="0" w:right="0" w:firstLine="0"/>
        <w:jc w:val="left"/>
      </w:pPr>
      <w:bookmarkStart w:id="102" w:name="bookmark102"/>
      <w:r>
        <w:rPr>
          <w:rStyle w:val="CharStyle16"/>
          <w:b/>
          <w:bCs/>
        </w:rPr>
        <w:t>Obr. 4.22 Výhled vývoje instalovaného výkonu palivových článků</w:t>
      </w:r>
      <w:bookmarkEnd w:id="102"/>
    </w:p>
    <w:p>
      <w:pPr>
        <w:widowControl w:val="0"/>
        <w:jc w:val="center"/>
        <w:rPr>
          <w:sz w:val="2"/>
          <w:szCs w:val="2"/>
        </w:rPr>
        <w:sectPr>
          <w:footnotePr>
            <w:pos w:val="pageBottom"/>
            <w:numFmt w:val="decimal"/>
            <w:numRestart w:val="continuous"/>
          </w:footnotePr>
          <w:pgSz w:w="12142" w:h="17375"/>
          <w:pgMar w:top="1300" w:right="834" w:bottom="1559" w:left="834" w:header="0" w:footer="3" w:gutter="682"/>
          <w:cols w:space="720"/>
          <w:noEndnote/>
          <w:rtlGutter w:val="0"/>
          <w:docGrid w:linePitch="360"/>
        </w:sectPr>
      </w:pPr>
      <w:r>
        <w:drawing>
          <wp:inline>
            <wp:extent cx="6193790" cy="2560320"/>
            <wp:docPr id="130" name="Picutre 130"/>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07"/>
                    <a:stretch/>
                  </pic:blipFill>
                  <pic:spPr>
                    <a:xfrm>
                      <a:ext cx="6193790" cy="2560320"/>
                    </a:xfrm>
                    <a:prstGeom prst="rect"/>
                  </pic:spPr>
                </pic:pic>
              </a:graphicData>
            </a:graphic>
          </wp:inline>
        </w:drawing>
      </w:r>
    </w:p>
    <w:p>
      <w:pPr>
        <w:pStyle w:val="Style15"/>
        <w:keepNext/>
        <w:keepLines/>
        <w:widowControl w:val="0"/>
        <w:numPr>
          <w:ilvl w:val="0"/>
          <w:numId w:val="21"/>
        </w:numPr>
        <w:shd w:val="clear" w:color="auto" w:fill="auto"/>
        <w:tabs>
          <w:tab w:pos="294" w:val="left"/>
        </w:tabs>
        <w:bidi w:val="0"/>
        <w:spacing w:before="0" w:after="960" w:line="240" w:lineRule="auto"/>
        <w:ind w:left="0" w:right="0" w:firstLine="0"/>
        <w:jc w:val="left"/>
        <w:rPr>
          <w:sz w:val="22"/>
          <w:szCs w:val="22"/>
        </w:rPr>
      </w:pPr>
      <w:bookmarkStart w:id="104" w:name="bookmark104"/>
      <w:r>
        <w:rPr>
          <w:rStyle w:val="CharStyle16"/>
          <w:rFonts w:ascii="Segoe UI" w:eastAsia="Segoe UI" w:hAnsi="Segoe UI" w:cs="Segoe UI"/>
          <w:b/>
          <w:bCs/>
          <w:sz w:val="22"/>
          <w:szCs w:val="22"/>
        </w:rPr>
        <w:t>Spotřeba elektřiny</w:t>
      </w:r>
      <w:bookmarkEnd w:id="104"/>
    </w:p>
    <w:p>
      <w:pPr>
        <w:pStyle w:val="Style19"/>
        <w:keepNext w:val="0"/>
        <w:keepLines w:val="0"/>
        <w:widowControl w:val="0"/>
        <w:shd w:val="clear" w:color="auto" w:fill="auto"/>
        <w:bidi w:val="0"/>
        <w:spacing w:before="0"/>
        <w:ind w:left="0" w:right="0" w:firstLine="0"/>
        <w:jc w:val="left"/>
      </w:pPr>
      <w:r>
        <w:rPr>
          <w:rStyle w:val="CharStyle20"/>
        </w:rPr>
        <w:t>Při zpracování scénářů spotřeby ČEPS reaguje na aktuální vývoj klíčových faktorů ovlivňujících směřování tuzemské energetiky. Důraz je kladen na co největší propojenost a konzistenci mezi scénáři spotřeby, energetickým mixem a korespondujícím vývojem ekonomicko-demografických ukazatelů státu. Posuzovány jsou všechny aktivní komponenty (elektroenergetická náročnost, využívání nových technologií při vytápění, klimatizování, akumulace přebytků výroby či elektromobilita), které nad rámec přirozeného chování spotřeby reagují na změny v její struktuře a ovlivňují tvar diagramu zatížení. Kromě agregovaných ukazatelů energetické spotřeby a informací o míře penetrace jednotlivých vlivů je nezbytné mít k dispozici také dostatek statistických modelů, včetně hodinových průběhů a závislostí na klimatických faktorech.</w:t>
      </w:r>
    </w:p>
    <w:p>
      <w:pPr>
        <w:pStyle w:val="Style19"/>
        <w:keepNext w:val="0"/>
        <w:keepLines w:val="0"/>
        <w:widowControl w:val="0"/>
        <w:shd w:val="clear" w:color="auto" w:fill="auto"/>
        <w:bidi w:val="0"/>
        <w:spacing w:before="0"/>
        <w:ind w:left="0" w:right="0" w:firstLine="0"/>
        <w:jc w:val="left"/>
      </w:pPr>
      <w:r>
        <w:rPr>
          <w:rStyle w:val="CharStyle20"/>
        </w:rPr>
        <w:t>Pro potřeby analýz hodnocení zdrojové přiměřenosti je využit model netto spotřeby dle ENTSO-E. Vychází z predikce tuzemské netto spotřeby maloobchodu a velkoobchodu (MO a VO) se započítáním spotřeby tepelných čerpadel (TČ) a elektromobility (EM), což odpovídá nárokům na modelování koncové spotřeby elektřiny zákazníků připojených k ES. Pro účely výpočtů jsou započteny i ztráty v sítích přenosové a distribuční soustavy (PS a DS).</w:t>
      </w:r>
    </w:p>
    <w:p>
      <w:pPr>
        <w:pStyle w:val="Style19"/>
        <w:keepNext w:val="0"/>
        <w:keepLines w:val="0"/>
        <w:widowControl w:val="0"/>
        <w:shd w:val="clear" w:color="auto" w:fill="auto"/>
        <w:bidi w:val="0"/>
        <w:spacing w:before="0" w:line="300" w:lineRule="auto"/>
        <w:ind w:left="0" w:right="0" w:firstLine="0"/>
        <w:jc w:val="left"/>
      </w:pPr>
      <w:r>
        <w:rPr>
          <w:rStyle w:val="CharStyle20"/>
        </w:rPr>
        <w:t xml:space="preserve">Metodické postupy pro zpracování klimatických časových řad zatížení, práci s teplotním normálem a definice různých úrovní spotřeby jsou detailněji rozepsány v dokumentu </w:t>
      </w:r>
      <w:r>
        <w:rPr>
          <w:rStyle w:val="CharStyle20"/>
          <w:i/>
          <w:iCs/>
        </w:rPr>
        <w:t>Metodika pro Hodnocení zdrojové přiměřenosti (MAF CZ) 2021</w:t>
      </w:r>
      <w:r>
        <w:rPr>
          <w:rStyle w:val="CharStyle20"/>
          <w:sz w:val="10"/>
          <w:szCs w:val="10"/>
        </w:rPr>
        <w:t>1</w:t>
      </w:r>
      <w:r>
        <w:rPr>
          <w:rStyle w:val="CharStyle20"/>
        </w:rPr>
        <w:t>.</w:t>
      </w:r>
    </w:p>
    <w:p>
      <w:pPr>
        <w:pStyle w:val="Style27"/>
        <w:keepNext/>
        <w:keepLines/>
        <w:widowControl w:val="0"/>
        <w:numPr>
          <w:ilvl w:val="1"/>
          <w:numId w:val="21"/>
        </w:numPr>
        <w:shd w:val="clear" w:color="auto" w:fill="auto"/>
        <w:tabs>
          <w:tab w:pos="370" w:val="left"/>
        </w:tabs>
        <w:bidi w:val="0"/>
        <w:spacing w:before="0" w:after="0" w:line="300" w:lineRule="auto"/>
        <w:ind w:left="0" w:right="0" w:firstLine="0"/>
        <w:jc w:val="left"/>
      </w:pPr>
      <w:bookmarkStart w:id="106" w:name="bookmark106"/>
      <w:r>
        <w:rPr>
          <w:rStyle w:val="CharStyle28"/>
          <w:b/>
          <w:bCs/>
        </w:rPr>
        <w:t>SCÉNÁŘE VÝVOJE SPOTŘEBY</w:t>
      </w:r>
      <w:bookmarkEnd w:id="106"/>
    </w:p>
    <w:p>
      <w:pPr>
        <w:pStyle w:val="Style19"/>
        <w:keepNext w:val="0"/>
        <w:keepLines w:val="0"/>
        <w:widowControl w:val="0"/>
        <w:shd w:val="clear" w:color="auto" w:fill="auto"/>
        <w:bidi w:val="0"/>
        <w:spacing w:before="0" w:line="300" w:lineRule="auto"/>
        <w:ind w:left="0" w:right="0" w:firstLine="0"/>
        <w:jc w:val="left"/>
      </w:pPr>
      <w:r>
        <w:rPr>
          <w:rStyle w:val="CharStyle20"/>
        </w:rPr>
        <w:t>Predikce je formulována do tří scénářů spotřeby provázaných s hlavními scénáři tohoto hodnocení zdrojové přiměřenosti - Respondentním/Konzervativním, Progresivním a Dekarbonizačním.</w:t>
      </w:r>
    </w:p>
    <w:p>
      <w:pPr>
        <w:pStyle w:val="Style19"/>
        <w:keepNext w:val="0"/>
        <w:keepLines w:val="0"/>
        <w:widowControl w:val="0"/>
        <w:shd w:val="clear" w:color="auto" w:fill="auto"/>
        <w:bidi w:val="0"/>
        <w:spacing w:before="0" w:line="300" w:lineRule="auto"/>
        <w:ind w:left="0" w:right="0" w:firstLine="0"/>
        <w:jc w:val="left"/>
      </w:pPr>
      <w:r>
        <w:rPr>
          <w:rStyle w:val="CharStyle20"/>
        </w:rPr>
        <w:t>Scénáře jsou modelovány s využitím závislosti spotřeby na makroekonomických a demografických ukazatelích (hrubý domácí produkt HDP, elektroenergetická náročnost EEN, počet obyvatel a počet domácností), statistikách Českého statistického úřadu (ČSÚ), projekcích vybavenosti domácností a přechodu na úspornější spotřebiče, tepelná čerpadla a elektromobilitu.</w:t>
      </w:r>
    </w:p>
    <w:p>
      <w:pPr>
        <w:pStyle w:val="Style19"/>
        <w:keepNext w:val="0"/>
        <w:keepLines w:val="0"/>
        <w:widowControl w:val="0"/>
        <w:shd w:val="clear" w:color="auto" w:fill="auto"/>
        <w:bidi w:val="0"/>
        <w:spacing w:before="0" w:line="300" w:lineRule="auto"/>
        <w:ind w:left="0" w:right="0" w:firstLine="0"/>
        <w:jc w:val="left"/>
      </w:pPr>
      <w:r>
        <w:rPr>
          <w:rStyle w:val="CharStyle20"/>
        </w:rPr>
        <w:t>Od roku 2026 se ve všech scénářích spotřeby předpokládá využívání elektřiny místo koksovaného uhlí pro zpracování železa v závodu Liberty Ostrava a.s. Dekarbonizaci provozu bude společnost realizovat instalací dvou nových elektrických hybridních obloukových pecí s očekávaným ročním odběrem cca 2 TWh.</w:t>
      </w:r>
    </w:p>
    <w:p>
      <w:pPr>
        <w:pStyle w:val="Style19"/>
        <w:keepNext w:val="0"/>
        <w:keepLines w:val="0"/>
        <w:widowControl w:val="0"/>
        <w:shd w:val="clear" w:color="auto" w:fill="auto"/>
        <w:bidi w:val="0"/>
        <w:spacing w:before="0"/>
        <w:ind w:left="0" w:right="0" w:firstLine="0"/>
        <w:jc w:val="left"/>
      </w:pPr>
      <w:r>
        <w:rPr>
          <w:rStyle w:val="CharStyle20"/>
          <w:b/>
          <w:bCs/>
          <w:color w:val="006AB4"/>
        </w:rPr>
        <w:t xml:space="preserve">Demografie ČR </w:t>
      </w:r>
      <w:r>
        <w:rPr>
          <w:rStyle w:val="CharStyle20"/>
        </w:rPr>
        <w:t>je v návaznosti na současné trendy a očekávání kladného imigračního salda reprezentována vysokou projekcí počtu obyvatel (ovlivňující počet domácností) dle ČSÚ.</w:t>
      </w:r>
    </w:p>
    <w:p>
      <w:pPr>
        <w:pStyle w:val="Style19"/>
        <w:keepNext w:val="0"/>
        <w:keepLines w:val="0"/>
        <w:widowControl w:val="0"/>
        <w:shd w:val="clear" w:color="auto" w:fill="auto"/>
        <w:bidi w:val="0"/>
        <w:spacing w:before="0" w:after="496" w:line="300" w:lineRule="auto"/>
        <w:ind w:left="0" w:right="0" w:firstLine="0"/>
        <w:jc w:val="left"/>
      </w:pPr>
      <w:r>
        <w:rPr>
          <w:rStyle w:val="CharStyle20"/>
          <w:b/>
          <w:bCs/>
          <w:color w:val="006AB4"/>
        </w:rPr>
        <w:t xml:space="preserve">Elektromobilita </w:t>
      </w:r>
      <w:r>
        <w:rPr>
          <w:rStyle w:val="CharStyle20"/>
        </w:rPr>
        <w:t>je predikována odděleně pro osobní automobily (OA) a pro lehké užitkové vozy (LUV), a to jak čistě bateriové (BEV a LUEV), tak plug-in hybridy (PHEV a LUPHEV). Predikce vývoje počtu elektrických vozů (EV) je odvozena z predikce počtu pořízených a vyřazených EV ve vazbě na počet nových registrací vozidel. Podíl</w:t>
      </w:r>
    </w:p>
    <w:p>
      <w:pPr>
        <w:pStyle w:val="Style19"/>
        <w:keepNext w:val="0"/>
        <w:keepLines w:val="0"/>
        <w:widowControl w:val="0"/>
        <w:pBdr>
          <w:top w:val="single" w:sz="4" w:space="13" w:color="auto"/>
        </w:pBdr>
        <w:shd w:val="clear" w:color="auto" w:fill="auto"/>
        <w:bidi w:val="0"/>
        <w:spacing w:before="0" w:line="307" w:lineRule="auto"/>
        <w:ind w:left="0" w:right="0" w:firstLine="0"/>
        <w:jc w:val="left"/>
      </w:pPr>
      <w:r>
        <w:rPr>
          <w:rStyle w:val="CharStyle20"/>
          <w:vertAlign w:val="superscript"/>
        </w:rPr>
        <w:t>1</w:t>
      </w:r>
      <w:r>
        <w:rPr>
          <w:rStyle w:val="CharStyle20"/>
        </w:rPr>
        <w:t xml:space="preserve"> </w:t>
      </w:r>
      <w:r>
        <w:rPr>
          <w:rStyle w:val="CharStyle20"/>
          <w:i/>
          <w:iCs/>
        </w:rPr>
        <w:t>Metodika je vydána jako doprovodný dokument k MAF CZ 2022 a je dostupná na webových stránkách ČEPS a MPO spolu s hlavním reportem.</w:t>
      </w:r>
    </w:p>
    <w:p>
      <w:pPr>
        <w:pStyle w:val="Style15"/>
        <w:keepNext/>
        <w:keepLines/>
        <w:widowControl w:val="0"/>
        <w:shd w:val="clear" w:color="auto" w:fill="auto"/>
        <w:bidi w:val="0"/>
        <w:spacing w:before="0" w:after="460" w:line="240" w:lineRule="auto"/>
        <w:ind w:left="0" w:right="0" w:firstLine="0"/>
        <w:jc w:val="left"/>
      </w:pPr>
      <w:bookmarkStart w:id="108" w:name="bookmark108"/>
      <w:r>
        <w:rPr>
          <w:rStyle w:val="CharStyle16"/>
          <w:b/>
          <w:bCs/>
        </w:rPr>
        <w:t>Obr. 5.1 Scénáře spotřeby ČR</w:t>
      </w:r>
      <w:bookmarkEnd w:id="108"/>
    </w:p>
    <w:p>
      <w:pPr>
        <w:pStyle w:val="Style2"/>
        <w:keepNext w:val="0"/>
        <w:keepLines w:val="0"/>
        <w:widowControl w:val="0"/>
        <w:shd w:val="clear" w:color="auto" w:fill="auto"/>
        <w:bidi w:val="0"/>
        <w:spacing w:before="0" w:after="0" w:line="240" w:lineRule="auto"/>
        <w:ind w:left="274" w:right="0" w:firstLine="0"/>
        <w:jc w:val="left"/>
        <w:rPr>
          <w:sz w:val="12"/>
          <w:szCs w:val="12"/>
        </w:rPr>
      </w:pPr>
      <w:r>
        <w:rPr>
          <w:rStyle w:val="CharStyle3"/>
          <w:b/>
          <w:bCs/>
          <w:sz w:val="12"/>
          <w:szCs w:val="12"/>
        </w:rPr>
        <w:t>120 000</w:t>
      </w:r>
    </w:p>
    <w:p>
      <w:pPr>
        <w:widowControl w:val="0"/>
        <w:jc w:val="center"/>
        <w:rPr>
          <w:sz w:val="2"/>
          <w:szCs w:val="2"/>
        </w:rPr>
      </w:pPr>
      <w:r>
        <w:drawing>
          <wp:inline>
            <wp:extent cx="6193790" cy="2060575"/>
            <wp:docPr id="131" name="Picutre 131"/>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09"/>
                    <a:stretch/>
                  </pic:blipFill>
                  <pic:spPr>
                    <a:xfrm>
                      <a:ext cx="6193790" cy="2060575"/>
                    </a:xfrm>
                    <a:prstGeom prst="rect"/>
                  </pic:spPr>
                </pic:pic>
              </a:graphicData>
            </a:graphic>
          </wp:inline>
        </w:drawing>
      </w:r>
    </w:p>
    <w:p>
      <w:pPr>
        <w:pStyle w:val="Style2"/>
        <w:keepNext w:val="0"/>
        <w:keepLines w:val="0"/>
        <w:widowControl w:val="0"/>
        <w:shd w:val="clear" w:color="auto" w:fill="auto"/>
        <w:tabs>
          <w:tab w:pos="5174" w:val="left"/>
          <w:tab w:pos="7517" w:val="left"/>
        </w:tabs>
        <w:bidi w:val="0"/>
        <w:spacing w:before="0" w:after="0" w:line="240" w:lineRule="auto"/>
        <w:ind w:left="1421" w:right="0" w:firstLine="0"/>
        <w:jc w:val="left"/>
        <w:rPr>
          <w:sz w:val="16"/>
          <w:szCs w:val="16"/>
        </w:rPr>
      </w:pPr>
      <w:r>
        <w:rPr>
          <w:rStyle w:val="CharStyle3"/>
          <w:color w:val="000000"/>
          <w:sz w:val="16"/>
          <w:szCs w:val="16"/>
        </w:rPr>
        <w:t>Respondentní/Konzervativní</w:t>
        <w:tab/>
        <w:t>Progresivní</w:t>
        <w:tab/>
        <w:t>Dekarbonizační</w:t>
      </w:r>
    </w:p>
    <w:p>
      <w:pPr>
        <w:widowControl w:val="0"/>
        <w:spacing w:after="1039" w:line="1" w:lineRule="exact"/>
      </w:pPr>
    </w:p>
    <w:p>
      <w:pPr>
        <w:pStyle w:val="Style19"/>
        <w:keepNext w:val="0"/>
        <w:keepLines w:val="0"/>
        <w:widowControl w:val="0"/>
        <w:shd w:val="clear" w:color="auto" w:fill="auto"/>
        <w:bidi w:val="0"/>
        <w:spacing w:before="0" w:line="300" w:lineRule="auto"/>
        <w:ind w:left="2620" w:right="0" w:firstLine="0"/>
        <w:jc w:val="left"/>
      </w:pPr>
      <w:r>
        <w:rPr>
          <w:rStyle w:val="CharStyle20"/>
        </w:rPr>
        <w:t>nákladní dopravy v elektrifikaci je předpokládán jako zanedbatelný, a proto z tohoto hlediska není pro predikci uvažován.</w:t>
      </w:r>
    </w:p>
    <w:p>
      <w:pPr>
        <w:pStyle w:val="Style19"/>
        <w:keepNext w:val="0"/>
        <w:keepLines w:val="0"/>
        <w:widowControl w:val="0"/>
        <w:shd w:val="clear" w:color="auto" w:fill="auto"/>
        <w:bidi w:val="0"/>
        <w:spacing w:before="0"/>
        <w:ind w:left="2620" w:right="0" w:firstLine="0"/>
        <w:jc w:val="left"/>
      </w:pPr>
      <w:r>
        <w:rPr>
          <w:rStyle w:val="CharStyle20"/>
          <w:b/>
          <w:bCs/>
          <w:color w:val="006AB4"/>
        </w:rPr>
        <w:t xml:space="preserve">Tepelná čerpadla </w:t>
      </w:r>
      <w:r>
        <w:rPr>
          <w:rStyle w:val="CharStyle20"/>
        </w:rPr>
        <w:t>hrají významnou roli v elektrifikaci, potažmo dekarbonizaci konečné spotřeby (především domácností). Predikce vývoje počtu tepelných čerpadel vychází ze strmého růstu jejich ročních dodávek v posledních letech doprovázených růstem jimi využité energie prostředí. Pro stanovení potřebné spotřeby elektřiny je předpokládán postupně se snižující sezónní faktor SCOP v závislosti na každoročně klesajícím podílu TČ typu země-voda a silně převažujícím podílu TČ vzduch-voda.</w:t>
      </w:r>
    </w:p>
    <w:p>
      <w:pPr>
        <w:pStyle w:val="Style19"/>
        <w:keepNext w:val="0"/>
        <w:keepLines w:val="0"/>
        <w:widowControl w:val="0"/>
        <w:shd w:val="clear" w:color="auto" w:fill="auto"/>
        <w:bidi w:val="0"/>
        <w:spacing w:before="0" w:line="300" w:lineRule="auto"/>
        <w:ind w:left="2620" w:right="0" w:firstLine="0"/>
        <w:jc w:val="left"/>
      </w:pPr>
      <w:r>
        <w:rPr>
          <w:rStyle w:val="CharStyle20"/>
          <w:b/>
          <w:bCs/>
          <w:color w:val="006AB4"/>
        </w:rPr>
        <w:t>Prosumeři</w:t>
      </w:r>
      <w:r>
        <w:rPr>
          <w:rStyle w:val="CharStyle20"/>
        </w:rPr>
        <w:t>, mimo cílení na celkové zvyšování energetické účinnosti, jako jediný z hlavních prediktorů vývoje nezanedbatelně snižují poptávku po dodávkách elektřiny ze sítě. Predikce zahrnuje fotovoltaické instalace o výkonu max 1 MW, přičemž spotřebou prosumerů se myslí objem elektrické energie spotřebované přímo v místě výroby (pokrytí části spotřeby v objektu vlastním zdrojem tzv. „za elektroměrem“).</w:t>
      </w:r>
    </w:p>
    <w:p>
      <w:pPr>
        <w:pStyle w:val="Style27"/>
        <w:keepNext/>
        <w:keepLines/>
        <w:widowControl w:val="0"/>
        <w:numPr>
          <w:ilvl w:val="2"/>
          <w:numId w:val="21"/>
        </w:numPr>
        <w:shd w:val="clear" w:color="auto" w:fill="auto"/>
        <w:tabs>
          <w:tab w:pos="3168" w:val="left"/>
        </w:tabs>
        <w:bidi w:val="0"/>
        <w:spacing w:before="0" w:after="0"/>
        <w:ind w:left="2620" w:right="0" w:firstLine="0"/>
        <w:jc w:val="left"/>
      </w:pPr>
      <w:bookmarkStart w:id="110" w:name="bookmark110"/>
      <w:r>
        <w:rPr>
          <w:rStyle w:val="CharStyle28"/>
          <w:b/>
          <w:bCs/>
        </w:rPr>
        <w:t>RESPONDENTNÍ/KONZERVATIVNÍ SCÉNÁŘ SPOTŘEBY</w:t>
      </w:r>
      <w:bookmarkEnd w:id="110"/>
    </w:p>
    <w:p>
      <w:pPr>
        <w:pStyle w:val="Style19"/>
        <w:keepNext w:val="0"/>
        <w:keepLines w:val="0"/>
        <w:widowControl w:val="0"/>
        <w:shd w:val="clear" w:color="auto" w:fill="auto"/>
        <w:bidi w:val="0"/>
        <w:spacing w:before="0" w:after="360"/>
        <w:ind w:left="2620" w:right="0" w:firstLine="0"/>
        <w:jc w:val="left"/>
      </w:pPr>
      <w:bookmarkStart w:id="112" w:name="bookmark112"/>
      <w:r>
        <w:rPr>
          <w:rStyle w:val="CharStyle20"/>
        </w:rPr>
        <w:t>Scénář predikuje, jakou spotřebu lze do budoucna konzervativně předpokládat s přihlédnutím k aktuálně známým strategiím, vizím a plánům Vlády ČR. Predikce také bere v úvahu vývoj ekonomiky po pandemii COVID-19, stagflaci a energetickou krizi vyvolané konfliktem na Ukrajině. Respondentní/Konzervativní predikce spotřeby ČR uvažuje střední elektrifikaci konečné spotřeby (především vliv elektromobility, růst počtu instalovaných tepelných čerpadel a rozšíření trendu decentralizace výroby FVE ve smyslu navýšení počtu prosumerů či rozvoje energetických komunit).</w:t>
      </w:r>
      <w:bookmarkEnd w:id="112"/>
      <w:r>
        <w:br w:type="page"/>
      </w:r>
    </w:p>
    <w:p>
      <w:pPr>
        <w:pStyle w:val="Style15"/>
        <w:keepNext/>
        <w:keepLines/>
        <w:widowControl w:val="0"/>
        <w:shd w:val="clear" w:color="auto" w:fill="auto"/>
        <w:bidi w:val="0"/>
        <w:spacing w:before="0" w:after="480" w:line="240" w:lineRule="auto"/>
        <w:ind w:left="0" w:right="0" w:firstLine="0"/>
        <w:jc w:val="left"/>
      </w:pPr>
      <w:bookmarkStart w:id="113" w:name="bookmark113"/>
      <w:r>
        <w:rPr>
          <w:rStyle w:val="CharStyle16"/>
          <w:b/>
          <w:bCs/>
        </w:rPr>
        <w:t>Obr. 5.2 Spotřeba ČR - Respondentní/Konzervativní scénář</w:t>
      </w:r>
      <w:bookmarkEnd w:id="113"/>
    </w:p>
    <w:p>
      <w:pPr>
        <w:pStyle w:val="Style37"/>
        <w:keepNext w:val="0"/>
        <w:keepLines w:val="0"/>
        <w:widowControl w:val="0"/>
        <w:shd w:val="clear" w:color="auto" w:fill="auto"/>
        <w:bidi w:val="0"/>
        <w:spacing w:before="0" w:after="0" w:line="240" w:lineRule="auto"/>
        <w:ind w:left="0" w:right="0" w:firstLine="380"/>
        <w:jc w:val="left"/>
        <w:rPr>
          <w:sz w:val="12"/>
          <w:szCs w:val="12"/>
        </w:rPr>
      </w:pPr>
      <w:r>
        <w:rPr>
          <w:rStyle w:val="CharStyle38"/>
          <w:b/>
          <w:bCs/>
          <w:color w:val="006AB4"/>
          <w:sz w:val="12"/>
          <w:szCs w:val="12"/>
        </w:rPr>
        <w:t>90 000</w:t>
      </w:r>
    </w:p>
    <w:p>
      <w:pPr>
        <w:widowControl w:val="0"/>
        <w:spacing w:line="1" w:lineRule="exact"/>
        <w:sectPr>
          <w:footnotePr>
            <w:pos w:val="pageBottom"/>
            <w:numFmt w:val="decimal"/>
            <w:numRestart w:val="continuous"/>
          </w:footnotePr>
          <w:pgSz w:w="12142" w:h="17375"/>
          <w:pgMar w:top="1151" w:right="832" w:bottom="1482" w:left="832" w:header="0" w:footer="3" w:gutter="685"/>
          <w:cols w:space="720"/>
          <w:noEndnote/>
          <w:rtlGutter w:val="0"/>
          <w:docGrid w:linePitch="360"/>
        </w:sectPr>
      </w:pPr>
      <w:r>
        <w:drawing>
          <wp:anchor distT="12700" distB="753110" distL="600710" distR="0" simplePos="0" relativeHeight="125829422" behindDoc="0" locked="0" layoutInCell="1" allowOverlap="1">
            <wp:simplePos x="0" y="0"/>
            <wp:positionH relativeFrom="margin">
              <wp:posOffset>601345</wp:posOffset>
            </wp:positionH>
            <wp:positionV relativeFrom="paragraph">
              <wp:posOffset>12700</wp:posOffset>
            </wp:positionV>
            <wp:extent cx="5815330" cy="1865630"/>
            <wp:wrapTopAndBottom/>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111"/>
                    <a:stretch/>
                  </pic:blipFill>
                  <pic:spPr>
                    <a:xfrm>
                      <a:ext cx="5815330" cy="186563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232410</wp:posOffset>
                </wp:positionH>
                <wp:positionV relativeFrom="paragraph">
                  <wp:posOffset>36830</wp:posOffset>
                </wp:positionV>
                <wp:extent cx="283210" cy="118745"/>
                <wp:wrapNone/>
                <wp:docPr id="134" name="Shape 134"/>
                <a:graphic xmlns:a="http://schemas.openxmlformats.org/drawingml/2006/main">
                  <a:graphicData uri="http://schemas.microsoft.com/office/word/2010/wordprocessingShape">
                    <wps:wsp>
                      <wps:cNvSpPr txBox="1"/>
                      <wps:spPr>
                        <a:xfrm>
                          <a:ext cx="283210" cy="1187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80 000</w:t>
                            </w:r>
                          </w:p>
                        </w:txbxContent>
                      </wps:txbx>
                      <wps:bodyPr lIns="0" tIns="0" rIns="0" bIns="0">
                        <a:noAutoFit/>
                      </wps:bodyPr>
                    </wps:wsp>
                  </a:graphicData>
                </a:graphic>
              </wp:anchor>
            </w:drawing>
          </mc:Choice>
          <mc:Fallback>
            <w:pict>
              <v:shape id="_x0000_s1160" type="#_x0000_t202" style="position:absolute;margin-left:18.300000000000001pt;margin-top:2.8999999999999999pt;width:22.300000000000001pt;height:9.3499999999999996pt;z-index:25165773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80 000</w:t>
                      </w:r>
                    </w:p>
                  </w:txbxContent>
                </v:textbox>
                <w10:wrap anchorx="margin"/>
              </v:shape>
            </w:pict>
          </mc:Fallback>
        </mc:AlternateContent>
      </w:r>
      <w:r>
        <mc:AlternateContent>
          <mc:Choice Requires="wps">
            <w:drawing>
              <wp:anchor distT="0" distB="0" distL="0" distR="0" simplePos="0" relativeHeight="503316494" behindDoc="0" locked="0" layoutInCell="1" allowOverlap="1">
                <wp:simplePos x="0" y="0"/>
                <wp:positionH relativeFrom="margin">
                  <wp:posOffset>635</wp:posOffset>
                </wp:positionH>
                <wp:positionV relativeFrom="paragraph">
                  <wp:posOffset>259715</wp:posOffset>
                </wp:positionV>
                <wp:extent cx="514985" cy="1005840"/>
                <wp:wrapNone/>
                <wp:docPr id="136" name="Shape 136"/>
                <a:graphic xmlns:a="http://schemas.openxmlformats.org/drawingml/2006/main">
                  <a:graphicData uri="http://schemas.microsoft.com/office/word/2010/wordprocessingShape">
                    <wps:wsp>
                      <wps:cNvSpPr txBox="1"/>
                      <wps:spPr>
                        <a:xfrm>
                          <a:ext cx="514985" cy="1005840"/>
                        </a:xfrm>
                        <a:prstGeom prst="rect"/>
                        <a:noFill/>
                      </wps:spPr>
                      <wps:txbx>
                        <w:txbxContent>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70 000</w:t>
                            </w:r>
                          </w:p>
                          <w:p>
                            <w:pPr>
                              <w:pStyle w:val="Style2"/>
                              <w:keepNext w:val="0"/>
                              <w:keepLines w:val="0"/>
                              <w:widowControl w:val="0"/>
                              <w:shd w:val="clear" w:color="auto" w:fill="auto"/>
                              <w:bidi w:val="0"/>
                              <w:spacing w:before="0" w:after="40" w:line="240" w:lineRule="auto"/>
                              <w:ind w:left="0" w:right="0" w:firstLine="380"/>
                              <w:jc w:val="left"/>
                              <w:rPr>
                                <w:sz w:val="12"/>
                                <w:szCs w:val="12"/>
                              </w:rPr>
                            </w:pPr>
                            <w:r>
                              <w:rPr>
                                <w:rStyle w:val="CharStyle3"/>
                                <w:b/>
                                <w:bCs/>
                                <w:sz w:val="12"/>
                                <w:szCs w:val="12"/>
                              </w:rPr>
                              <w:t>60 000</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w:t>
                            </w:r>
                          </w:p>
                          <w:p>
                            <w:pPr>
                              <w:pStyle w:val="Style2"/>
                              <w:keepNext w:val="0"/>
                              <w:keepLines w:val="0"/>
                              <w:widowControl w:val="0"/>
                              <w:shd w:val="clear" w:color="auto" w:fill="auto"/>
                              <w:tabs>
                                <w:tab w:pos="365" w:val="left"/>
                              </w:tabs>
                              <w:bidi w:val="0"/>
                              <w:spacing w:before="0" w:after="100" w:line="233" w:lineRule="auto"/>
                              <w:ind w:left="0" w:right="0" w:firstLine="0"/>
                              <w:jc w:val="left"/>
                              <w:rPr>
                                <w:sz w:val="12"/>
                                <w:szCs w:val="12"/>
                              </w:rPr>
                            </w:pPr>
                            <w:r>
                              <w:rPr>
                                <w:rStyle w:val="CharStyle3"/>
                                <w:b/>
                                <w:bCs/>
                                <w:sz w:val="12"/>
                                <w:szCs w:val="12"/>
                              </w:rPr>
                              <w:t>£</w:t>
                              <w:tab/>
                              <w:t>50 000</w:t>
                            </w:r>
                          </w:p>
                          <w:p>
                            <w:pPr>
                              <w:pStyle w:val="Style2"/>
                              <w:keepNext w:val="0"/>
                              <w:keepLines w:val="0"/>
                              <w:widowControl w:val="0"/>
                              <w:shd w:val="clear" w:color="auto" w:fill="auto"/>
                              <w:bidi w:val="0"/>
                              <w:spacing w:before="0" w:after="0" w:line="240" w:lineRule="auto"/>
                              <w:ind w:left="0" w:right="0" w:firstLine="0"/>
                              <w:jc w:val="left"/>
                              <w:rPr>
                                <w:sz w:val="8"/>
                                <w:szCs w:val="8"/>
                              </w:rPr>
                            </w:pPr>
                            <w:r>
                              <w:rPr>
                                <w:rStyle w:val="CharStyle3"/>
                                <w:b/>
                                <w:bCs/>
                                <w:sz w:val="8"/>
                                <w:szCs w:val="8"/>
                              </w:rPr>
                              <w:t>■O</w:t>
                            </w:r>
                          </w:p>
                          <w:p>
                            <w:pPr>
                              <w:pStyle w:val="Style2"/>
                              <w:keepNext w:val="0"/>
                              <w:keepLines w:val="0"/>
                              <w:widowControl w:val="0"/>
                              <w:shd w:val="clear" w:color="auto" w:fill="auto"/>
                              <w:tabs>
                                <w:tab w:pos="360" w:val="left"/>
                              </w:tabs>
                              <w:bidi w:val="0"/>
                              <w:spacing w:before="0" w:after="0" w:line="233" w:lineRule="auto"/>
                              <w:ind w:left="0" w:right="0" w:firstLine="0"/>
                              <w:jc w:val="left"/>
                              <w:rPr>
                                <w:sz w:val="12"/>
                                <w:szCs w:val="12"/>
                              </w:rPr>
                            </w:pPr>
                            <w:r>
                              <w:rPr>
                                <w:rStyle w:val="CharStyle3"/>
                                <w:b/>
                                <w:bCs/>
                                <w:sz w:val="12"/>
                                <w:szCs w:val="12"/>
                              </w:rPr>
                              <w:t>&gt;£</w:t>
                              <w:tab/>
                              <w:t>40 000</w:t>
                            </w:r>
                          </w:p>
                          <w:p>
                            <w:pPr>
                              <w:pStyle w:val="Style2"/>
                              <w:keepNext w:val="0"/>
                              <w:keepLines w:val="0"/>
                              <w:widowControl w:val="0"/>
                              <w:shd w:val="clear" w:color="auto" w:fill="auto"/>
                              <w:bidi w:val="0"/>
                              <w:spacing w:before="0" w:after="40" w:line="240" w:lineRule="auto"/>
                              <w:ind w:left="0" w:right="0" w:firstLine="0"/>
                              <w:jc w:val="left"/>
                              <w:rPr>
                                <w:sz w:val="12"/>
                                <w:szCs w:val="12"/>
                              </w:rPr>
                            </w:pPr>
                            <w:r>
                              <w:rPr>
                                <w:rStyle w:val="CharStyle3"/>
                                <w:b/>
                                <w:bCs/>
                                <w:sz w:val="12"/>
                                <w:szCs w:val="12"/>
                              </w:rPr>
                              <w:t>o</w:t>
                            </w:r>
                          </w:p>
                          <w:p>
                            <w:pPr>
                              <w:pStyle w:val="Style2"/>
                              <w:keepNext w:val="0"/>
                              <w:keepLines w:val="0"/>
                              <w:widowControl w:val="0"/>
                              <w:shd w:val="clear" w:color="auto" w:fill="auto"/>
                              <w:bidi w:val="0"/>
                              <w:spacing w:before="0" w:after="80" w:line="240" w:lineRule="auto"/>
                              <w:ind w:left="0" w:right="0" w:firstLine="380"/>
                              <w:jc w:val="left"/>
                              <w:rPr>
                                <w:sz w:val="12"/>
                                <w:szCs w:val="12"/>
                              </w:rPr>
                            </w:pPr>
                            <w:r>
                              <w:rPr>
                                <w:rStyle w:val="CharStyle3"/>
                                <w:b/>
                                <w:bCs/>
                                <w:sz w:val="12"/>
                                <w:szCs w:val="12"/>
                              </w:rPr>
                              <w:t>30 000</w:t>
                            </w:r>
                          </w:p>
                        </w:txbxContent>
                      </wps:txbx>
                      <wps:bodyPr lIns="0" tIns="0" rIns="0" bIns="0">
                        <a:noAutoFit/>
                      </wps:bodyPr>
                    </wps:wsp>
                  </a:graphicData>
                </a:graphic>
              </wp:anchor>
            </w:drawing>
          </mc:Choice>
          <mc:Fallback>
            <w:pict>
              <v:shape id="_x0000_s1162" type="#_x0000_t202" style="position:absolute;margin-left:5.0000000000000003e-002pt;margin-top:20.449999999999999pt;width:40.550000000000004pt;height:79.200000000000003pt;z-index:251657741;mso-wrap-distance-left:0;mso-wrap-distance-right:0;mso-position-horizontal-relative:margin" filled="f" stroked="f">
                <v:textbox inset="0,0,0,0">
                  <w:txbxContent>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70 000</w:t>
                      </w:r>
                    </w:p>
                    <w:p>
                      <w:pPr>
                        <w:pStyle w:val="Style2"/>
                        <w:keepNext w:val="0"/>
                        <w:keepLines w:val="0"/>
                        <w:widowControl w:val="0"/>
                        <w:shd w:val="clear" w:color="auto" w:fill="auto"/>
                        <w:bidi w:val="0"/>
                        <w:spacing w:before="0" w:after="40" w:line="240" w:lineRule="auto"/>
                        <w:ind w:left="0" w:right="0" w:firstLine="380"/>
                        <w:jc w:val="left"/>
                        <w:rPr>
                          <w:sz w:val="12"/>
                          <w:szCs w:val="12"/>
                        </w:rPr>
                      </w:pPr>
                      <w:r>
                        <w:rPr>
                          <w:rStyle w:val="CharStyle3"/>
                          <w:b/>
                          <w:bCs/>
                          <w:sz w:val="12"/>
                          <w:szCs w:val="12"/>
                        </w:rPr>
                        <w:t>60 000</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w:t>
                      </w:r>
                    </w:p>
                    <w:p>
                      <w:pPr>
                        <w:pStyle w:val="Style2"/>
                        <w:keepNext w:val="0"/>
                        <w:keepLines w:val="0"/>
                        <w:widowControl w:val="0"/>
                        <w:shd w:val="clear" w:color="auto" w:fill="auto"/>
                        <w:tabs>
                          <w:tab w:pos="365" w:val="left"/>
                        </w:tabs>
                        <w:bidi w:val="0"/>
                        <w:spacing w:before="0" w:after="100" w:line="233" w:lineRule="auto"/>
                        <w:ind w:left="0" w:right="0" w:firstLine="0"/>
                        <w:jc w:val="left"/>
                        <w:rPr>
                          <w:sz w:val="12"/>
                          <w:szCs w:val="12"/>
                        </w:rPr>
                      </w:pPr>
                      <w:r>
                        <w:rPr>
                          <w:rStyle w:val="CharStyle3"/>
                          <w:b/>
                          <w:bCs/>
                          <w:sz w:val="12"/>
                          <w:szCs w:val="12"/>
                        </w:rPr>
                        <w:t>£</w:t>
                        <w:tab/>
                        <w:t>50 000</w:t>
                      </w:r>
                    </w:p>
                    <w:p>
                      <w:pPr>
                        <w:pStyle w:val="Style2"/>
                        <w:keepNext w:val="0"/>
                        <w:keepLines w:val="0"/>
                        <w:widowControl w:val="0"/>
                        <w:shd w:val="clear" w:color="auto" w:fill="auto"/>
                        <w:bidi w:val="0"/>
                        <w:spacing w:before="0" w:after="0" w:line="240" w:lineRule="auto"/>
                        <w:ind w:left="0" w:right="0" w:firstLine="0"/>
                        <w:jc w:val="left"/>
                        <w:rPr>
                          <w:sz w:val="8"/>
                          <w:szCs w:val="8"/>
                        </w:rPr>
                      </w:pPr>
                      <w:r>
                        <w:rPr>
                          <w:rStyle w:val="CharStyle3"/>
                          <w:b/>
                          <w:bCs/>
                          <w:sz w:val="8"/>
                          <w:szCs w:val="8"/>
                        </w:rPr>
                        <w:t>■O</w:t>
                      </w:r>
                    </w:p>
                    <w:p>
                      <w:pPr>
                        <w:pStyle w:val="Style2"/>
                        <w:keepNext w:val="0"/>
                        <w:keepLines w:val="0"/>
                        <w:widowControl w:val="0"/>
                        <w:shd w:val="clear" w:color="auto" w:fill="auto"/>
                        <w:tabs>
                          <w:tab w:pos="360" w:val="left"/>
                        </w:tabs>
                        <w:bidi w:val="0"/>
                        <w:spacing w:before="0" w:after="0" w:line="233" w:lineRule="auto"/>
                        <w:ind w:left="0" w:right="0" w:firstLine="0"/>
                        <w:jc w:val="left"/>
                        <w:rPr>
                          <w:sz w:val="12"/>
                          <w:szCs w:val="12"/>
                        </w:rPr>
                      </w:pPr>
                      <w:r>
                        <w:rPr>
                          <w:rStyle w:val="CharStyle3"/>
                          <w:b/>
                          <w:bCs/>
                          <w:sz w:val="12"/>
                          <w:szCs w:val="12"/>
                        </w:rPr>
                        <w:t>&gt;£</w:t>
                        <w:tab/>
                        <w:t>40 000</w:t>
                      </w:r>
                    </w:p>
                    <w:p>
                      <w:pPr>
                        <w:pStyle w:val="Style2"/>
                        <w:keepNext w:val="0"/>
                        <w:keepLines w:val="0"/>
                        <w:widowControl w:val="0"/>
                        <w:shd w:val="clear" w:color="auto" w:fill="auto"/>
                        <w:bidi w:val="0"/>
                        <w:spacing w:before="0" w:after="40" w:line="240" w:lineRule="auto"/>
                        <w:ind w:left="0" w:right="0" w:firstLine="0"/>
                        <w:jc w:val="left"/>
                        <w:rPr>
                          <w:sz w:val="12"/>
                          <w:szCs w:val="12"/>
                        </w:rPr>
                      </w:pPr>
                      <w:r>
                        <w:rPr>
                          <w:rStyle w:val="CharStyle3"/>
                          <w:b/>
                          <w:bCs/>
                          <w:sz w:val="12"/>
                          <w:szCs w:val="12"/>
                        </w:rPr>
                        <w:t>o</w:t>
                      </w:r>
                    </w:p>
                    <w:p>
                      <w:pPr>
                        <w:pStyle w:val="Style2"/>
                        <w:keepNext w:val="0"/>
                        <w:keepLines w:val="0"/>
                        <w:widowControl w:val="0"/>
                        <w:shd w:val="clear" w:color="auto" w:fill="auto"/>
                        <w:bidi w:val="0"/>
                        <w:spacing w:before="0" w:after="80" w:line="240" w:lineRule="auto"/>
                        <w:ind w:left="0" w:right="0" w:firstLine="380"/>
                        <w:jc w:val="left"/>
                        <w:rPr>
                          <w:sz w:val="12"/>
                          <w:szCs w:val="12"/>
                        </w:rPr>
                      </w:pPr>
                      <w:r>
                        <w:rPr>
                          <w:rStyle w:val="CharStyle3"/>
                          <w:b/>
                          <w:bCs/>
                          <w:sz w:val="12"/>
                          <w:szCs w:val="12"/>
                        </w:rPr>
                        <w:t>30 000</w:t>
                      </w:r>
                    </w:p>
                  </w:txbxContent>
                </v:textbox>
                <w10:wrap anchorx="margin"/>
              </v:shape>
            </w:pict>
          </mc:Fallback>
        </mc:AlternateContent>
      </w:r>
      <w:r>
        <mc:AlternateContent>
          <mc:Choice Requires="wps">
            <w:drawing>
              <wp:anchor distT="0" distB="0" distL="0" distR="0" simplePos="0" relativeHeight="503316496" behindDoc="0" locked="0" layoutInCell="1" allowOverlap="1">
                <wp:simplePos x="0" y="0"/>
                <wp:positionH relativeFrom="margin">
                  <wp:posOffset>235585</wp:posOffset>
                </wp:positionH>
                <wp:positionV relativeFrom="paragraph">
                  <wp:posOffset>1372235</wp:posOffset>
                </wp:positionV>
                <wp:extent cx="280670" cy="115570"/>
                <wp:wrapNone/>
                <wp:docPr id="138" name="Shape 138"/>
                <a:graphic xmlns:a="http://schemas.openxmlformats.org/drawingml/2006/main">
                  <a:graphicData uri="http://schemas.microsoft.com/office/word/2010/wordprocessingShape">
                    <wps:wsp>
                      <wps:cNvSpPr txBox="1"/>
                      <wps:spPr>
                        <a:xfrm>
                          <a:ext cx="28067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20 000</w:t>
                            </w:r>
                          </w:p>
                        </w:txbxContent>
                      </wps:txbx>
                      <wps:bodyPr lIns="0" tIns="0" rIns="0" bIns="0">
                        <a:noAutoFit/>
                      </wps:bodyPr>
                    </wps:wsp>
                  </a:graphicData>
                </a:graphic>
              </wp:anchor>
            </w:drawing>
          </mc:Choice>
          <mc:Fallback>
            <w:pict>
              <v:shape id="_x0000_s1164" type="#_x0000_t202" style="position:absolute;margin-left:18.550000000000001pt;margin-top:108.05pt;width:22.100000000000001pt;height:9.0999999999999996pt;z-index:25165774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20 000</w:t>
                      </w:r>
                    </w:p>
                  </w:txbxContent>
                </v:textbox>
                <w10:wrap anchorx="margin"/>
              </v:shape>
            </w:pict>
          </mc:Fallback>
        </mc:AlternateContent>
      </w:r>
      <w:r>
        <mc:AlternateContent>
          <mc:Choice Requires="wps">
            <w:drawing>
              <wp:anchor distT="0" distB="0" distL="0" distR="0" simplePos="0" relativeHeight="503316498" behindDoc="0" locked="0" layoutInCell="1" allowOverlap="1">
                <wp:simplePos x="0" y="0"/>
                <wp:positionH relativeFrom="margin">
                  <wp:posOffset>238760</wp:posOffset>
                </wp:positionH>
                <wp:positionV relativeFrom="paragraph">
                  <wp:posOffset>1594485</wp:posOffset>
                </wp:positionV>
                <wp:extent cx="277495" cy="115570"/>
                <wp:wrapNone/>
                <wp:docPr id="140" name="Shape 140"/>
                <a:graphic xmlns:a="http://schemas.openxmlformats.org/drawingml/2006/main">
                  <a:graphicData uri="http://schemas.microsoft.com/office/word/2010/wordprocessingShape">
                    <wps:wsp>
                      <wps:cNvSpPr txBox="1"/>
                      <wps:spPr>
                        <a:xfrm>
                          <a:ext cx="277495"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10 000</w:t>
                            </w:r>
                          </w:p>
                        </w:txbxContent>
                      </wps:txbx>
                      <wps:bodyPr lIns="0" tIns="0" rIns="0" bIns="0">
                        <a:noAutoFit/>
                      </wps:bodyPr>
                    </wps:wsp>
                  </a:graphicData>
                </a:graphic>
              </wp:anchor>
            </w:drawing>
          </mc:Choice>
          <mc:Fallback>
            <w:pict>
              <v:shape id="_x0000_s1166" type="#_x0000_t202" style="position:absolute;margin-left:18.800000000000001pt;margin-top:125.55pt;width:21.850000000000001pt;height:9.0999999999999996pt;z-index:25165774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10 000</w:t>
                      </w:r>
                    </w:p>
                  </w:txbxContent>
                </v:textbox>
                <w10:wrap anchorx="margin"/>
              </v:shape>
            </w:pict>
          </mc:Fallback>
        </mc:AlternateContent>
      </w:r>
      <w:r>
        <mc:AlternateContent>
          <mc:Choice Requires="wps">
            <w:drawing>
              <wp:anchor distT="0" distB="0" distL="0" distR="0" simplePos="0" relativeHeight="503316500" behindDoc="0" locked="0" layoutInCell="1" allowOverlap="1">
                <wp:simplePos x="0" y="0"/>
                <wp:positionH relativeFrom="margin">
                  <wp:posOffset>607695</wp:posOffset>
                </wp:positionH>
                <wp:positionV relativeFrom="paragraph">
                  <wp:posOffset>1963420</wp:posOffset>
                </wp:positionV>
                <wp:extent cx="5571490" cy="115570"/>
                <wp:wrapNone/>
                <wp:docPr id="142" name="Shape 142"/>
                <a:graphic xmlns:a="http://schemas.openxmlformats.org/drawingml/2006/main">
                  <a:graphicData uri="http://schemas.microsoft.com/office/word/2010/wordprocessingShape">
                    <wps:wsp>
                      <wps:cNvSpPr txBox="1"/>
                      <wps:spPr>
                        <a:xfrm>
                          <a:ext cx="5571490" cy="115570"/>
                        </a:xfrm>
                        <a:prstGeom prst="rect"/>
                        <a:noFill/>
                      </wps:spPr>
                      <wps:txbx>
                        <w:txbxContent>
                          <w:p>
                            <w:pPr>
                              <w:pStyle w:val="Style2"/>
                              <w:keepNext w:val="0"/>
                              <w:keepLines w:val="0"/>
                              <w:widowControl w:val="0"/>
                              <w:shd w:val="clear" w:color="auto" w:fill="auto"/>
                              <w:tabs>
                                <w:tab w:pos="4685" w:val="left"/>
                              </w:tabs>
                              <w:bidi w:val="0"/>
                              <w:spacing w:before="0" w:after="0" w:line="240" w:lineRule="auto"/>
                              <w:ind w:left="0" w:right="0" w:firstLine="0"/>
                              <w:jc w:val="left"/>
                              <w:rPr>
                                <w:sz w:val="12"/>
                                <w:szCs w:val="12"/>
                              </w:rPr>
                            </w:pPr>
                            <w:r>
                              <w:rPr>
                                <w:rStyle w:val="CharStyle3"/>
                                <w:b/>
                                <w:bCs/>
                                <w:sz w:val="12"/>
                                <w:szCs w:val="12"/>
                              </w:rPr>
                              <w:t>2022 2023 2024 2025 2026 2027 2028 2029 2030 2031</w:t>
                              <w:tab/>
                              <w:t>2032 2033 2034 2035 2036 2037 2038 2039 2040</w:t>
                            </w:r>
                          </w:p>
                        </w:txbxContent>
                      </wps:txbx>
                      <wps:bodyPr lIns="0" tIns="0" rIns="0" bIns="0">
                        <a:noAutoFit/>
                      </wps:bodyPr>
                    </wps:wsp>
                  </a:graphicData>
                </a:graphic>
              </wp:anchor>
            </w:drawing>
          </mc:Choice>
          <mc:Fallback>
            <w:pict>
              <v:shape id="_x0000_s1168" type="#_x0000_t202" style="position:absolute;margin-left:47.850000000000001pt;margin-top:154.59999999999999pt;width:438.69999999999999pt;height:9.0999999999999996pt;z-index:251657747;mso-wrap-distance-left:0;mso-wrap-distance-right:0;mso-position-horizontal-relative:margin" filled="f" stroked="f">
                <v:textbox inset="0,0,0,0">
                  <w:txbxContent>
                    <w:p>
                      <w:pPr>
                        <w:pStyle w:val="Style2"/>
                        <w:keepNext w:val="0"/>
                        <w:keepLines w:val="0"/>
                        <w:widowControl w:val="0"/>
                        <w:shd w:val="clear" w:color="auto" w:fill="auto"/>
                        <w:tabs>
                          <w:tab w:pos="4685" w:val="left"/>
                        </w:tabs>
                        <w:bidi w:val="0"/>
                        <w:spacing w:before="0" w:after="0" w:line="240" w:lineRule="auto"/>
                        <w:ind w:left="0" w:right="0" w:firstLine="0"/>
                        <w:jc w:val="left"/>
                        <w:rPr>
                          <w:sz w:val="12"/>
                          <w:szCs w:val="12"/>
                        </w:rPr>
                      </w:pPr>
                      <w:r>
                        <w:rPr>
                          <w:rStyle w:val="CharStyle3"/>
                          <w:b/>
                          <w:bCs/>
                          <w:sz w:val="12"/>
                          <w:szCs w:val="12"/>
                        </w:rPr>
                        <w:t>2022 2023 2024 2025 2026 2027 2028 2029 2030 2031</w:t>
                        <w:tab/>
                        <w:t>2032 2033 2034 2035 2036 2037 2038 2039 2040</w:t>
                      </w:r>
                    </w:p>
                  </w:txbxContent>
                </v:textbox>
                <w10:wrap anchorx="margin"/>
              </v:shape>
            </w:pict>
          </mc:Fallback>
        </mc:AlternateContent>
      </w:r>
      <w:r>
        <mc:AlternateContent>
          <mc:Choice Requires="wps">
            <w:drawing>
              <wp:anchor distT="2274570" distB="42545" distL="0" distR="0" simplePos="0" relativeHeight="125829423" behindDoc="0" locked="0" layoutInCell="1" allowOverlap="1">
                <wp:simplePos x="0" y="0"/>
                <wp:positionH relativeFrom="margin">
                  <wp:posOffset>572770</wp:posOffset>
                </wp:positionH>
                <wp:positionV relativeFrom="paragraph">
                  <wp:posOffset>2274570</wp:posOffset>
                </wp:positionV>
                <wp:extent cx="1243330" cy="313690"/>
                <wp:wrapTopAndBottom/>
                <wp:docPr id="144" name="Shape 144"/>
                <a:graphic xmlns:a="http://schemas.openxmlformats.org/drawingml/2006/main">
                  <a:graphicData uri="http://schemas.microsoft.com/office/word/2010/wordprocessingShape">
                    <wps:wsp>
                      <wps:cNvSpPr txBox="1"/>
                      <wps:spPr>
                        <a:xfrm>
                          <a:ext cx="1243330" cy="313690"/>
                        </a:xfrm>
                        <a:prstGeom prst="rect"/>
                        <a:noFill/>
                      </wps:spPr>
                      <wps:txbx>
                        <w:txbxContent>
                          <w:p>
                            <w:pPr>
                              <w:pStyle w:val="Style75"/>
                              <w:keepNext w:val="0"/>
                              <w:keepLines w:val="0"/>
                              <w:widowControl w:val="0"/>
                              <w:shd w:val="clear" w:color="auto" w:fill="auto"/>
                              <w:bidi w:val="0"/>
                              <w:spacing w:before="0" w:after="60" w:line="240" w:lineRule="auto"/>
                              <w:ind w:left="0" w:right="0" w:firstLine="0"/>
                              <w:jc w:val="left"/>
                            </w:pPr>
                            <w:r>
                              <w:rPr>
                                <w:rStyle w:val="CharStyle76"/>
                                <w:color w:val="27A851"/>
                              </w:rPr>
                              <w:t xml:space="preserve">| </w:t>
                            </w:r>
                            <w:r>
                              <w:rPr>
                                <w:rStyle w:val="CharStyle76"/>
                              </w:rPr>
                              <w:t>Spotřeba prosumerů</w:t>
                            </w:r>
                          </w:p>
                          <w:p>
                            <w:pPr>
                              <w:pStyle w:val="Style75"/>
                              <w:keepNext w:val="0"/>
                              <w:keepLines w:val="0"/>
                              <w:widowControl w:val="0"/>
                              <w:shd w:val="clear" w:color="auto" w:fill="auto"/>
                              <w:bidi w:val="0"/>
                              <w:spacing w:before="0" w:after="0" w:line="240" w:lineRule="auto"/>
                              <w:ind w:left="0" w:right="0" w:firstLine="0"/>
                              <w:jc w:val="left"/>
                            </w:pPr>
                            <w:r>
                              <w:rPr>
                                <w:rStyle w:val="CharStyle76"/>
                                <w:color w:val="FED851"/>
                              </w:rPr>
                              <w:t xml:space="preserve">| </w:t>
                            </w:r>
                            <w:r>
                              <w:rPr>
                                <w:rStyle w:val="CharStyle76"/>
                              </w:rPr>
                              <w:t>Ztráty v sítích PS a DS</w:t>
                            </w:r>
                          </w:p>
                        </w:txbxContent>
                      </wps:txbx>
                      <wps:bodyPr lIns="0" tIns="0" rIns="0" bIns="0">
                        <a:noAutoFit/>
                      </wps:bodyPr>
                    </wps:wsp>
                  </a:graphicData>
                </a:graphic>
              </wp:anchor>
            </w:drawing>
          </mc:Choice>
          <mc:Fallback>
            <w:pict>
              <v:shape id="_x0000_s1170" type="#_x0000_t202" style="position:absolute;margin-left:45.100000000000001pt;margin-top:179.09999999999999pt;width:97.900000000000006pt;height:24.699999999999999pt;z-index:-125829330;mso-wrap-distance-left:0;mso-wrap-distance-top:179.09999999999999pt;mso-wrap-distance-right:0;mso-wrap-distance-bottom:3.3500000000000001pt;mso-position-horizontal-relative:margin" filled="f" stroked="f">
                <v:textbox inset="0,0,0,0">
                  <w:txbxContent>
                    <w:p>
                      <w:pPr>
                        <w:pStyle w:val="Style75"/>
                        <w:keepNext w:val="0"/>
                        <w:keepLines w:val="0"/>
                        <w:widowControl w:val="0"/>
                        <w:shd w:val="clear" w:color="auto" w:fill="auto"/>
                        <w:bidi w:val="0"/>
                        <w:spacing w:before="0" w:after="60" w:line="240" w:lineRule="auto"/>
                        <w:ind w:left="0" w:right="0" w:firstLine="0"/>
                        <w:jc w:val="left"/>
                      </w:pPr>
                      <w:r>
                        <w:rPr>
                          <w:rStyle w:val="CharStyle76"/>
                          <w:color w:val="27A851"/>
                        </w:rPr>
                        <w:t xml:space="preserve">| </w:t>
                      </w:r>
                      <w:r>
                        <w:rPr>
                          <w:rStyle w:val="CharStyle76"/>
                        </w:rPr>
                        <w:t>Spotřeba prosumerů</w:t>
                      </w:r>
                    </w:p>
                    <w:p>
                      <w:pPr>
                        <w:pStyle w:val="Style75"/>
                        <w:keepNext w:val="0"/>
                        <w:keepLines w:val="0"/>
                        <w:widowControl w:val="0"/>
                        <w:shd w:val="clear" w:color="auto" w:fill="auto"/>
                        <w:bidi w:val="0"/>
                        <w:spacing w:before="0" w:after="0" w:line="240" w:lineRule="auto"/>
                        <w:ind w:left="0" w:right="0" w:firstLine="0"/>
                        <w:jc w:val="left"/>
                      </w:pPr>
                      <w:r>
                        <w:rPr>
                          <w:rStyle w:val="CharStyle76"/>
                          <w:color w:val="FED851"/>
                        </w:rPr>
                        <w:t xml:space="preserve">| </w:t>
                      </w:r>
                      <w:r>
                        <w:rPr>
                          <w:rStyle w:val="CharStyle76"/>
                        </w:rPr>
                        <w:t>Ztráty v sítích PS a DS</w:t>
                      </w:r>
                    </w:p>
                  </w:txbxContent>
                </v:textbox>
                <w10:wrap type="topAndBottom" anchorx="margin"/>
              </v:shape>
            </w:pict>
          </mc:Fallback>
        </mc:AlternateContent>
      </w:r>
      <w:r>
        <mc:AlternateContent>
          <mc:Choice Requires="wps">
            <w:drawing>
              <wp:anchor distT="2274570" distB="0" distL="0" distR="0" simplePos="0" relativeHeight="125829425" behindDoc="0" locked="0" layoutInCell="1" allowOverlap="1">
                <wp:simplePos x="0" y="0"/>
                <wp:positionH relativeFrom="margin">
                  <wp:posOffset>2221865</wp:posOffset>
                </wp:positionH>
                <wp:positionV relativeFrom="paragraph">
                  <wp:posOffset>2274570</wp:posOffset>
                </wp:positionV>
                <wp:extent cx="859790" cy="356870"/>
                <wp:wrapTopAndBottom/>
                <wp:docPr id="146" name="Shape 146"/>
                <a:graphic xmlns:a="http://schemas.openxmlformats.org/drawingml/2006/main">
                  <a:graphicData uri="http://schemas.microsoft.com/office/word/2010/wordprocessingShape">
                    <wps:wsp>
                      <wps:cNvSpPr txBox="1"/>
                      <wps:spPr>
                        <a:xfrm>
                          <a:ext cx="859790" cy="356870"/>
                        </a:xfrm>
                        <a:prstGeom prst="rect"/>
                        <a:noFill/>
                      </wps:spPr>
                      <wps:txbx>
                        <w:txbxContent>
                          <w:p>
                            <w:pPr>
                              <w:pStyle w:val="Style75"/>
                              <w:keepNext w:val="0"/>
                              <w:keepLines w:val="0"/>
                              <w:widowControl w:val="0"/>
                              <w:shd w:val="clear" w:color="auto" w:fill="auto"/>
                              <w:bidi w:val="0"/>
                              <w:spacing w:before="0" w:after="0" w:line="338" w:lineRule="auto"/>
                              <w:ind w:left="0" w:right="0" w:firstLine="0"/>
                              <w:jc w:val="left"/>
                            </w:pPr>
                            <w:r>
                              <w:rPr>
                                <w:rStyle w:val="CharStyle76"/>
                                <w:color w:val="B7B8B8"/>
                              </w:rPr>
                              <w:t xml:space="preserve">| </w:t>
                            </w:r>
                            <w:r>
                              <w:rPr>
                                <w:rStyle w:val="CharStyle76"/>
                              </w:rPr>
                              <w:t xml:space="preserve">Spotřeba EM </w:t>
                            </w:r>
                            <w:r>
                              <w:rPr>
                                <w:rStyle w:val="CharStyle76"/>
                                <w:color w:val="ED6B5E"/>
                              </w:rPr>
                              <w:t xml:space="preserve">| </w:t>
                            </w:r>
                            <w:r>
                              <w:rPr>
                                <w:rStyle w:val="CharStyle76"/>
                              </w:rPr>
                              <w:t>Spotřeba TČ</w:t>
                            </w:r>
                          </w:p>
                        </w:txbxContent>
                      </wps:txbx>
                      <wps:bodyPr lIns="0" tIns="0" rIns="0" bIns="0">
                        <a:noAutoFit/>
                      </wps:bodyPr>
                    </wps:wsp>
                  </a:graphicData>
                </a:graphic>
              </wp:anchor>
            </w:drawing>
          </mc:Choice>
          <mc:Fallback>
            <w:pict>
              <v:shape id="_x0000_s1172" type="#_x0000_t202" style="position:absolute;margin-left:174.95000000000002pt;margin-top:179.09999999999999pt;width:67.700000000000003pt;height:28.100000000000001pt;z-index:-125829328;mso-wrap-distance-left:0;mso-wrap-distance-top:179.09999999999999pt;mso-wrap-distance-right:0;mso-position-horizontal-relative:margin" filled="f" stroked="f">
                <v:textbox inset="0,0,0,0">
                  <w:txbxContent>
                    <w:p>
                      <w:pPr>
                        <w:pStyle w:val="Style75"/>
                        <w:keepNext w:val="0"/>
                        <w:keepLines w:val="0"/>
                        <w:widowControl w:val="0"/>
                        <w:shd w:val="clear" w:color="auto" w:fill="auto"/>
                        <w:bidi w:val="0"/>
                        <w:spacing w:before="0" w:after="0" w:line="338" w:lineRule="auto"/>
                        <w:ind w:left="0" w:right="0" w:firstLine="0"/>
                        <w:jc w:val="left"/>
                      </w:pPr>
                      <w:r>
                        <w:rPr>
                          <w:rStyle w:val="CharStyle76"/>
                          <w:color w:val="B7B8B8"/>
                        </w:rPr>
                        <w:t xml:space="preserve">| </w:t>
                      </w:r>
                      <w:r>
                        <w:rPr>
                          <w:rStyle w:val="CharStyle76"/>
                        </w:rPr>
                        <w:t xml:space="preserve">Spotřeba EM </w:t>
                      </w:r>
                      <w:r>
                        <w:rPr>
                          <w:rStyle w:val="CharStyle76"/>
                          <w:color w:val="ED6B5E"/>
                        </w:rPr>
                        <w:t xml:space="preserve">| </w:t>
                      </w:r>
                      <w:r>
                        <w:rPr>
                          <w:rStyle w:val="CharStyle76"/>
                        </w:rPr>
                        <w:t>Spotřeba TČ</w:t>
                      </w:r>
                    </w:p>
                  </w:txbxContent>
                </v:textbox>
                <w10:wrap type="topAndBottom" anchorx="margin"/>
              </v:shape>
            </w:pict>
          </mc:Fallback>
        </mc:AlternateContent>
      </w:r>
      <w:r>
        <mc:AlternateContent>
          <mc:Choice Requires="wps">
            <w:drawing>
              <wp:anchor distT="2274570" distB="203835" distL="0" distR="0" simplePos="0" relativeHeight="125829427" behindDoc="0" locked="0" layoutInCell="1" allowOverlap="1">
                <wp:simplePos x="0" y="0"/>
                <wp:positionH relativeFrom="margin">
                  <wp:posOffset>3544570</wp:posOffset>
                </wp:positionH>
                <wp:positionV relativeFrom="paragraph">
                  <wp:posOffset>2274570</wp:posOffset>
                </wp:positionV>
                <wp:extent cx="871855" cy="152400"/>
                <wp:wrapTopAndBottom/>
                <wp:docPr id="148" name="Shape 148"/>
                <a:graphic xmlns:a="http://schemas.openxmlformats.org/drawingml/2006/main">
                  <a:graphicData uri="http://schemas.microsoft.com/office/word/2010/wordprocessingShape">
                    <wps:wsp>
                      <wps:cNvSpPr txBox="1"/>
                      <wps:spPr>
                        <a:xfrm>
                          <a:ext cx="871855"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006AB4"/>
                              </w:rPr>
                              <w:t xml:space="preserve">| </w:t>
                            </w:r>
                            <w:r>
                              <w:rPr>
                                <w:rStyle w:val="CharStyle76"/>
                              </w:rPr>
                              <w:t>Základní TNS</w:t>
                            </w:r>
                          </w:p>
                        </w:txbxContent>
                      </wps:txbx>
                      <wps:bodyPr wrap="none" lIns="0" tIns="0" rIns="0" bIns="0">
                        <a:noAutoFit/>
                      </wps:bodyPr>
                    </wps:wsp>
                  </a:graphicData>
                </a:graphic>
              </wp:anchor>
            </w:drawing>
          </mc:Choice>
          <mc:Fallback>
            <w:pict>
              <v:shape id="_x0000_s1174" type="#_x0000_t202" style="position:absolute;margin-left:279.10000000000002pt;margin-top:179.09999999999999pt;width:68.650000000000006pt;height:12.pt;z-index:-125829326;mso-wrap-distance-left:0;mso-wrap-distance-top:179.09999999999999pt;mso-wrap-distance-right:0;mso-wrap-distance-bottom:16.050000000000001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006AB4"/>
                        </w:rPr>
                        <w:t xml:space="preserve">| </w:t>
                      </w:r>
                      <w:r>
                        <w:rPr>
                          <w:rStyle w:val="CharStyle76"/>
                        </w:rPr>
                        <w:t>Základní TNS</w:t>
                      </w:r>
                    </w:p>
                  </w:txbxContent>
                </v:textbox>
                <w10:wrap type="topAndBottom" anchorx="margin"/>
              </v:shape>
            </w:pict>
          </mc:Fallback>
        </mc:AlternateContent>
      </w:r>
      <w:r>
        <mc:AlternateContent>
          <mc:Choice Requires="wps">
            <w:drawing>
              <wp:anchor distT="2261870" distB="219710" distL="0" distR="0" simplePos="0" relativeHeight="125829429" behindDoc="0" locked="0" layoutInCell="1" allowOverlap="1">
                <wp:simplePos x="0" y="0"/>
                <wp:positionH relativeFrom="margin">
                  <wp:posOffset>4980305</wp:posOffset>
                </wp:positionH>
                <wp:positionV relativeFrom="paragraph">
                  <wp:posOffset>2261870</wp:posOffset>
                </wp:positionV>
                <wp:extent cx="984250" cy="149225"/>
                <wp:wrapTopAndBottom/>
                <wp:docPr id="150" name="Shape 150"/>
                <a:graphic xmlns:a="http://schemas.openxmlformats.org/drawingml/2006/main">
                  <a:graphicData uri="http://schemas.microsoft.com/office/word/2010/wordprocessingShape">
                    <wps:wsp>
                      <wps:cNvSpPr txBox="1"/>
                      <wps:spPr>
                        <a:xfrm>
                          <a:ext cx="984250"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30613"/>
                              </w:rPr>
                              <w:t xml:space="preserve">— — </w:t>
                            </w:r>
                            <w:r>
                              <w:rPr>
                                <w:rStyle w:val="CharStyle76"/>
                              </w:rPr>
                              <w:t>Spotřeba ČR</w:t>
                            </w:r>
                          </w:p>
                        </w:txbxContent>
                      </wps:txbx>
                      <wps:bodyPr wrap="none" lIns="0" tIns="0" rIns="0" bIns="0">
                        <a:noAutoFit/>
                      </wps:bodyPr>
                    </wps:wsp>
                  </a:graphicData>
                </a:graphic>
              </wp:anchor>
            </w:drawing>
          </mc:Choice>
          <mc:Fallback>
            <w:pict>
              <v:shape id="_x0000_s1176" type="#_x0000_t202" style="position:absolute;margin-left:392.15000000000003pt;margin-top:178.09999999999999pt;width:77.5pt;height:11.75pt;z-index:-125829324;mso-wrap-distance-left:0;mso-wrap-distance-top:178.09999999999999pt;mso-wrap-distance-right:0;mso-wrap-distance-bottom:17.300000000000001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30613"/>
                        </w:rPr>
                        <w:t xml:space="preserve">— — </w:t>
                      </w:r>
                      <w:r>
                        <w:rPr>
                          <w:rStyle w:val="CharStyle76"/>
                        </w:rPr>
                        <w:t>Spotřeba ČR</w:t>
                      </w:r>
                    </w:p>
                  </w:txbxContent>
                </v:textbox>
                <w10:wrap type="topAndBottom" anchorx="margin"/>
              </v:shape>
            </w:pict>
          </mc:Fallback>
        </mc:AlternateContent>
      </w:r>
    </w:p>
    <w:p>
      <w:pPr>
        <w:widowControl w:val="0"/>
        <w:spacing w:line="13" w:lineRule="exact"/>
        <w:rPr>
          <w:sz w:val="2"/>
          <w:szCs w:val="2"/>
        </w:rPr>
      </w:pPr>
    </w:p>
    <w:p>
      <w:pPr>
        <w:widowControl w:val="0"/>
        <w:spacing w:line="1" w:lineRule="exact"/>
        <w:sectPr>
          <w:footnotePr>
            <w:pos w:val="pageBottom"/>
            <w:numFmt w:val="decimal"/>
            <w:numRestart w:val="continuous"/>
          </w:footnotePr>
          <w:type w:val="continuous"/>
          <w:pgSz w:w="12142" w:h="17375"/>
          <w:pgMar w:top="1180" w:right="0" w:bottom="1492" w:left="0" w:header="0" w:footer="3" w:gutter="0"/>
          <w:cols w:space="720"/>
          <w:noEndnote/>
          <w:rtlGutter w:val="0"/>
          <w:docGrid w:linePitch="360"/>
        </w:sectPr>
      </w:pPr>
    </w:p>
    <w:p>
      <w:pPr>
        <w:pStyle w:val="Style68"/>
        <w:keepNext w:val="0"/>
        <w:keepLines w:val="0"/>
        <w:widowControl w:val="0"/>
        <w:shd w:val="clear" w:color="auto" w:fill="auto"/>
        <w:tabs>
          <w:tab w:pos="4851" w:val="left"/>
        </w:tabs>
        <w:bidi w:val="0"/>
        <w:spacing w:before="0" w:after="320" w:line="240" w:lineRule="auto"/>
        <w:ind w:right="0" w:firstLine="0"/>
        <w:jc w:val="left"/>
      </w:pPr>
      <w:r>
        <w:rPr>
          <w:rStyle w:val="CharStyle69"/>
        </w:rPr>
        <w:t>I</w:t>
        <w:tab/>
        <w:t>I</w:t>
      </w:r>
    </w:p>
    <w:p>
      <w:pPr>
        <w:pStyle w:val="Style19"/>
        <w:keepNext w:val="0"/>
        <w:keepLines w:val="0"/>
        <w:widowControl w:val="0"/>
        <w:shd w:val="clear" w:color="auto" w:fill="auto"/>
        <w:bidi w:val="0"/>
        <w:spacing w:before="0" w:after="1560"/>
        <w:ind w:left="0" w:right="0" w:firstLine="0"/>
        <w:jc w:val="left"/>
      </w:pPr>
      <w:r>
        <w:rPr>
          <w:rStyle w:val="CharStyle20"/>
        </w:rPr>
        <w:t>Z vývoje jednotlivých komponent spotřeby je vidět, že pro základní TNS je očekávána spíše stagnace a hlavními drivery růstu jsou tepelná čerpadla a elektromobily. V roce 2030 se predikuje spotřeba elektřiny v ČR včetně vlivů, mezi které se řadí spotřeba elektromobility, tepelných čerpadel a vlastní spotřeby prosumerů, na úroveň 75 TWh a do roku 2040 postupný nárůst na 83 TWh.</w:t>
      </w:r>
    </w:p>
    <w:p>
      <w:pPr>
        <w:pStyle w:val="Style68"/>
        <w:keepNext w:val="0"/>
        <w:keepLines w:val="0"/>
        <w:widowControl w:val="0"/>
        <w:shd w:val="clear" w:color="auto" w:fill="auto"/>
        <w:tabs>
          <w:tab w:pos="4851" w:val="left"/>
          <w:tab w:pos="7472" w:val="left"/>
        </w:tabs>
        <w:bidi w:val="0"/>
        <w:spacing w:before="0" w:line="240" w:lineRule="auto"/>
        <w:ind w:right="0" w:firstLine="0"/>
        <w:jc w:val="left"/>
      </w:pPr>
      <w:r>
        <w:rPr>
          <w:rStyle w:val="CharStyle69"/>
        </w:rPr>
        <w:t>I</w:t>
        <w:tab/>
        <w:t>I</w:t>
        <w:tab/>
        <w:t>I</w:t>
      </w:r>
    </w:p>
    <w:p>
      <w:pPr>
        <w:pStyle w:val="Style15"/>
        <w:keepNext/>
        <w:keepLines/>
        <w:widowControl w:val="0"/>
        <w:shd w:val="clear" w:color="auto" w:fill="auto"/>
        <w:bidi w:val="0"/>
        <w:spacing w:before="0" w:after="320" w:line="240" w:lineRule="auto"/>
        <w:ind w:left="0" w:right="0" w:firstLine="0"/>
        <w:jc w:val="left"/>
      </w:pPr>
      <w:bookmarkStart w:id="116" w:name="bookmark116"/>
      <w:r>
        <w:rPr>
          <w:rStyle w:val="CharStyle16"/>
          <w:b/>
          <w:bCs/>
        </w:rPr>
        <w:t>Obr. 5.3 Vývoj meziroční změny tempa růstu HDP, TNS a vývoj EEN - Respondentní/Konzervativní scénář</w:t>
      </w:r>
      <w:bookmarkEnd w:id="116"/>
    </w:p>
    <w:p>
      <w:pPr>
        <w:widowControl w:val="0"/>
        <w:spacing w:line="1" w:lineRule="exact"/>
      </w:pPr>
      <w:r>
        <w:drawing>
          <wp:anchor distT="241300" distB="0" distL="0" distR="0" simplePos="0" relativeHeight="125829431" behindDoc="0" locked="0" layoutInCell="1" allowOverlap="1">
            <wp:simplePos x="0" y="0"/>
            <wp:positionH relativeFrom="margin">
              <wp:posOffset>441325</wp:posOffset>
            </wp:positionH>
            <wp:positionV relativeFrom="paragraph">
              <wp:posOffset>241300</wp:posOffset>
            </wp:positionV>
            <wp:extent cx="5767070" cy="2724785"/>
            <wp:wrapTopAndBottom/>
            <wp:docPr id="152" name="Shape 152"/>
            <a:graphic xmlns:a="http://schemas.openxmlformats.org/drawingml/2006/main">
              <a:graphicData uri="http://schemas.openxmlformats.org/drawingml/2006/picture">
                <pic:pic xmlns:pic="http://schemas.openxmlformats.org/drawingml/2006/picture">
                  <pic:nvPicPr>
                    <pic:cNvPr id="153" name="Picture box 153"/>
                    <pic:cNvPicPr/>
                  </pic:nvPicPr>
                  <pic:blipFill>
                    <a:blip r:embed="rId113"/>
                    <a:stretch/>
                  </pic:blipFill>
                  <pic:spPr>
                    <a:xfrm>
                      <a:ext cx="5767070" cy="2724785"/>
                    </a:xfrm>
                    <a:prstGeom prst="rect"/>
                  </pic:spPr>
                </pic:pic>
              </a:graphicData>
            </a:graphic>
          </wp:anchor>
        </w:drawing>
      </w:r>
    </w:p>
    <w:p>
      <w:pPr>
        <w:pStyle w:val="Style19"/>
        <w:keepNext w:val="0"/>
        <w:keepLines w:val="0"/>
        <w:widowControl w:val="0"/>
        <w:shd w:val="clear" w:color="auto" w:fill="auto"/>
        <w:bidi w:val="0"/>
        <w:spacing w:before="0"/>
        <w:ind w:left="2620" w:right="0" w:firstLine="0"/>
        <w:jc w:val="left"/>
      </w:pPr>
      <w:r>
        <w:rPr>
          <w:rStyle w:val="CharStyle20"/>
        </w:rPr>
        <w:t>Po krátkém období růstu a stabilizace ekonomiky na předcovidové hodnoty HDP přichází období stagflace charakterizované zpomalením tempa růstu HDP, a to až do roku 2026, od něhož Respondentní/Konzervativní scénář predikuje stabilizaci hospodářské situace v ČR. K roku 2040 cílí na konzervativní růst HDP 1,14 %. Respondentní/Konzervativní scénář počítá s takovým vývojem elektroenergetického sektoru, který počítá s naplněním základních platných energeticko-klimatických cílů EU, transformací a modernizací sektoru, zatímco klade důraz na soběstačnost a spolehlivost dodávek elektřiny. Predikční období je rozděleno do dvou hlavních etap rozvoje ČR, a sice KRIZE (2022-2030) a TRAFO (2031-2050). První zmíněnou etapu KRIZE charakterizuje recese vyvolaná nepříznivými vlivy (COVID-19, energetická krize, stagflace), nicméně po roce 2026 lze očekávat postupný návrat české ekonomiky k normálu z období před vypuknutím pandemie a energetické krize. Právě ekonomická obnova umožní transformaci (elektro)energetiky s využitím Fondu obnovy, Modernizačního fondu a jiných fondů EU, a tím tak splnění cílů pro rok 2030, k nimž se ČR zavázala.</w:t>
      </w:r>
    </w:p>
    <w:p>
      <w:pPr>
        <w:pStyle w:val="Style19"/>
        <w:keepNext w:val="0"/>
        <w:keepLines w:val="0"/>
        <w:widowControl w:val="0"/>
        <w:shd w:val="clear" w:color="auto" w:fill="auto"/>
        <w:bidi w:val="0"/>
        <w:spacing w:before="0" w:line="300" w:lineRule="auto"/>
        <w:ind w:left="2620" w:right="0" w:firstLine="0"/>
        <w:jc w:val="left"/>
      </w:pPr>
      <w:r>
        <w:rPr>
          <w:rStyle w:val="CharStyle20"/>
        </w:rPr>
        <w:t>V rámci druhé etapy TRAFO dochází k transformaci české ekonomiky do vyspělé inovativní a digitalizované podoby. V rámci takto inovativní ekonomiky by mělo docházet k oslabení závislosti růstu části spotřeby elektřiny na růstu HDP, což je charakteristickým rysem ve vyspělých zemích.</w:t>
      </w:r>
    </w:p>
    <w:p>
      <w:pPr>
        <w:pStyle w:val="Style19"/>
        <w:keepNext w:val="0"/>
        <w:keepLines w:val="0"/>
        <w:widowControl w:val="0"/>
        <w:shd w:val="clear" w:color="auto" w:fill="auto"/>
        <w:bidi w:val="0"/>
        <w:spacing w:before="0" w:after="2340" w:line="300" w:lineRule="auto"/>
        <w:ind w:left="2620" w:right="0" w:firstLine="0"/>
        <w:jc w:val="left"/>
      </w:pPr>
      <w:r>
        <w:rPr>
          <w:rStyle w:val="CharStyle20"/>
          <w:b/>
          <w:bCs/>
          <w:color w:val="006AB4"/>
        </w:rPr>
        <w:t xml:space="preserve">Elektromobilita </w:t>
      </w:r>
      <w:r>
        <w:rPr>
          <w:rStyle w:val="CharStyle20"/>
        </w:rPr>
        <w:t>- Vývoj počtu elektromobilů do roku 2030 odpovídá nízkému scénáři aktualizace NAP CM (Národní akční plán čisté mobility), přičemž cílem pro rok 2030 je cca 220 tisíc BEV a PHEV dohromady. Výsledná spotřeba elektřiny v roce 2040 činí 2,18 TWh při celkovém uvažovaném počtu 1 milionu elektrovozů.</w:t>
      </w:r>
    </w:p>
    <w:p>
      <w:pPr>
        <w:pStyle w:val="Style68"/>
        <w:keepNext w:val="0"/>
        <w:keepLines w:val="0"/>
        <w:widowControl w:val="0"/>
        <w:shd w:val="clear" w:color="auto" w:fill="auto"/>
        <w:tabs>
          <w:tab w:pos="2616" w:val="left"/>
          <w:tab w:pos="5237" w:val="left"/>
        </w:tabs>
        <w:bidi w:val="0"/>
        <w:spacing w:before="0" w:line="240" w:lineRule="auto"/>
        <w:ind w:left="0" w:right="0" w:firstLine="0"/>
        <w:jc w:val="center"/>
      </w:pPr>
      <w:r>
        <w:rPr>
          <w:rStyle w:val="CharStyle69"/>
        </w:rPr>
        <w:t>I</w:t>
        <w:tab/>
        <w:t>I</w:t>
        <w:tab/>
        <w:t>I</w:t>
      </w:r>
    </w:p>
    <w:p>
      <w:pPr>
        <w:pStyle w:val="Style15"/>
        <w:keepNext/>
        <w:keepLines/>
        <w:widowControl w:val="0"/>
        <w:shd w:val="clear" w:color="auto" w:fill="auto"/>
        <w:bidi w:val="0"/>
        <w:spacing w:before="0" w:after="480" w:line="240" w:lineRule="auto"/>
        <w:ind w:left="0" w:right="0" w:firstLine="0"/>
        <w:jc w:val="left"/>
      </w:pPr>
      <w:bookmarkStart w:id="118" w:name="bookmark118"/>
      <w:r>
        <w:rPr>
          <w:rStyle w:val="CharStyle16"/>
          <w:b/>
          <w:bCs/>
        </w:rPr>
        <w:t>Obr. 5.4 Predikce vývoje elektromobility - Respondentní/Konzervativní scénář</w:t>
      </w:r>
      <w:bookmarkEnd w:id="118"/>
    </w:p>
    <w:p>
      <w:pPr>
        <w:pStyle w:val="Style2"/>
        <w:keepNext w:val="0"/>
        <w:keepLines w:val="0"/>
        <w:widowControl w:val="0"/>
        <w:shd w:val="clear" w:color="auto" w:fill="auto"/>
        <w:tabs>
          <w:tab w:leader="hyphen" w:pos="8894" w:val="left"/>
        </w:tabs>
        <w:bidi w:val="0"/>
        <w:spacing w:before="0" w:after="0" w:line="240" w:lineRule="auto"/>
        <w:ind w:left="307" w:right="0" w:firstLine="0"/>
        <w:jc w:val="left"/>
        <w:rPr>
          <w:sz w:val="12"/>
          <w:szCs w:val="12"/>
        </w:rPr>
      </w:pPr>
      <w:r>
        <w:rPr>
          <w:rStyle w:val="CharStyle3"/>
          <w:b/>
          <w:bCs/>
          <w:sz w:val="12"/>
          <w:szCs w:val="12"/>
        </w:rPr>
        <w:t xml:space="preserve">1 200 000 </w:t>
      </w:r>
      <w:r>
        <w:rPr>
          <w:rStyle w:val="CharStyle3"/>
          <w:b/>
          <w:bCs/>
          <w:color w:val="B7B8B8"/>
          <w:sz w:val="12"/>
          <w:szCs w:val="12"/>
        </w:rPr>
        <w:tab/>
        <w:t xml:space="preserve"> </w:t>
      </w:r>
      <w:r>
        <w:rPr>
          <w:rStyle w:val="CharStyle3"/>
          <w:b/>
          <w:bCs/>
          <w:sz w:val="12"/>
          <w:szCs w:val="12"/>
        </w:rPr>
        <w:t>2 500</w:t>
      </w:r>
    </w:p>
    <w:p>
      <w:pPr>
        <w:widowControl w:val="0"/>
        <w:jc w:val="center"/>
        <w:rPr>
          <w:sz w:val="2"/>
          <w:szCs w:val="2"/>
        </w:rPr>
      </w:pPr>
      <w:r>
        <w:drawing>
          <wp:inline>
            <wp:extent cx="5955665" cy="1932305"/>
            <wp:docPr id="154" name="Picutre 154"/>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15"/>
                    <a:stretch/>
                  </pic:blipFill>
                  <pic:spPr>
                    <a:xfrm>
                      <a:ext cx="5955665" cy="1932305"/>
                    </a:xfrm>
                    <a:prstGeom prst="rect"/>
                  </pic:spPr>
                </pic:pic>
              </a:graphicData>
            </a:graphic>
          </wp:inline>
        </w:drawing>
      </w:r>
    </w:p>
    <w:p>
      <w:pPr>
        <w:pStyle w:val="Style2"/>
        <w:keepNext w:val="0"/>
        <w:keepLines w:val="0"/>
        <w:widowControl w:val="0"/>
        <w:shd w:val="clear" w:color="auto" w:fill="auto"/>
        <w:tabs>
          <w:tab w:pos="3058" w:val="left"/>
          <w:tab w:pos="5170" w:val="left"/>
          <w:tab w:leader="hyphen" w:pos="5597" w:val="left"/>
        </w:tabs>
        <w:bidi w:val="0"/>
        <w:spacing w:before="0" w:after="60" w:line="240" w:lineRule="auto"/>
        <w:ind w:left="1008" w:right="0" w:firstLine="0"/>
        <w:jc w:val="left"/>
        <w:rPr>
          <w:sz w:val="16"/>
          <w:szCs w:val="16"/>
        </w:rPr>
      </w:pPr>
      <w:r>
        <w:rPr>
          <w:rStyle w:val="CharStyle3"/>
          <w:color w:val="FED851"/>
          <w:sz w:val="16"/>
          <w:szCs w:val="16"/>
        </w:rPr>
        <w:t xml:space="preserve">■ </w:t>
      </w:r>
      <w:r>
        <w:rPr>
          <w:rStyle w:val="CharStyle3"/>
          <w:color w:val="000000"/>
          <w:sz w:val="16"/>
          <w:szCs w:val="16"/>
        </w:rPr>
        <w:t>LUPHEV</w:t>
        <w:tab/>
      </w:r>
      <w:r>
        <w:rPr>
          <w:rStyle w:val="CharStyle3"/>
          <w:color w:val="ED6B5E"/>
          <w:sz w:val="16"/>
          <w:szCs w:val="16"/>
        </w:rPr>
        <w:t xml:space="preserve">■ </w:t>
      </w:r>
      <w:r>
        <w:rPr>
          <w:rStyle w:val="CharStyle3"/>
          <w:color w:val="000000"/>
          <w:sz w:val="16"/>
          <w:szCs w:val="16"/>
        </w:rPr>
        <w:t>PHEV</w:t>
        <w:tab/>
      </w:r>
      <w:r>
        <w:rPr>
          <w:rStyle w:val="CharStyle3"/>
          <w:color w:val="1BB8ED"/>
          <w:sz w:val="16"/>
          <w:szCs w:val="16"/>
        </w:rPr>
        <w:tab/>
        <w:t xml:space="preserve"> </w:t>
      </w:r>
      <w:r>
        <w:rPr>
          <w:rStyle w:val="CharStyle3"/>
          <w:color w:val="000000"/>
          <w:sz w:val="16"/>
          <w:szCs w:val="16"/>
        </w:rPr>
        <w:t>Spotřeba EM</w:t>
      </w:r>
    </w:p>
    <w:p>
      <w:pPr>
        <w:pStyle w:val="Style2"/>
        <w:keepNext w:val="0"/>
        <w:keepLines w:val="0"/>
        <w:widowControl w:val="0"/>
        <w:shd w:val="clear" w:color="auto" w:fill="auto"/>
        <w:tabs>
          <w:tab w:pos="3058" w:val="left"/>
        </w:tabs>
        <w:bidi w:val="0"/>
        <w:spacing w:before="0" w:after="0" w:line="240" w:lineRule="auto"/>
        <w:ind w:left="1008" w:right="0" w:firstLine="0"/>
        <w:jc w:val="left"/>
        <w:rPr>
          <w:sz w:val="16"/>
          <w:szCs w:val="16"/>
        </w:rPr>
        <w:sectPr>
          <w:footnotePr>
            <w:pos w:val="pageBottom"/>
            <w:numFmt w:val="decimal"/>
            <w:numRestart w:val="continuous"/>
          </w:footnotePr>
          <w:type w:val="continuous"/>
          <w:pgSz w:w="12142" w:h="17375"/>
          <w:pgMar w:top="1180" w:right="814" w:bottom="1492" w:left="814" w:header="0" w:footer="3" w:gutter="760"/>
          <w:cols w:space="720"/>
          <w:noEndnote/>
          <w:rtlGutter w:val="0"/>
          <w:docGrid w:linePitch="360"/>
        </w:sectPr>
      </w:pPr>
      <w:bookmarkStart w:id="120" w:name="bookmark120"/>
      <w:r>
        <w:rPr>
          <w:rStyle w:val="CharStyle3"/>
          <w:color w:val="B7B8B8"/>
          <w:sz w:val="16"/>
          <w:szCs w:val="16"/>
        </w:rPr>
        <w:t xml:space="preserve">■ </w:t>
      </w:r>
      <w:r>
        <w:rPr>
          <w:rStyle w:val="CharStyle3"/>
          <w:color w:val="000000"/>
          <w:sz w:val="16"/>
          <w:szCs w:val="16"/>
        </w:rPr>
        <w:t>LUBEV</w:t>
        <w:tab/>
      </w:r>
      <w:r>
        <w:rPr>
          <w:rStyle w:val="CharStyle3"/>
          <w:sz w:val="16"/>
          <w:szCs w:val="16"/>
        </w:rPr>
        <w:t xml:space="preserve">■ </w:t>
      </w:r>
      <w:r>
        <w:rPr>
          <w:rStyle w:val="CharStyle3"/>
          <w:color w:val="000000"/>
          <w:sz w:val="16"/>
          <w:szCs w:val="16"/>
        </w:rPr>
        <w:t>BEV</w:t>
      </w:r>
      <w:bookmarkEnd w:id="120"/>
    </w:p>
    <w:p>
      <w:pPr>
        <w:pStyle w:val="Style19"/>
        <w:keepNext w:val="0"/>
        <w:keepLines w:val="0"/>
        <w:widowControl w:val="0"/>
        <w:shd w:val="clear" w:color="auto" w:fill="auto"/>
        <w:bidi w:val="0"/>
        <w:spacing w:before="0" w:after="0" w:line="300" w:lineRule="auto"/>
        <w:ind w:left="0" w:right="0" w:firstLine="0"/>
        <w:jc w:val="left"/>
      </w:pPr>
      <w:r>
        <w:drawing>
          <wp:anchor distT="0" distB="0" distL="0" distR="0" simplePos="0" relativeHeight="125829432" behindDoc="0" locked="0" layoutInCell="1" allowOverlap="1">
            <wp:simplePos x="0" y="0"/>
            <wp:positionH relativeFrom="margin">
              <wp:posOffset>-454025</wp:posOffset>
            </wp:positionH>
            <wp:positionV relativeFrom="margin">
              <wp:posOffset>-579120</wp:posOffset>
            </wp:positionV>
            <wp:extent cx="6656705" cy="10692130"/>
            <wp:wrapTopAndBottom/>
            <wp:docPr id="155" name="Shape 155"/>
            <a:graphic xmlns:a="http://schemas.openxmlformats.org/drawingml/2006/main">
              <a:graphicData uri="http://schemas.openxmlformats.org/drawingml/2006/picture">
                <pic:pic xmlns:pic="http://schemas.openxmlformats.org/drawingml/2006/picture">
                  <pic:nvPicPr>
                    <pic:cNvPr id="156" name="Picture box 156"/>
                    <pic:cNvPicPr/>
                  </pic:nvPicPr>
                  <pic:blipFill>
                    <a:blip r:embed="rId117"/>
                    <a:stretch/>
                  </pic:blipFill>
                  <pic:spPr>
                    <a:xfrm>
                      <a:ext cx="6656705" cy="1069213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margin">
                  <wp:posOffset>2490470</wp:posOffset>
                </wp:positionH>
                <wp:positionV relativeFrom="margin">
                  <wp:posOffset>9076690</wp:posOffset>
                </wp:positionV>
                <wp:extent cx="1002665" cy="137160"/>
                <wp:wrapNone/>
                <wp:docPr id="157" name="Shape 157"/>
                <a:graphic xmlns:a="http://schemas.openxmlformats.org/drawingml/2006/main">
                  <a:graphicData uri="http://schemas.microsoft.com/office/word/2010/wordprocessingShape">
                    <wps:wsp>
                      <wps:cNvSpPr txBox="1"/>
                      <wps:spPr>
                        <a:xfrm>
                          <a:ext cx="1002665" cy="13716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6"/>
                                <w:szCs w:val="16"/>
                              </w:rPr>
                            </w:pPr>
                            <w:r>
                              <w:rPr>
                                <w:rStyle w:val="CharStyle3"/>
                                <w:color w:val="000000"/>
                                <w:sz w:val="16"/>
                                <w:szCs w:val="16"/>
                              </w:rPr>
                              <w:t>Spotřeba prosumerů</w:t>
                            </w:r>
                          </w:p>
                        </w:txbxContent>
                      </wps:txbx>
                      <wps:bodyPr lIns="0" tIns="0" rIns="0" bIns="0">
                        <a:noAutoFit/>
                      </wps:bodyPr>
                    </wps:wsp>
                  </a:graphicData>
                </a:graphic>
              </wp:anchor>
            </w:drawing>
          </mc:Choice>
          <mc:Fallback>
            <w:pict>
              <v:shape id="_x0000_s1183" type="#_x0000_t202" style="position:absolute;margin-left:196.09999999999999pt;margin-top:714.70000000000005pt;width:78.950000000000003pt;height:10.800000000000001pt;z-index:251657749;mso-wrap-distance-left:0;mso-wrap-distance-right:0;mso-position-horizontal-relative:margin;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6"/>
                          <w:szCs w:val="16"/>
                        </w:rPr>
                      </w:pPr>
                      <w:r>
                        <w:rPr>
                          <w:rStyle w:val="CharStyle3"/>
                          <w:color w:val="000000"/>
                          <w:sz w:val="16"/>
                          <w:szCs w:val="16"/>
                        </w:rPr>
                        <w:t>Spotřeba prosumerů</w:t>
                      </w:r>
                    </w:p>
                  </w:txbxContent>
                </v:textbox>
                <w10:wrap anchorx="margin" anchory="margin"/>
              </v:shape>
            </w:pict>
          </mc:Fallback>
        </mc:AlternateContent>
      </w:r>
      <w:r>
        <mc:AlternateContent>
          <mc:Choice Requires="wps">
            <w:drawing>
              <wp:anchor distT="0" distB="0" distL="0" distR="0" simplePos="0" relativeHeight="503316504" behindDoc="0" locked="0" layoutInCell="1" allowOverlap="1">
                <wp:simplePos x="0" y="0"/>
                <wp:positionH relativeFrom="margin">
                  <wp:posOffset>798830</wp:posOffset>
                </wp:positionH>
                <wp:positionV relativeFrom="margin">
                  <wp:posOffset>9076690</wp:posOffset>
                </wp:positionV>
                <wp:extent cx="786130" cy="130810"/>
                <wp:wrapNone/>
                <wp:docPr id="159" name="Shape 159"/>
                <a:graphic xmlns:a="http://schemas.openxmlformats.org/drawingml/2006/main">
                  <a:graphicData uri="http://schemas.microsoft.com/office/word/2010/wordprocessingShape">
                    <wps:wsp>
                      <wps:cNvSpPr txBox="1"/>
                      <wps:spPr>
                        <a:xfrm>
                          <a:ext cx="78613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bookmarkStart w:id="115" w:name="bookmark115"/>
                            <w:r>
                              <w:rPr>
                                <w:rStyle w:val="CharStyle3"/>
                                <w:color w:val="000000"/>
                                <w:sz w:val="16"/>
                                <w:szCs w:val="16"/>
                              </w:rPr>
                              <w:t>Dodávka do sítě</w:t>
                            </w:r>
                            <w:bookmarkEnd w:id="115"/>
                          </w:p>
                        </w:txbxContent>
                      </wps:txbx>
                      <wps:bodyPr lIns="0" tIns="0" rIns="0" bIns="0">
                        <a:noAutoFit/>
                      </wps:bodyPr>
                    </wps:wsp>
                  </a:graphicData>
                </a:graphic>
              </wp:anchor>
            </w:drawing>
          </mc:Choice>
          <mc:Fallback>
            <w:pict>
              <v:shape id="_x0000_s1185" type="#_x0000_t202" style="position:absolute;margin-left:62.899999999999999pt;margin-top:714.70000000000005pt;width:61.899999999999999pt;height:10.300000000000001pt;z-index:251657751;mso-wrap-distance-left:0;mso-wrap-distance-right:0;mso-position-horizontal-relative:margin;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bookmarkStart w:id="115" w:name="bookmark115"/>
                      <w:r>
                        <w:rPr>
                          <w:rStyle w:val="CharStyle3"/>
                          <w:color w:val="000000"/>
                          <w:sz w:val="16"/>
                          <w:szCs w:val="16"/>
                        </w:rPr>
                        <w:t>Dodávka do sítě</w:t>
                      </w:r>
                      <w:bookmarkEnd w:id="115"/>
                    </w:p>
                  </w:txbxContent>
                </v:textbox>
                <w10:wrap anchorx="margin" anchory="margin"/>
              </v:shape>
            </w:pict>
          </mc:Fallback>
        </mc:AlternateContent>
      </w:r>
      <w:r>
        <w:rPr>
          <w:rStyle w:val="CharStyle20"/>
          <w:b/>
          <w:bCs/>
          <w:color w:val="006AB4"/>
        </w:rPr>
        <w:t xml:space="preserve">Tepelná čerpadla </w:t>
      </w:r>
      <w:r>
        <w:rPr>
          <w:rStyle w:val="CharStyle20"/>
        </w:rPr>
        <w:t>- Za předpokladu dalšího trvání podpory jejich rozvoje vede tato konzervativní predikce růstu počtu TČ na očekávaný celkový počet 1 milionu zařízení s celkovou spotřebou ve výši 9 TWh v roce 2040.</w:t>
      </w:r>
    </w:p>
    <w:p>
      <w:pPr>
        <w:pStyle w:val="Style19"/>
        <w:keepNext w:val="0"/>
        <w:keepLines w:val="0"/>
        <w:widowControl w:val="0"/>
        <w:shd w:val="clear" w:color="auto" w:fill="auto"/>
        <w:bidi w:val="0"/>
        <w:spacing w:before="0" w:after="1520" w:line="300" w:lineRule="auto"/>
        <w:ind w:left="0" w:right="0" w:firstLine="0"/>
        <w:jc w:val="left"/>
      </w:pPr>
      <w:r>
        <w:rPr>
          <w:rStyle w:val="CharStyle20"/>
          <w:b/>
          <w:bCs/>
          <w:color w:val="006AB4"/>
        </w:rPr>
        <w:t xml:space="preserve">Prosumeři </w:t>
      </w:r>
      <w:r>
        <w:rPr>
          <w:rStyle w:val="CharStyle20"/>
        </w:rPr>
        <w:t>- V roce 2040 se očekává instalovaný výkon těchto FVE (do 1 MWe) ve výši 3 742 MW s výrobou 3 968 GWh a pokrytou spotřebou v místě výroby 1 775 GWh. Pro predikci je charakteristický rostoucí podíl využité výroby elektřiny v místě spotřeby především díky rostoucí míře akumulace u FVE.</w:t>
      </w:r>
    </w:p>
    <w:p>
      <w:pPr>
        <w:pStyle w:val="Style15"/>
        <w:keepNext/>
        <w:keepLines/>
        <w:widowControl w:val="0"/>
        <w:shd w:val="clear" w:color="auto" w:fill="auto"/>
        <w:bidi w:val="0"/>
        <w:spacing w:before="0" w:after="0" w:line="240" w:lineRule="auto"/>
        <w:ind w:left="0" w:right="0" w:firstLine="0"/>
        <w:jc w:val="left"/>
        <w:sectPr>
          <w:headerReference w:type="default" r:id="rId119"/>
          <w:footerReference w:type="default" r:id="rId120"/>
          <w:headerReference w:type="even" r:id="rId121"/>
          <w:footerReference w:type="even" r:id="rId122"/>
          <w:footnotePr>
            <w:pos w:val="pageBottom"/>
            <w:numFmt w:val="decimal"/>
            <w:numRestart w:val="continuous"/>
          </w:footnotePr>
          <w:pgSz w:w="12142" w:h="17375"/>
          <w:pgMar w:top="1180" w:right="814" w:bottom="1492" w:left="814" w:header="0" w:footer="1064" w:gutter="760"/>
          <w:pgNumType w:start="42"/>
          <w:cols w:space="720"/>
          <w:noEndnote/>
          <w:rtlGutter w:val="0"/>
          <w:docGrid w:linePitch="360"/>
        </w:sectPr>
      </w:pPr>
      <w:r>
        <w:drawing>
          <wp:anchor distT="0" distB="365760" distL="114300" distR="492125" simplePos="0" relativeHeight="125829433" behindDoc="0" locked="0" layoutInCell="1" allowOverlap="1">
            <wp:simplePos x="0" y="0"/>
            <wp:positionH relativeFrom="margin">
              <wp:posOffset>15240</wp:posOffset>
            </wp:positionH>
            <wp:positionV relativeFrom="margin">
              <wp:posOffset>6623050</wp:posOffset>
            </wp:positionV>
            <wp:extent cx="6193790" cy="2212975"/>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123"/>
                    <a:stretch/>
                  </pic:blipFill>
                  <pic:spPr>
                    <a:xfrm>
                      <a:ext cx="6193790" cy="221297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margin">
                  <wp:posOffset>4364990</wp:posOffset>
                </wp:positionH>
                <wp:positionV relativeFrom="margin">
                  <wp:posOffset>9064625</wp:posOffset>
                </wp:positionV>
                <wp:extent cx="1048385" cy="133985"/>
                <wp:wrapNone/>
                <wp:docPr id="167" name="Shape 167"/>
                <a:graphic xmlns:a="http://schemas.openxmlformats.org/drawingml/2006/main">
                  <a:graphicData uri="http://schemas.microsoft.com/office/word/2010/wordprocessingShape">
                    <wps:wsp>
                      <wps:cNvSpPr txBox="1"/>
                      <wps:spPr>
                        <a:xfrm>
                          <a:ext cx="1048385"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Celkem FVE do 1 MW</w:t>
                            </w:r>
                          </w:p>
                        </w:txbxContent>
                      </wps:txbx>
                      <wps:bodyPr lIns="0" tIns="0" rIns="0" bIns="0">
                        <a:noAutoFit/>
                      </wps:bodyPr>
                    </wps:wsp>
                  </a:graphicData>
                </a:graphic>
              </wp:anchor>
            </w:drawing>
          </mc:Choice>
          <mc:Fallback>
            <w:pict>
              <v:shape id="_x0000_s1193" type="#_x0000_t202" style="position:absolute;margin-left:343.69999999999999pt;margin-top:713.75pt;width:82.549999999999997pt;height:10.550000000000001pt;z-index:251657753;mso-wrap-distance-left:0;mso-wrap-distance-right:0;mso-position-horizontal-relative:margin;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Celkem FVE do 1 MW</w:t>
                      </w:r>
                    </w:p>
                  </w:txbxContent>
                </v:textbox>
                <w10:wrap anchorx="margin" anchory="margin"/>
              </v:shape>
            </w:pict>
          </mc:Fallback>
        </mc:AlternateContent>
      </w:r>
      <w:r>
        <w:drawing>
          <wp:anchor distT="1752600" distB="201295" distL="6399530" distR="114300" simplePos="0" relativeHeight="125829434" behindDoc="0" locked="0" layoutInCell="1" allowOverlap="1">
            <wp:simplePos x="0" y="0"/>
            <wp:positionH relativeFrom="margin">
              <wp:posOffset>6300470</wp:posOffset>
            </wp:positionH>
            <wp:positionV relativeFrom="margin">
              <wp:posOffset>8375650</wp:posOffset>
            </wp:positionV>
            <wp:extent cx="286385" cy="621665"/>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125"/>
                    <a:stretch/>
                  </pic:blipFill>
                  <pic:spPr>
                    <a:xfrm>
                      <a:ext cx="286385" cy="621665"/>
                    </a:xfrm>
                    <a:prstGeom prst="rect"/>
                  </pic:spPr>
                </pic:pic>
              </a:graphicData>
            </a:graphic>
          </wp:anchor>
        </w:drawing>
      </w:r>
      <w:bookmarkStart w:id="121" w:name="bookmark121"/>
      <w:r>
        <w:rPr>
          <w:rStyle w:val="CharStyle16"/>
          <w:b/>
          <w:bCs/>
        </w:rPr>
        <w:t>Obr. 5.6 Predikce vývoje prosumerů - Respondentní/Konzervativní scénář</w:t>
      </w:r>
      <w:bookmarkEnd w:id="121"/>
    </w:p>
    <w:p>
      <w:pPr>
        <w:pStyle w:val="Style19"/>
        <w:keepNext w:val="0"/>
        <w:keepLines w:val="0"/>
        <w:widowControl w:val="0"/>
        <w:shd w:val="clear" w:color="auto" w:fill="auto"/>
        <w:bidi w:val="0"/>
        <w:spacing w:before="0" w:line="300" w:lineRule="auto"/>
        <w:ind w:left="2580" w:right="0" w:firstLine="0"/>
        <w:jc w:val="left"/>
      </w:pPr>
      <w:r>
        <w:rPr>
          <w:rStyle w:val="CharStyle20"/>
        </w:rPr>
        <w:t>Respondentní/Konzervativní scénář spotřeby lze považovat za realizovatelný s relativně vysokou pravděpodobností, neboť:</w:t>
      </w:r>
    </w:p>
    <w:p>
      <w:pPr>
        <w:pStyle w:val="Style19"/>
        <w:keepNext w:val="0"/>
        <w:keepLines w:val="0"/>
        <w:widowControl w:val="0"/>
        <w:numPr>
          <w:ilvl w:val="0"/>
          <w:numId w:val="23"/>
        </w:numPr>
        <w:shd w:val="clear" w:color="auto" w:fill="auto"/>
        <w:tabs>
          <w:tab w:pos="2859" w:val="left"/>
        </w:tabs>
        <w:bidi w:val="0"/>
        <w:spacing w:before="0" w:line="300" w:lineRule="auto"/>
        <w:ind w:left="2800" w:right="0" w:hanging="220"/>
        <w:jc w:val="left"/>
      </w:pPr>
      <w:r>
        <w:rPr>
          <w:rStyle w:val="CharStyle20"/>
        </w:rPr>
        <w:t>je bez nadsazených ambicí v souladu s udržitelnou strategií dekarbonizace v návaznosti na dosavadní evoluční vývoj zelené transformace</w:t>
      </w:r>
    </w:p>
    <w:p>
      <w:pPr>
        <w:pStyle w:val="Style19"/>
        <w:keepNext w:val="0"/>
        <w:keepLines w:val="0"/>
        <w:widowControl w:val="0"/>
        <w:numPr>
          <w:ilvl w:val="0"/>
          <w:numId w:val="23"/>
        </w:numPr>
        <w:shd w:val="clear" w:color="auto" w:fill="auto"/>
        <w:tabs>
          <w:tab w:pos="2864" w:val="left"/>
        </w:tabs>
        <w:bidi w:val="0"/>
        <w:spacing w:before="0" w:line="300" w:lineRule="auto"/>
        <w:ind w:left="2800" w:right="0" w:hanging="220"/>
        <w:jc w:val="left"/>
      </w:pPr>
      <w:r>
        <w:rPr>
          <w:rStyle w:val="CharStyle20"/>
        </w:rPr>
        <w:t>směřuje udržitelně k dosažení platných cílů EU (udržitelně z hlediska bezpečnosti, hospodárnosti, soběstačnosti, ekologie a sociálních dopadů)</w:t>
      </w:r>
    </w:p>
    <w:p>
      <w:pPr>
        <w:pStyle w:val="Style19"/>
        <w:keepNext w:val="0"/>
        <w:keepLines w:val="0"/>
        <w:widowControl w:val="0"/>
        <w:shd w:val="clear" w:color="auto" w:fill="auto"/>
        <w:bidi w:val="0"/>
        <w:spacing w:before="0" w:line="300" w:lineRule="auto"/>
        <w:ind w:left="2580" w:right="0" w:firstLine="0"/>
        <w:jc w:val="left"/>
      </w:pPr>
      <w:r>
        <w:rPr>
          <w:rStyle w:val="CharStyle20"/>
        </w:rPr>
        <w:t>Předpokládaný širší vývojový rámec tohoto scénáře v klíčových oblastech:</w:t>
      </w:r>
    </w:p>
    <w:p>
      <w:pPr>
        <w:pStyle w:val="Style19"/>
        <w:keepNext w:val="0"/>
        <w:keepLines w:val="0"/>
        <w:widowControl w:val="0"/>
        <w:numPr>
          <w:ilvl w:val="0"/>
          <w:numId w:val="25"/>
        </w:numPr>
        <w:shd w:val="clear" w:color="auto" w:fill="auto"/>
        <w:tabs>
          <w:tab w:pos="2859" w:val="left"/>
        </w:tabs>
        <w:bidi w:val="0"/>
        <w:spacing w:before="0" w:line="300" w:lineRule="auto"/>
        <w:ind w:left="2800" w:right="0" w:hanging="220"/>
        <w:jc w:val="left"/>
      </w:pPr>
      <w:r>
        <w:rPr>
          <w:rStyle w:val="CharStyle20"/>
        </w:rPr>
        <w:t>politická reprezentace bude podporovat zelenou transformaci s pozvolna narůstající intenzitou</w:t>
      </w:r>
    </w:p>
    <w:p>
      <w:pPr>
        <w:pStyle w:val="Style19"/>
        <w:keepNext w:val="0"/>
        <w:keepLines w:val="0"/>
        <w:widowControl w:val="0"/>
        <w:numPr>
          <w:ilvl w:val="0"/>
          <w:numId w:val="25"/>
        </w:numPr>
        <w:shd w:val="clear" w:color="auto" w:fill="auto"/>
        <w:tabs>
          <w:tab w:pos="2864" w:val="left"/>
        </w:tabs>
        <w:bidi w:val="0"/>
        <w:spacing w:before="0" w:line="300" w:lineRule="auto"/>
        <w:ind w:left="2800" w:right="0" w:hanging="220"/>
        <w:jc w:val="left"/>
      </w:pPr>
      <w:r>
        <w:rPr>
          <w:rStyle w:val="CharStyle20"/>
        </w:rPr>
        <w:t>růst ekonomiky, dotace z EU a výnosy z penalizací za znečišťování životního prostředí umožní realizaci elektrifikačních záměrů a zabrání možným sociálním otřesům spravedlivou kompenzací nepříznivých dopadů</w:t>
      </w:r>
    </w:p>
    <w:p>
      <w:pPr>
        <w:pStyle w:val="Style19"/>
        <w:keepNext w:val="0"/>
        <w:keepLines w:val="0"/>
        <w:widowControl w:val="0"/>
        <w:numPr>
          <w:ilvl w:val="0"/>
          <w:numId w:val="25"/>
        </w:numPr>
        <w:shd w:val="clear" w:color="auto" w:fill="auto"/>
        <w:tabs>
          <w:tab w:pos="2840" w:val="left"/>
        </w:tabs>
        <w:bidi w:val="0"/>
        <w:spacing w:before="0" w:line="300" w:lineRule="auto"/>
        <w:ind w:left="2800" w:right="0" w:hanging="220"/>
        <w:jc w:val="left"/>
      </w:pPr>
      <w:r>
        <w:rPr>
          <w:rStyle w:val="CharStyle20"/>
        </w:rPr>
        <w:t>obyvatelstvo se bude zvolna přizpůsobovat zásadám udržitelnosti v ČR a podřizovat svoji spotřebu (i elektřiny) možnostem výroby a dodávky elektřiny</w:t>
      </w:r>
    </w:p>
    <w:p>
      <w:pPr>
        <w:pStyle w:val="Style19"/>
        <w:keepNext w:val="0"/>
        <w:keepLines w:val="0"/>
        <w:widowControl w:val="0"/>
        <w:numPr>
          <w:ilvl w:val="0"/>
          <w:numId w:val="25"/>
        </w:numPr>
        <w:shd w:val="clear" w:color="auto" w:fill="auto"/>
        <w:tabs>
          <w:tab w:pos="2869" w:val="left"/>
        </w:tabs>
        <w:bidi w:val="0"/>
        <w:spacing w:before="0" w:line="300" w:lineRule="auto"/>
        <w:ind w:left="2800" w:right="0" w:hanging="220"/>
        <w:jc w:val="left"/>
      </w:pPr>
      <w:r>
        <w:rPr>
          <w:rStyle w:val="CharStyle20"/>
        </w:rPr>
        <w:t>v rámci nových technologií budou v realistické časové ose nasazována především osvědčená řešení (např. v oblasti vodíku)</w:t>
      </w:r>
    </w:p>
    <w:p>
      <w:pPr>
        <w:pStyle w:val="Style19"/>
        <w:keepNext w:val="0"/>
        <w:keepLines w:val="0"/>
        <w:widowControl w:val="0"/>
        <w:numPr>
          <w:ilvl w:val="0"/>
          <w:numId w:val="25"/>
        </w:numPr>
        <w:shd w:val="clear" w:color="auto" w:fill="auto"/>
        <w:tabs>
          <w:tab w:pos="2859" w:val="left"/>
        </w:tabs>
        <w:bidi w:val="0"/>
        <w:spacing w:before="0"/>
        <w:ind w:left="2800" w:right="0" w:hanging="220"/>
        <w:jc w:val="left"/>
      </w:pPr>
      <w:r>
        <w:rPr>
          <w:rStyle w:val="CharStyle20"/>
        </w:rPr>
        <w:t>v ochraně životního prostředí a klimatu bude sice hlavním, ale nikoliv absolutně dominujícím, cílem dekarbonizace provázená souborem dalších cílů (soběstačnost, bezpečnost a spolehlivost dodávek elektřiny)</w:t>
      </w:r>
    </w:p>
    <w:p>
      <w:pPr>
        <w:pStyle w:val="Style19"/>
        <w:keepNext w:val="0"/>
        <w:keepLines w:val="0"/>
        <w:widowControl w:val="0"/>
        <w:numPr>
          <w:ilvl w:val="0"/>
          <w:numId w:val="25"/>
        </w:numPr>
        <w:shd w:val="clear" w:color="auto" w:fill="auto"/>
        <w:tabs>
          <w:tab w:pos="2840" w:val="left"/>
        </w:tabs>
        <w:bidi w:val="0"/>
        <w:spacing w:before="0" w:line="300" w:lineRule="auto"/>
        <w:ind w:left="2800" w:right="0" w:hanging="220"/>
        <w:jc w:val="left"/>
      </w:pPr>
      <w:r>
        <w:rPr>
          <w:rStyle w:val="CharStyle20"/>
        </w:rPr>
        <w:t>dojde k postupnému zrychlení tempa zavádění nezbytných legislativních a regulatorních změn</w:t>
      </w:r>
    </w:p>
    <w:p>
      <w:pPr>
        <w:pStyle w:val="Style27"/>
        <w:keepNext/>
        <w:keepLines/>
        <w:widowControl w:val="0"/>
        <w:numPr>
          <w:ilvl w:val="2"/>
          <w:numId w:val="27"/>
        </w:numPr>
        <w:shd w:val="clear" w:color="auto" w:fill="auto"/>
        <w:tabs>
          <w:tab w:pos="3147" w:val="left"/>
        </w:tabs>
        <w:bidi w:val="0"/>
        <w:spacing w:before="0" w:after="0"/>
        <w:ind w:left="2580" w:right="0" w:firstLine="0"/>
        <w:jc w:val="left"/>
      </w:pPr>
      <w:bookmarkStart w:id="124" w:name="bookmark124"/>
      <w:r>
        <w:rPr>
          <w:rStyle w:val="CharStyle28"/>
          <w:b/>
          <w:bCs/>
        </w:rPr>
        <w:t>PROGRESIVNÍ SCÉNÁŘ SPOTŘEBY</w:t>
      </w:r>
      <w:bookmarkEnd w:id="124"/>
    </w:p>
    <w:p>
      <w:pPr>
        <w:pStyle w:val="Style19"/>
        <w:keepNext w:val="0"/>
        <w:keepLines w:val="0"/>
        <w:widowControl w:val="0"/>
        <w:shd w:val="clear" w:color="auto" w:fill="auto"/>
        <w:bidi w:val="0"/>
        <w:spacing w:before="0"/>
        <w:ind w:left="2580" w:right="0" w:firstLine="0"/>
        <w:jc w:val="left"/>
      </w:pPr>
      <w:r>
        <w:rPr>
          <w:rStyle w:val="CharStyle20"/>
        </w:rPr>
        <w:t>Progresivní scénář spotřeby se zakládá na cílech navrhovaného legislativního balíčku Fit for 55, představený Evropskou komisí 14. července 2021. Jeho prioritou je 55% snížení emisí CO</w:t>
      </w:r>
      <w:r>
        <w:rPr>
          <w:rStyle w:val="CharStyle20"/>
          <w:vertAlign w:val="subscript"/>
        </w:rPr>
        <w:t>2</w:t>
      </w:r>
      <w:r>
        <w:rPr>
          <w:rStyle w:val="CharStyle20"/>
        </w:rPr>
        <w:t xml:space="preserve"> v roce 2030 ve srovnání s rokem 1990 a následné dosažení uhlíkové neutrality Evropské unie v roce 2050. Pro splnění těchto cílů plánuje Komise vytvoření nového trhu s povolenkami pro dopravu a budovy, zpřísnění a rozšíření stávajícího trhu s povolenkami o námořnictví, podporu rozvoje elektromobility, tepelných čerpadel, stejně jako i zvýšení energetické efektivity a elektrifikaci průmyslu.</w:t>
      </w:r>
    </w:p>
    <w:p>
      <w:pPr>
        <w:pStyle w:val="Style19"/>
        <w:keepNext w:val="0"/>
        <w:keepLines w:val="0"/>
        <w:widowControl w:val="0"/>
        <w:shd w:val="clear" w:color="auto" w:fill="auto"/>
        <w:bidi w:val="0"/>
        <w:spacing w:before="0"/>
        <w:ind w:left="2580" w:right="0" w:firstLine="0"/>
        <w:jc w:val="left"/>
      </w:pPr>
      <w:r>
        <w:rPr>
          <w:rStyle w:val="CharStyle20"/>
        </w:rPr>
        <w:t>Balíček Fit for 55 tak klade pro dekarbonizaci ekonomiky ambicióznější cíl redukce emisí, než je dosavadních 40 %. V rámci Progresivního scénáře spotřeby je tak nutno předpokládat, že ČR realizuje vysoce aktivní zelenou transformaci po útlumu způsobeném pandemií COVID-19 a energetickou krizí. V rámci predikce je zohledněn také nárůst konečné spotřeby způsobený strategicky, ekonomicky či technologicky vynucenou náhradou fosilních paliv v různých oblastech průmyslu (např. významnější přechod na elektrotavbu v metalurgii). Scénář také uvažuje aktivní roli státu při transformaci, a to zejména ve formě pohotového vyhledávání vhodných legislativních a technologických řešení, posílení zelených investic a ekonomických opatření pro účely dekarbonizace.</w:t>
      </w:r>
    </w:p>
    <w:p>
      <w:pPr>
        <w:pStyle w:val="Style19"/>
        <w:keepNext w:val="0"/>
        <w:keepLines w:val="0"/>
        <w:widowControl w:val="0"/>
        <w:shd w:val="clear" w:color="auto" w:fill="auto"/>
        <w:bidi w:val="0"/>
        <w:spacing w:before="0" w:line="300" w:lineRule="auto"/>
        <w:ind w:left="2580" w:right="0" w:firstLine="0"/>
        <w:jc w:val="left"/>
        <w:sectPr>
          <w:headerReference w:type="default" r:id="rId127"/>
          <w:footerReference w:type="default" r:id="rId128"/>
          <w:headerReference w:type="even" r:id="rId129"/>
          <w:footerReference w:type="even" r:id="rId130"/>
          <w:footnotePr>
            <w:pos w:val="pageBottom"/>
            <w:numFmt w:val="decimal"/>
            <w:numRestart w:val="continuous"/>
          </w:footnotePr>
          <w:pgSz w:w="12142" w:h="17375"/>
          <w:pgMar w:top="1180" w:right="814" w:bottom="1492" w:left="814" w:header="0" w:footer="3" w:gutter="760"/>
          <w:pgNumType w:start="41"/>
          <w:cols w:space="720"/>
          <w:noEndnote/>
          <w:rtlGutter w:val="0"/>
          <w:docGrid w:linePitch="360"/>
        </w:sectPr>
      </w:pPr>
      <w:bookmarkStart w:id="126" w:name="bookmark126"/>
      <w:r>
        <w:rPr>
          <w:rStyle w:val="CharStyle20"/>
        </w:rPr>
        <w:t>Zelená transformace se také týká managementu spotřeby a chování spotřebitelů, tedy předpoklad, že se odběratelé budou s rozvojem zelených politik poměrně rychle přizpůsobovat zásadám udržitelnosti a podřizovat svoji spotřebu energii možnostem disponibilních zdrojů. Zejména nároky na razantní zvýšení spotřeby elektřiny vlivem elektrifikace budou zmírňovány zvyšováním energetické efektivity spotřebičů</w:t>
      </w:r>
      <w:bookmarkEnd w:id="126"/>
    </w:p>
    <w:p>
      <w:pPr>
        <w:widowControl w:val="0"/>
        <w:spacing w:line="179" w:lineRule="exact"/>
        <w:rPr>
          <w:sz w:val="14"/>
          <w:szCs w:val="14"/>
        </w:rPr>
      </w:pPr>
    </w:p>
    <w:p>
      <w:pPr>
        <w:widowControl w:val="0"/>
        <w:spacing w:line="1" w:lineRule="exact"/>
        <w:sectPr>
          <w:footnotePr>
            <w:pos w:val="pageBottom"/>
            <w:numFmt w:val="decimal"/>
            <w:numRestart w:val="continuous"/>
          </w:footnotePr>
          <w:pgSz w:w="12142" w:h="17375"/>
          <w:pgMar w:top="752" w:right="119" w:bottom="752" w:left="1362" w:header="0" w:footer="3" w:gutter="0"/>
          <w:cols w:space="720"/>
          <w:noEndnote/>
          <w:rtlGutter w:val="0"/>
          <w:docGrid w:linePitch="360"/>
        </w:sectPr>
      </w:pPr>
    </w:p>
    <w:p>
      <w:pPr>
        <w:pStyle w:val="Style19"/>
        <w:keepNext w:val="0"/>
        <w:keepLines w:val="0"/>
        <w:framePr w:w="6744" w:h="802" w:wrap="none" w:vAnchor="text" w:hAnchor="page" w:x="845" w:y="6308"/>
        <w:widowControl w:val="0"/>
        <w:shd w:val="clear" w:color="auto" w:fill="auto"/>
        <w:bidi w:val="0"/>
        <w:spacing w:before="0" w:after="0" w:line="300" w:lineRule="auto"/>
        <w:ind w:left="0" w:right="0" w:firstLine="0"/>
        <w:jc w:val="left"/>
      </w:pPr>
      <w:r>
        <w:rPr>
          <w:rStyle w:val="CharStyle20"/>
        </w:rPr>
        <w:t>potažmo procesů, nárůstem počtu prosumerů a zlepšujícími se energetickými parametry budov. Velký rozvoj se díky tomu očekává na poli chytrých spotřebičů, které umožňují efektivnější optimalizaci svého odběru elektřiny.</w:t>
      </w:r>
    </w:p>
    <w:p>
      <w:pPr>
        <w:pStyle w:val="Style19"/>
        <w:keepNext w:val="0"/>
        <w:keepLines w:val="0"/>
        <w:framePr w:w="7195" w:h="1584" w:wrap="none" w:vAnchor="text" w:hAnchor="page" w:x="826" w:y="7350"/>
        <w:widowControl w:val="0"/>
        <w:shd w:val="clear" w:color="auto" w:fill="auto"/>
        <w:bidi w:val="0"/>
        <w:spacing w:before="0" w:after="0"/>
        <w:ind w:left="0" w:right="0" w:firstLine="0"/>
        <w:jc w:val="left"/>
      </w:pPr>
      <w:r>
        <w:rPr>
          <w:rStyle w:val="CharStyle20"/>
        </w:rPr>
        <w:t>Ve srovnání s Respondentním/Konzervativním scénářem roste spotřeba v Progresivním scénáři rychleji, a sice vlivem rozsáhlejší elektrifikace. I odběr domácností a průmyslu nepatrně roste - elektrifikace provozů a zavádění smart řídících technologií je do značné míry kompenzováno zvyšující se účinností spotřebičů. Objem spotřebované energie pro rok 2030 se očekává 82 TWh, zatímco v roce 2040 už se blíží 98 TWh, což je zhruba o 14 % více než v Respondentním/Konzervativním scénáři.</w:t>
      </w:r>
    </w:p>
    <w:p>
      <w:pPr>
        <w:pStyle w:val="Style15"/>
        <w:keepNext/>
        <w:keepLines/>
        <w:framePr w:w="7445" w:h="235" w:wrap="none" w:vAnchor="text" w:hAnchor="page" w:x="840" w:y="9697"/>
        <w:widowControl w:val="0"/>
        <w:shd w:val="clear" w:color="auto" w:fill="auto"/>
        <w:bidi w:val="0"/>
        <w:spacing w:before="0" w:after="0" w:line="240" w:lineRule="auto"/>
        <w:ind w:left="0" w:right="0" w:firstLine="0"/>
        <w:jc w:val="left"/>
      </w:pPr>
      <w:bookmarkStart w:id="127" w:name="bookmark127"/>
      <w:r>
        <w:rPr>
          <w:rStyle w:val="CharStyle16"/>
          <w:b/>
          <w:bCs/>
        </w:rPr>
        <w:t>Obr. 5.8 Vývoj meziroční změny tempa růstu HDP, TNS a vývoj EEN - Progresivní scénář</w:t>
      </w:r>
      <w:bookmarkEnd w:id="127"/>
    </w:p>
    <w:p>
      <w:pPr>
        <w:pStyle w:val="Style86"/>
        <w:keepNext w:val="0"/>
        <w:keepLines w:val="0"/>
        <w:framePr w:w="154" w:h="278" w:wrap="none" w:vAnchor="text" w:hAnchor="page" w:x="845" w:y="12505"/>
        <w:widowControl w:val="0"/>
        <w:shd w:val="clear" w:color="auto" w:fill="auto"/>
        <w:bidi w:val="0"/>
        <w:spacing w:before="0" w:after="0" w:line="240" w:lineRule="auto"/>
        <w:ind w:left="0" w:right="0" w:firstLine="0"/>
        <w:jc w:val="left"/>
      </w:pPr>
      <w:r>
        <w:rPr>
          <w:rStyle w:val="CharStyle87"/>
          <w:b/>
          <w:bCs/>
        </w:rPr>
        <w:t>CD</w:t>
      </w:r>
    </w:p>
    <w:p>
      <w:pPr>
        <w:pStyle w:val="Style88"/>
        <w:keepNext w:val="0"/>
        <w:keepLines w:val="0"/>
        <w:framePr w:w="154" w:h="278" w:wrap="none" w:vAnchor="text" w:hAnchor="page" w:x="845" w:y="12505"/>
        <w:widowControl w:val="0"/>
        <w:shd w:val="clear" w:color="auto" w:fill="auto"/>
        <w:bidi w:val="0"/>
        <w:spacing w:before="0" w:after="0"/>
        <w:ind w:left="0" w:right="0" w:firstLine="0"/>
        <w:jc w:val="left"/>
      </w:pPr>
      <w:r>
        <w:rPr>
          <w:rStyle w:val="CharStyle89"/>
        </w:rPr>
        <w:t>s</w:t>
      </w:r>
    </w:p>
    <w:p>
      <w:pPr>
        <w:pStyle w:val="Style2"/>
        <w:keepNext w:val="0"/>
        <w:keepLines w:val="0"/>
        <w:framePr w:w="163" w:h="158" w:wrap="none" w:vAnchor="text" w:hAnchor="page" w:x="10430" w:y="13090"/>
        <w:widowControl w:val="0"/>
        <w:shd w:val="clear" w:color="auto" w:fill="auto"/>
        <w:bidi w:val="0"/>
        <w:spacing w:before="0" w:after="0" w:line="240" w:lineRule="auto"/>
        <w:ind w:left="0" w:right="0" w:firstLine="0"/>
        <w:jc w:val="both"/>
        <w:rPr>
          <w:sz w:val="8"/>
          <w:szCs w:val="8"/>
        </w:rPr>
      </w:pPr>
      <w:r>
        <w:rPr>
          <w:rStyle w:val="CharStyle3"/>
          <w:b/>
          <w:bCs/>
          <w:sz w:val="8"/>
          <w:szCs w:val="8"/>
          <w:u w:val="single"/>
        </w:rPr>
        <w:t>OJ</w:t>
      </w:r>
    </w:p>
    <w:p>
      <w:pPr>
        <w:pStyle w:val="Style2"/>
        <w:keepNext w:val="0"/>
        <w:keepLines w:val="0"/>
        <w:framePr w:w="120" w:h="182" w:wrap="none" w:vAnchor="text" w:hAnchor="page" w:x="10008" w:y="13532"/>
        <w:widowControl w:val="0"/>
        <w:shd w:val="clear" w:color="auto" w:fill="auto"/>
        <w:bidi w:val="0"/>
        <w:spacing w:before="0" w:after="0" w:line="240" w:lineRule="auto"/>
        <w:ind w:left="0" w:right="0" w:firstLine="0"/>
        <w:jc w:val="left"/>
        <w:rPr>
          <w:sz w:val="12"/>
          <w:szCs w:val="12"/>
        </w:rPr>
      </w:pPr>
      <w:r>
        <w:rPr>
          <w:rStyle w:val="CharStyle3"/>
          <w:b/>
          <w:bCs/>
          <w:sz w:val="12"/>
          <w:szCs w:val="12"/>
        </w:rPr>
        <w:t>0</w:t>
      </w:r>
    </w:p>
    <w:p>
      <w:pPr>
        <w:pStyle w:val="Style2"/>
        <w:keepNext w:val="0"/>
        <w:keepLines w:val="0"/>
        <w:framePr w:w="154" w:h="605" w:wrap="none" w:vAnchor="text" w:hAnchor="page" w:x="10464" w:y="12351"/>
        <w:widowControl w:val="0"/>
        <w:shd w:val="clear" w:color="auto" w:fill="auto"/>
        <w:bidi w:val="0"/>
        <w:spacing w:before="0" w:after="60" w:line="214" w:lineRule="auto"/>
        <w:ind w:left="0" w:right="0" w:firstLine="0"/>
        <w:jc w:val="both"/>
        <w:rPr>
          <w:sz w:val="8"/>
          <w:szCs w:val="8"/>
        </w:rPr>
      </w:pPr>
      <w:r>
        <w:rPr>
          <w:rStyle w:val="CharStyle3"/>
          <w:b/>
          <w:bCs/>
          <w:sz w:val="8"/>
          <w:szCs w:val="8"/>
        </w:rPr>
        <w:t>CD Ol</w:t>
      </w:r>
    </w:p>
    <w:p>
      <w:pPr>
        <w:pStyle w:val="Style2"/>
        <w:keepNext w:val="0"/>
        <w:keepLines w:val="0"/>
        <w:framePr w:w="154" w:h="605" w:wrap="none" w:vAnchor="text" w:hAnchor="page" w:x="10464" w:y="12351"/>
        <w:widowControl w:val="0"/>
        <w:shd w:val="clear" w:color="auto" w:fill="auto"/>
        <w:bidi w:val="0"/>
        <w:spacing w:before="0" w:after="0" w:line="146" w:lineRule="auto"/>
        <w:ind w:left="0" w:right="0" w:firstLine="0"/>
        <w:jc w:val="both"/>
        <w:rPr>
          <w:sz w:val="11"/>
          <w:szCs w:val="11"/>
        </w:rPr>
      </w:pPr>
      <w:r>
        <w:rPr>
          <w:rStyle w:val="CharStyle3"/>
          <w:sz w:val="11"/>
          <w:szCs w:val="11"/>
        </w:rPr>
        <w:t>v c</w:t>
      </w:r>
    </w:p>
    <w:p>
      <w:pPr>
        <w:pStyle w:val="Style2"/>
        <w:keepNext w:val="0"/>
        <w:keepLines w:val="0"/>
        <w:framePr w:w="154" w:h="605" w:wrap="none" w:vAnchor="text" w:hAnchor="page" w:x="10464" w:y="12351"/>
        <w:widowControl w:val="0"/>
        <w:shd w:val="clear" w:color="auto" w:fill="auto"/>
        <w:bidi w:val="0"/>
        <w:spacing w:before="0" w:after="0" w:line="226" w:lineRule="auto"/>
        <w:ind w:left="0" w:right="0" w:firstLine="0"/>
        <w:jc w:val="both"/>
        <w:rPr>
          <w:sz w:val="8"/>
          <w:szCs w:val="8"/>
        </w:rPr>
      </w:pPr>
      <w:r>
        <w:rPr>
          <w:rStyle w:val="CharStyle3"/>
          <w:b/>
          <w:bCs/>
          <w:sz w:val="8"/>
          <w:szCs w:val="8"/>
        </w:rPr>
        <w:t>CD o</w:t>
      </w:r>
    </w:p>
    <w:p>
      <w:pPr>
        <w:pStyle w:val="Style2"/>
        <w:keepNext w:val="0"/>
        <w:keepLines w:val="0"/>
        <w:framePr w:w="192" w:h="725" w:wrap="none" w:vAnchor="text" w:hAnchor="page" w:x="10430" w:y="11108"/>
        <w:widowControl w:val="0"/>
        <w:shd w:val="clear" w:color="auto" w:fill="auto"/>
        <w:bidi w:val="0"/>
        <w:spacing w:before="0" w:after="60" w:line="214" w:lineRule="auto"/>
        <w:ind w:left="0" w:right="0" w:firstLine="0"/>
        <w:jc w:val="right"/>
        <w:rPr>
          <w:sz w:val="8"/>
          <w:szCs w:val="8"/>
        </w:rPr>
      </w:pPr>
      <w:r>
        <w:rPr>
          <w:rStyle w:val="CharStyle3"/>
          <w:b/>
          <w:bCs/>
          <w:sz w:val="8"/>
          <w:szCs w:val="8"/>
        </w:rPr>
        <w:t>g</w:t>
      </w:r>
    </w:p>
    <w:p>
      <w:pPr>
        <w:pStyle w:val="Style2"/>
        <w:keepNext w:val="0"/>
        <w:keepLines w:val="0"/>
        <w:framePr w:w="192" w:h="725" w:wrap="none" w:vAnchor="text" w:hAnchor="page" w:x="10430" w:y="11108"/>
        <w:widowControl w:val="0"/>
        <w:shd w:val="clear" w:color="auto" w:fill="auto"/>
        <w:bidi w:val="0"/>
        <w:spacing w:before="0" w:after="0" w:line="214" w:lineRule="auto"/>
        <w:ind w:left="0" w:right="0" w:firstLine="0"/>
        <w:jc w:val="both"/>
        <w:rPr>
          <w:sz w:val="8"/>
          <w:szCs w:val="8"/>
        </w:rPr>
      </w:pPr>
      <w:r>
        <w:rPr>
          <w:rStyle w:val="CharStyle3"/>
          <w:b/>
          <w:bCs/>
          <w:sz w:val="8"/>
          <w:szCs w:val="8"/>
        </w:rPr>
        <w:t>tn O</w:t>
      </w:r>
    </w:p>
    <w:p>
      <w:pPr>
        <w:pStyle w:val="Style2"/>
        <w:keepNext w:val="0"/>
        <w:keepLines w:val="0"/>
        <w:framePr w:w="192" w:h="725" w:wrap="none" w:vAnchor="text" w:hAnchor="page" w:x="10430" w:y="11108"/>
        <w:widowControl w:val="0"/>
        <w:shd w:val="clear" w:color="auto" w:fill="auto"/>
        <w:bidi w:val="0"/>
        <w:spacing w:before="0" w:after="60" w:line="214" w:lineRule="auto"/>
        <w:ind w:left="0" w:right="0" w:firstLine="0"/>
        <w:jc w:val="both"/>
        <w:rPr>
          <w:sz w:val="8"/>
          <w:szCs w:val="8"/>
        </w:rPr>
      </w:pPr>
      <w:r>
        <w:rPr>
          <w:rStyle w:val="CharStyle3"/>
          <w:b/>
          <w:bCs/>
          <w:sz w:val="8"/>
          <w:szCs w:val="8"/>
        </w:rPr>
        <w:t>C</w:t>
      </w:r>
    </w:p>
    <w:p>
      <w:pPr>
        <w:pStyle w:val="Style2"/>
        <w:keepNext w:val="0"/>
        <w:keepLines w:val="0"/>
        <w:framePr w:w="192" w:h="725" w:wrap="none" w:vAnchor="text" w:hAnchor="page" w:x="10430" w:y="11108"/>
        <w:widowControl w:val="0"/>
        <w:shd w:val="clear" w:color="auto" w:fill="auto"/>
        <w:bidi w:val="0"/>
        <w:spacing w:before="0" w:after="60" w:line="214" w:lineRule="auto"/>
        <w:ind w:left="0" w:right="0" w:firstLine="0"/>
        <w:jc w:val="both"/>
        <w:rPr>
          <w:sz w:val="8"/>
          <w:szCs w:val="8"/>
        </w:rPr>
      </w:pPr>
      <w:r>
        <w:rPr>
          <w:rStyle w:val="CharStyle3"/>
          <w:b/>
          <w:bCs/>
          <w:sz w:val="8"/>
          <w:szCs w:val="8"/>
        </w:rPr>
        <w:t>O</w:t>
      </w:r>
    </w:p>
    <w:p>
      <w:pPr>
        <w:pStyle w:val="Style2"/>
        <w:keepNext w:val="0"/>
        <w:keepLines w:val="0"/>
        <w:framePr w:w="8587" w:h="408" w:wrap="none" w:vAnchor="text" w:hAnchor="page" w:x="1483" w:y="13537"/>
        <w:widowControl w:val="0"/>
        <w:shd w:val="clear" w:color="auto" w:fill="auto"/>
        <w:tabs>
          <w:tab w:pos="8520" w:val="left"/>
        </w:tabs>
        <w:bidi w:val="0"/>
        <w:spacing w:before="0" w:after="60" w:line="240" w:lineRule="auto"/>
        <w:ind w:left="0" w:right="0" w:firstLine="0"/>
        <w:jc w:val="left"/>
        <w:rPr>
          <w:sz w:val="12"/>
          <w:szCs w:val="12"/>
        </w:rPr>
      </w:pPr>
      <w:r>
        <w:rPr>
          <w:rStyle w:val="CharStyle3"/>
          <w:b/>
          <w:bCs/>
          <w:sz w:val="12"/>
          <w:szCs w:val="12"/>
        </w:rPr>
        <w:t>-8</w:t>
        <w:tab/>
        <w:t>i</w:t>
      </w:r>
    </w:p>
    <w:p>
      <w:pPr>
        <w:pStyle w:val="Style2"/>
        <w:keepNext w:val="0"/>
        <w:keepLines w:val="0"/>
        <w:framePr w:w="8587" w:h="408" w:wrap="none" w:vAnchor="text" w:hAnchor="page" w:x="1483" w:y="13537"/>
        <w:widowControl w:val="0"/>
        <w:shd w:val="clear" w:color="auto" w:fill="auto"/>
        <w:bidi w:val="0"/>
        <w:spacing w:before="0" w:after="0" w:line="240" w:lineRule="auto"/>
        <w:ind w:left="0" w:right="0" w:firstLine="140"/>
        <w:jc w:val="left"/>
        <w:rPr>
          <w:sz w:val="12"/>
          <w:szCs w:val="12"/>
        </w:rPr>
      </w:pPr>
      <w:r>
        <w:rPr>
          <w:rStyle w:val="CharStyle3"/>
          <w:b/>
          <w:bCs/>
          <w:sz w:val="12"/>
          <w:szCs w:val="12"/>
        </w:rPr>
        <w:t>1996 1998 2000 2002 2004 2006 2008 2010 2012 2014 2016 2018 2020 2022 2024 2026 2028 2030 2032 2034 2036 2038 2040</w:t>
      </w:r>
    </w:p>
    <w:p>
      <w:pPr>
        <w:pStyle w:val="Style75"/>
        <w:keepNext w:val="0"/>
        <w:keepLines w:val="0"/>
        <w:framePr w:w="1939" w:h="542" w:wrap="none" w:vAnchor="text" w:hAnchor="page" w:x="1738" w:y="14257"/>
        <w:widowControl w:val="0"/>
        <w:shd w:val="clear" w:color="auto" w:fill="auto"/>
        <w:bidi w:val="0"/>
        <w:spacing w:before="0" w:after="0" w:line="338" w:lineRule="auto"/>
        <w:ind w:left="0" w:right="0" w:firstLine="0"/>
        <w:jc w:val="left"/>
      </w:pPr>
      <w:r>
        <w:rPr>
          <w:rStyle w:val="CharStyle76"/>
          <w:color w:val="27A851"/>
        </w:rPr>
        <w:t xml:space="preserve">— </w:t>
      </w:r>
      <w:r>
        <w:rPr>
          <w:rStyle w:val="CharStyle76"/>
        </w:rPr>
        <w:t xml:space="preserve">Tempo růstu HDP </w:t>
      </w:r>
      <w:r>
        <w:rPr>
          <w:rStyle w:val="CharStyle76"/>
          <w:color w:val="006AB4"/>
        </w:rPr>
        <w:t xml:space="preserve">— — </w:t>
      </w:r>
      <w:r>
        <w:rPr>
          <w:rStyle w:val="CharStyle76"/>
        </w:rPr>
        <w:t>EEN bez vlivů</w:t>
      </w:r>
    </w:p>
    <w:p>
      <w:pPr>
        <w:pStyle w:val="Style75"/>
        <w:keepNext w:val="0"/>
        <w:keepLines w:val="0"/>
        <w:framePr w:w="2016" w:h="542" w:wrap="none" w:vAnchor="text" w:hAnchor="page" w:x="5290" w:y="14257"/>
        <w:widowControl w:val="0"/>
        <w:shd w:val="clear" w:color="auto" w:fill="auto"/>
        <w:bidi w:val="0"/>
        <w:spacing w:before="0" w:after="0" w:line="338" w:lineRule="auto"/>
        <w:ind w:left="0" w:right="0" w:firstLine="0"/>
        <w:jc w:val="left"/>
      </w:pPr>
      <w:r>
        <w:rPr>
          <w:rStyle w:val="CharStyle76"/>
        </w:rPr>
        <w:t>Tempo růstu TNS bez vlivů EEN s vlivy</w:t>
      </w:r>
    </w:p>
    <w:p>
      <w:pPr>
        <w:pStyle w:val="Style75"/>
        <w:keepNext w:val="0"/>
        <w:keepLines w:val="0"/>
        <w:framePr w:w="1795" w:h="216" w:wrap="none" w:vAnchor="text" w:hAnchor="page" w:x="8285" w:y="14257"/>
        <w:widowControl w:val="0"/>
        <w:shd w:val="clear" w:color="auto" w:fill="auto"/>
        <w:bidi w:val="0"/>
        <w:spacing w:before="0" w:after="0" w:line="240" w:lineRule="auto"/>
        <w:ind w:left="0" w:right="0" w:firstLine="0"/>
        <w:jc w:val="left"/>
      </w:pPr>
      <w:r>
        <w:rPr>
          <w:rStyle w:val="CharStyle76"/>
        </w:rPr>
        <w:t>Tempo růstu TNS s vlivy</w:t>
      </w:r>
    </w:p>
    <w:p>
      <w:pPr>
        <w:widowControl w:val="0"/>
        <w:spacing w:line="360" w:lineRule="exact"/>
      </w:pPr>
      <w:r>
        <w:drawing>
          <wp:anchor distT="0" distB="0" distL="0" distR="0" simplePos="0" relativeHeight="62914726" behindDoc="1" locked="0" layoutInCell="1" allowOverlap="1">
            <wp:simplePos x="0" y="0"/>
            <wp:positionH relativeFrom="page">
              <wp:posOffset>75565</wp:posOffset>
            </wp:positionH>
            <wp:positionV relativeFrom="paragraph">
              <wp:posOffset>890270</wp:posOffset>
            </wp:positionV>
            <wp:extent cx="243840" cy="1334770"/>
            <wp:wrapNone/>
            <wp:docPr id="177" name="Shape 177"/>
            <a:graphic xmlns:a="http://schemas.openxmlformats.org/drawingml/2006/main">
              <a:graphicData uri="http://schemas.openxmlformats.org/drawingml/2006/picture">
                <pic:pic xmlns:pic="http://schemas.openxmlformats.org/drawingml/2006/picture">
                  <pic:nvPicPr>
                    <pic:cNvPr id="178" name="Picture box 178"/>
                    <pic:cNvPicPr/>
                  </pic:nvPicPr>
                  <pic:blipFill>
                    <a:blip r:embed="rId131"/>
                    <a:stretch/>
                  </pic:blipFill>
                  <pic:spPr>
                    <a:xfrm>
                      <a:ext cx="243840" cy="1334770"/>
                    </a:xfrm>
                    <a:prstGeom prst="rect"/>
                  </pic:spPr>
                </pic:pic>
              </a:graphicData>
            </a:graphic>
          </wp:anchor>
        </w:drawing>
      </w:r>
      <w:r>
        <w:drawing>
          <wp:anchor distT="0" distB="0" distL="0" distR="0" simplePos="0" relativeHeight="62914727" behindDoc="1" locked="0" layoutInCell="1" allowOverlap="1">
            <wp:simplePos x="0" y="0"/>
            <wp:positionH relativeFrom="page">
              <wp:posOffset>75565</wp:posOffset>
            </wp:positionH>
            <wp:positionV relativeFrom="paragraph">
              <wp:posOffset>2228215</wp:posOffset>
            </wp:positionV>
            <wp:extent cx="243840" cy="1334770"/>
            <wp:wrapNone/>
            <wp:docPr id="179" name="Shape 179"/>
            <a:graphic xmlns:a="http://schemas.openxmlformats.org/drawingml/2006/main">
              <a:graphicData uri="http://schemas.openxmlformats.org/drawingml/2006/picture">
                <pic:pic xmlns:pic="http://schemas.openxmlformats.org/drawingml/2006/picture">
                  <pic:nvPicPr>
                    <pic:cNvPr id="180" name="Picture box 180"/>
                    <pic:cNvPicPr/>
                  </pic:nvPicPr>
                  <pic:blipFill>
                    <a:blip r:embed="rId133"/>
                    <a:stretch/>
                  </pic:blipFill>
                  <pic:spPr>
                    <a:xfrm>
                      <a:ext cx="243840" cy="1334770"/>
                    </a:xfrm>
                    <a:prstGeom prst="rect"/>
                  </pic:spPr>
                </pic:pic>
              </a:graphicData>
            </a:graphic>
          </wp:anchor>
        </w:drawing>
      </w:r>
      <w:r>
        <w:drawing>
          <wp:anchor distT="0" distB="0" distL="0" distR="0" simplePos="0" relativeHeight="62914728" behindDoc="1" locked="0" layoutInCell="1" allowOverlap="1">
            <wp:simplePos x="0" y="0"/>
            <wp:positionH relativeFrom="page">
              <wp:posOffset>414020</wp:posOffset>
            </wp:positionH>
            <wp:positionV relativeFrom="paragraph">
              <wp:posOffset>12700</wp:posOffset>
            </wp:positionV>
            <wp:extent cx="6351905" cy="3364865"/>
            <wp:wrapNone/>
            <wp:docPr id="181" name="Shape 181"/>
            <a:graphic xmlns:a="http://schemas.openxmlformats.org/drawingml/2006/main">
              <a:graphicData uri="http://schemas.openxmlformats.org/drawingml/2006/picture">
                <pic:pic xmlns:pic="http://schemas.openxmlformats.org/drawingml/2006/picture">
                  <pic:nvPicPr>
                    <pic:cNvPr id="182" name="Picture box 182"/>
                    <pic:cNvPicPr/>
                  </pic:nvPicPr>
                  <pic:blipFill>
                    <a:blip r:embed="rId135"/>
                    <a:stretch/>
                  </pic:blipFill>
                  <pic:spPr>
                    <a:xfrm>
                      <a:ext cx="6351905" cy="3364865"/>
                    </a:xfrm>
                    <a:prstGeom prst="rect"/>
                  </pic:spPr>
                </pic:pic>
              </a:graphicData>
            </a:graphic>
          </wp:anchor>
        </w:drawing>
      </w:r>
      <w:r>
        <w:drawing>
          <wp:anchor distT="0" distB="0" distL="0" distR="0" simplePos="0" relativeHeight="62914729" behindDoc="1" locked="0" layoutInCell="1" allowOverlap="1">
            <wp:simplePos x="0" y="0"/>
            <wp:positionH relativeFrom="page">
              <wp:posOffset>75565</wp:posOffset>
            </wp:positionH>
            <wp:positionV relativeFrom="paragraph">
              <wp:posOffset>3562985</wp:posOffset>
            </wp:positionV>
            <wp:extent cx="243840" cy="1341120"/>
            <wp:wrapNone/>
            <wp:docPr id="183" name="Shape 183"/>
            <a:graphic xmlns:a="http://schemas.openxmlformats.org/drawingml/2006/main">
              <a:graphicData uri="http://schemas.openxmlformats.org/drawingml/2006/picture">
                <pic:pic xmlns:pic="http://schemas.openxmlformats.org/drawingml/2006/picture">
                  <pic:nvPicPr>
                    <pic:cNvPr id="184" name="Picture box 184"/>
                    <pic:cNvPicPr/>
                  </pic:nvPicPr>
                  <pic:blipFill>
                    <a:blip r:embed="rId137"/>
                    <a:stretch/>
                  </pic:blipFill>
                  <pic:spPr>
                    <a:xfrm>
                      <a:ext cx="243840" cy="1341120"/>
                    </a:xfrm>
                    <a:prstGeom prst="rect"/>
                  </pic:spPr>
                </pic:pic>
              </a:graphicData>
            </a:graphic>
          </wp:anchor>
        </w:drawing>
      </w:r>
      <w:r>
        <w:drawing>
          <wp:anchor distT="0" distB="0" distL="0" distR="0" simplePos="0" relativeHeight="62914730" behindDoc="1" locked="0" layoutInCell="1" allowOverlap="1">
            <wp:simplePos x="0" y="0"/>
            <wp:positionH relativeFrom="page">
              <wp:posOffset>75565</wp:posOffset>
            </wp:positionH>
            <wp:positionV relativeFrom="paragraph">
              <wp:posOffset>4900930</wp:posOffset>
            </wp:positionV>
            <wp:extent cx="243840" cy="1334770"/>
            <wp:wrapNone/>
            <wp:docPr id="185" name="Shape 185"/>
            <a:graphic xmlns:a="http://schemas.openxmlformats.org/drawingml/2006/main">
              <a:graphicData uri="http://schemas.openxmlformats.org/drawingml/2006/picture">
                <pic:pic xmlns:pic="http://schemas.openxmlformats.org/drawingml/2006/picture">
                  <pic:nvPicPr>
                    <pic:cNvPr id="186" name="Picture box 186"/>
                    <pic:cNvPicPr/>
                  </pic:nvPicPr>
                  <pic:blipFill>
                    <a:blip r:embed="rId139"/>
                    <a:stretch/>
                  </pic:blipFill>
                  <pic:spPr>
                    <a:xfrm>
                      <a:ext cx="243840" cy="1334770"/>
                    </a:xfrm>
                    <a:prstGeom prst="rect"/>
                  </pic:spPr>
                </pic:pic>
              </a:graphicData>
            </a:graphic>
          </wp:anchor>
        </w:drawing>
      </w:r>
      <w:r>
        <w:drawing>
          <wp:anchor distT="0" distB="0" distL="0" distR="0" simplePos="0" relativeHeight="62914731" behindDoc="1" locked="0" layoutInCell="1" allowOverlap="1">
            <wp:simplePos x="0" y="0"/>
            <wp:positionH relativeFrom="page">
              <wp:posOffset>75565</wp:posOffset>
            </wp:positionH>
            <wp:positionV relativeFrom="paragraph">
              <wp:posOffset>6236335</wp:posOffset>
            </wp:positionV>
            <wp:extent cx="243840" cy="1334770"/>
            <wp:wrapNone/>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141"/>
                    <a:stretch/>
                  </pic:blipFill>
                  <pic:spPr>
                    <a:xfrm>
                      <a:ext cx="243840" cy="1334770"/>
                    </a:xfrm>
                    <a:prstGeom prst="rect"/>
                  </pic:spPr>
                </pic:pic>
              </a:graphicData>
            </a:graphic>
          </wp:anchor>
        </w:drawing>
      </w:r>
      <w:r>
        <w:drawing>
          <wp:anchor distT="0" distB="0" distL="0" distR="0" simplePos="0" relativeHeight="62914732" behindDoc="1" locked="0" layoutInCell="1" allowOverlap="1">
            <wp:simplePos x="0" y="0"/>
            <wp:positionH relativeFrom="page">
              <wp:posOffset>75565</wp:posOffset>
            </wp:positionH>
            <wp:positionV relativeFrom="paragraph">
              <wp:posOffset>7574280</wp:posOffset>
            </wp:positionV>
            <wp:extent cx="243840" cy="1341120"/>
            <wp:wrapNone/>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43"/>
                    <a:stretch/>
                  </pic:blipFill>
                  <pic:spPr>
                    <a:xfrm>
                      <a:ext cx="243840" cy="1341120"/>
                    </a:xfrm>
                    <a:prstGeom prst="rect"/>
                  </pic:spPr>
                </pic:pic>
              </a:graphicData>
            </a:graphic>
          </wp:anchor>
        </w:drawing>
      </w:r>
      <w:r>
        <w:drawing>
          <wp:anchor distT="0" distB="429895" distL="18415" distR="286385" simplePos="0" relativeHeight="62914733" behindDoc="1" locked="0" layoutInCell="1" allowOverlap="1">
            <wp:simplePos x="0" y="0"/>
            <wp:positionH relativeFrom="page">
              <wp:posOffset>959485</wp:posOffset>
            </wp:positionH>
            <wp:positionV relativeFrom="paragraph">
              <wp:posOffset>6610985</wp:posOffset>
            </wp:positionV>
            <wp:extent cx="5498465" cy="1816735"/>
            <wp:wrapNone/>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145"/>
                    <a:stretch/>
                  </pic:blipFill>
                  <pic:spPr>
                    <a:xfrm>
                      <a:ext cx="5498465" cy="18167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pos w:val="pageBottom"/>
            <w:numFmt w:val="decimal"/>
            <w:numRestart w:val="continuous"/>
          </w:footnotePr>
          <w:type w:val="continuous"/>
          <w:pgSz w:w="12142" w:h="17375"/>
          <w:pgMar w:top="752" w:right="119" w:bottom="752" w:left="119" w:header="0" w:footer="3" w:gutter="1243"/>
          <w:cols w:space="720"/>
          <w:noEndnote/>
          <w:rtlGutter w:val="0"/>
          <w:docGrid w:linePitch="360"/>
        </w:sectPr>
      </w:pPr>
    </w:p>
    <w:p>
      <w:pPr>
        <w:pStyle w:val="Style19"/>
        <w:keepNext w:val="0"/>
        <w:keepLines w:val="0"/>
        <w:widowControl w:val="0"/>
        <w:shd w:val="clear" w:color="auto" w:fill="auto"/>
        <w:bidi w:val="0"/>
        <w:spacing w:before="80"/>
        <w:ind w:left="1520" w:right="0" w:firstLine="0"/>
        <w:jc w:val="left"/>
      </w:pPr>
      <w:r>
        <w:rPr>
          <w:rStyle w:val="CharStyle20"/>
        </w:rPr>
        <w:t>Progresivní scénář také oproti Respondentnímu/Konzervativnímu scénáři predikuje optimističtější tempo růstu HDP, které v roce 2040 dosáhne 1,67 %, přičemž svého maxima dosáhne v roce 2024 (3,10 %), kde se počítá s hospodářskou obnovou po pandemickém útlumu a energetické krizi. V následujících letech potom růst postupně zpomaluje až do konce predikovaného období (rok 2040). Vlivem vyššího tempa růstu HDP dochází následně k uplatnění efektivnějších zařízení a snížení EEN. V cílovém roce 2040 dosáhne EEN s vlivy 12,8 Wh/Kč, což je o 0,2 Wh/Kč více než v předchozím scénáři. Tento ukazatel je však v případě tohoto, a i následujícího scénáře, spíš informativního než porovnávacího charakteru, neboť právě obsahuje ve větší míře i převzatou spotřebu vlivem transformace ostatních sektorů.</w:t>
      </w:r>
    </w:p>
    <w:p>
      <w:pPr>
        <w:pStyle w:val="Style19"/>
        <w:keepNext w:val="0"/>
        <w:keepLines w:val="0"/>
        <w:widowControl w:val="0"/>
        <w:shd w:val="clear" w:color="auto" w:fill="auto"/>
        <w:bidi w:val="0"/>
        <w:spacing w:before="0" w:after="180"/>
        <w:ind w:left="1520" w:right="0" w:firstLine="0"/>
        <w:jc w:val="left"/>
      </w:pPr>
      <w:r>
        <w:rPr>
          <w:rStyle w:val="CharStyle20"/>
        </w:rPr>
        <w:t xml:space="preserve">Predikce </w:t>
      </w:r>
      <w:r>
        <w:rPr>
          <w:rStyle w:val="CharStyle20"/>
          <w:b/>
          <w:bCs/>
          <w:color w:val="006AB4"/>
        </w:rPr>
        <w:t xml:space="preserve">elektromobility </w:t>
      </w:r>
      <w:r>
        <w:rPr>
          <w:rStyle w:val="CharStyle20"/>
        </w:rPr>
        <w:t>se stejně jako v případě ostatních scénářů zakládá na současných datech od Svazu dovozců automobilů a soustředí se na bateriové a hybridní vozy v segmentech osobních aut a lehkých užitkových vozů. Počet elektromobilů do roku 2030 vzroste na cca 400 tisíc, což přibližně odpovídá vysokému scénáři NAP CM. Po roce 2035 je očekáván strmější nárůst prodejů elektromobilů, přičemž do roku 2040 se předpovídá následující počet vozidel a výše spotřeby elektrické energie:</w:t>
      </w:r>
    </w:p>
    <w:p>
      <w:pPr>
        <w:pStyle w:val="Style19"/>
        <w:keepNext w:val="0"/>
        <w:keepLines w:val="0"/>
        <w:widowControl w:val="0"/>
        <w:shd w:val="clear" w:color="auto" w:fill="auto"/>
        <w:bidi w:val="0"/>
        <w:spacing w:before="0" w:line="240" w:lineRule="auto"/>
        <w:ind w:left="1520" w:right="0" w:firstLine="0"/>
        <w:jc w:val="left"/>
      </w:pPr>
      <w:r>
        <w:rPr>
          <w:rStyle w:val="CharStyle20"/>
          <w:color w:val="006AB4"/>
          <w:sz w:val="22"/>
          <w:szCs w:val="22"/>
        </w:rPr>
        <w:t xml:space="preserve">^ </w:t>
      </w:r>
      <w:r>
        <w:rPr>
          <w:rStyle w:val="CharStyle20"/>
        </w:rPr>
        <w:t>BEV: 1,1 mil. vozů (spotřeba 3 594 GWh)</w:t>
      </w:r>
    </w:p>
    <w:p>
      <w:pPr>
        <w:pStyle w:val="Style19"/>
        <w:keepNext w:val="0"/>
        <w:keepLines w:val="0"/>
        <w:widowControl w:val="0"/>
        <w:shd w:val="clear" w:color="auto" w:fill="auto"/>
        <w:bidi w:val="0"/>
        <w:spacing w:before="0" w:line="240" w:lineRule="auto"/>
        <w:ind w:left="1520" w:right="0" w:firstLine="0"/>
        <w:jc w:val="left"/>
      </w:pPr>
      <w:r>
        <w:rPr>
          <w:rStyle w:val="CharStyle20"/>
          <w:color w:val="006AB4"/>
          <w:sz w:val="22"/>
          <w:szCs w:val="22"/>
        </w:rPr>
        <w:t xml:space="preserve">^ </w:t>
      </w:r>
      <w:r>
        <w:rPr>
          <w:rStyle w:val="CharStyle20"/>
        </w:rPr>
        <w:t>PHEV: 390 tis. vozů (spotřeba 244 GWh)</w:t>
      </w:r>
    </w:p>
    <w:p>
      <w:pPr>
        <w:pStyle w:val="Style19"/>
        <w:keepNext w:val="0"/>
        <w:keepLines w:val="0"/>
        <w:widowControl w:val="0"/>
        <w:shd w:val="clear" w:color="auto" w:fill="auto"/>
        <w:bidi w:val="0"/>
        <w:spacing w:before="0" w:line="240" w:lineRule="auto"/>
        <w:ind w:left="1520" w:right="0" w:firstLine="0"/>
        <w:jc w:val="left"/>
      </w:pPr>
      <w:r>
        <w:rPr>
          <w:rStyle w:val="CharStyle20"/>
          <w:color w:val="006AB4"/>
          <w:sz w:val="22"/>
          <w:szCs w:val="22"/>
        </w:rPr>
        <w:t xml:space="preserve">^ </w:t>
      </w:r>
      <w:r>
        <w:rPr>
          <w:rStyle w:val="CharStyle20"/>
        </w:rPr>
        <w:t>LUBEV: 83 tis. vozů (spotřeba 297 GWh)</w:t>
      </w:r>
    </w:p>
    <w:p>
      <w:pPr>
        <w:pStyle w:val="Style19"/>
        <w:keepNext w:val="0"/>
        <w:keepLines w:val="0"/>
        <w:widowControl w:val="0"/>
        <w:shd w:val="clear" w:color="auto" w:fill="auto"/>
        <w:bidi w:val="0"/>
        <w:spacing w:before="0" w:after="300" w:line="240" w:lineRule="auto"/>
        <w:ind w:left="1520" w:right="0" w:firstLine="0"/>
        <w:jc w:val="left"/>
      </w:pPr>
      <w:r>
        <w:rPr>
          <w:rStyle w:val="CharStyle20"/>
          <w:color w:val="006AB4"/>
          <w:sz w:val="22"/>
          <w:szCs w:val="22"/>
        </w:rPr>
        <w:t xml:space="preserve">^ </w:t>
      </w:r>
      <w:r>
        <w:rPr>
          <w:rStyle w:val="CharStyle20"/>
        </w:rPr>
        <w:t>LUPHEV: 42 tis. vozů (spotřeba 33 GWh)</w:t>
      </w:r>
    </w:p>
    <w:p>
      <w:pPr>
        <w:pStyle w:val="Style19"/>
        <w:keepNext w:val="0"/>
        <w:keepLines w:val="0"/>
        <w:widowControl w:val="0"/>
        <w:shd w:val="clear" w:color="auto" w:fill="auto"/>
        <w:bidi w:val="0"/>
        <w:spacing w:before="0" w:after="1300" w:line="300" w:lineRule="auto"/>
        <w:ind w:left="1520" w:right="0" w:firstLine="0"/>
        <w:jc w:val="left"/>
      </w:pPr>
      <w:r>
        <w:rPr>
          <w:rStyle w:val="CharStyle20"/>
        </w:rPr>
        <w:t>V součtu se tedy v roce 2040 očekává nárůst počtu elektromobilů na 1,6 milionu s celkovou spotřebou elektřiny 4,2 TWh.</w:t>
      </w:r>
    </w:p>
    <w:p>
      <w:pPr>
        <w:pStyle w:val="Style68"/>
        <w:keepNext w:val="0"/>
        <w:keepLines w:val="0"/>
        <w:widowControl w:val="0"/>
        <w:shd w:val="clear" w:color="auto" w:fill="auto"/>
        <w:tabs>
          <w:tab w:pos="3736" w:val="left"/>
          <w:tab w:pos="6357" w:val="left"/>
        </w:tabs>
        <w:bidi w:val="0"/>
        <w:spacing w:before="0" w:line="240" w:lineRule="auto"/>
        <w:ind w:left="1120" w:right="0" w:firstLine="0"/>
        <w:jc w:val="left"/>
      </w:pPr>
      <w:r>
        <w:rPr>
          <w:rStyle w:val="CharStyle69"/>
        </w:rPr>
        <w:t>I</w:t>
        <w:tab/>
        <w:t>I</w:t>
        <w:tab/>
        <w:t>I</w:t>
      </w:r>
    </w:p>
    <w:p>
      <w:pPr>
        <w:pStyle w:val="Style15"/>
        <w:keepNext/>
        <w:keepLines/>
        <w:widowControl w:val="0"/>
        <w:shd w:val="clear" w:color="auto" w:fill="auto"/>
        <w:bidi w:val="0"/>
        <w:spacing w:before="0" w:after="500" w:line="240" w:lineRule="auto"/>
        <w:ind w:left="0" w:right="0" w:hanging="1100"/>
        <w:jc w:val="left"/>
      </w:pPr>
      <w:bookmarkStart w:id="129" w:name="bookmark129"/>
      <w:r>
        <w:rPr>
          <w:rStyle w:val="CharStyle16"/>
          <w:b/>
          <w:bCs/>
        </w:rPr>
        <w:t>Obr. 5.9 Predikce vývoje elektromobility - Progresivní scénář</w:t>
      </w:r>
      <w:bookmarkEnd w:id="129"/>
    </w:p>
    <w:p>
      <w:pPr>
        <w:widowControl w:val="0"/>
        <w:jc w:val="right"/>
        <w:rPr>
          <w:sz w:val="2"/>
          <w:szCs w:val="2"/>
        </w:rPr>
      </w:pPr>
      <w:r>
        <w:drawing>
          <wp:inline>
            <wp:extent cx="5955665" cy="2212975"/>
            <wp:docPr id="193" name="Picutre 193"/>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47"/>
                    <a:stretch/>
                  </pic:blipFill>
                  <pic:spPr>
                    <a:xfrm>
                      <a:ext cx="5955665" cy="2212975"/>
                    </a:xfrm>
                    <a:prstGeom prst="rect"/>
                  </pic:spPr>
                </pic:pic>
              </a:graphicData>
            </a:graphic>
          </wp:inline>
        </w:drawing>
      </w:r>
    </w:p>
    <w:p>
      <w:pPr>
        <w:pStyle w:val="Style2"/>
        <w:keepNext w:val="0"/>
        <w:keepLines w:val="0"/>
        <w:widowControl w:val="0"/>
        <w:shd w:val="clear" w:color="auto" w:fill="auto"/>
        <w:tabs>
          <w:tab w:pos="3062" w:val="left"/>
          <w:tab w:pos="5184" w:val="left"/>
          <w:tab w:leader="hyphen" w:pos="5611" w:val="left"/>
        </w:tabs>
        <w:bidi w:val="0"/>
        <w:spacing w:before="0" w:after="60" w:line="240" w:lineRule="auto"/>
        <w:ind w:left="1018" w:right="0" w:firstLine="0"/>
        <w:jc w:val="left"/>
        <w:rPr>
          <w:sz w:val="16"/>
          <w:szCs w:val="16"/>
        </w:rPr>
      </w:pPr>
      <w:r>
        <w:rPr>
          <w:rStyle w:val="CharStyle3"/>
          <w:color w:val="FED851"/>
          <w:sz w:val="16"/>
          <w:szCs w:val="16"/>
        </w:rPr>
        <w:t xml:space="preserve">■ </w:t>
      </w:r>
      <w:r>
        <w:rPr>
          <w:rStyle w:val="CharStyle3"/>
          <w:color w:val="000000"/>
          <w:sz w:val="16"/>
          <w:szCs w:val="16"/>
        </w:rPr>
        <w:t>LUPHEV</w:t>
        <w:tab/>
      </w:r>
      <w:r>
        <w:rPr>
          <w:rStyle w:val="CharStyle3"/>
          <w:color w:val="ED6B5E"/>
          <w:sz w:val="16"/>
          <w:szCs w:val="16"/>
        </w:rPr>
        <w:t xml:space="preserve">■ </w:t>
      </w:r>
      <w:r>
        <w:rPr>
          <w:rStyle w:val="CharStyle3"/>
          <w:color w:val="000000"/>
          <w:sz w:val="16"/>
          <w:szCs w:val="16"/>
        </w:rPr>
        <w:t>PHEV</w:t>
        <w:tab/>
      </w:r>
      <w:r>
        <w:rPr>
          <w:rStyle w:val="CharStyle3"/>
          <w:color w:val="1BB8ED"/>
          <w:sz w:val="16"/>
          <w:szCs w:val="16"/>
        </w:rPr>
        <w:tab/>
        <w:t xml:space="preserve"> </w:t>
      </w:r>
      <w:r>
        <w:rPr>
          <w:rStyle w:val="CharStyle3"/>
          <w:color w:val="000000"/>
          <w:sz w:val="16"/>
          <w:szCs w:val="16"/>
        </w:rPr>
        <w:t>Spotřeba EM</w:t>
      </w:r>
    </w:p>
    <w:p>
      <w:pPr>
        <w:pStyle w:val="Style2"/>
        <w:keepNext w:val="0"/>
        <w:keepLines w:val="0"/>
        <w:widowControl w:val="0"/>
        <w:shd w:val="clear" w:color="auto" w:fill="auto"/>
        <w:tabs>
          <w:tab w:pos="3062" w:val="left"/>
        </w:tabs>
        <w:bidi w:val="0"/>
        <w:spacing w:before="0" w:after="0" w:line="240" w:lineRule="auto"/>
        <w:ind w:left="1018" w:right="0" w:firstLine="0"/>
        <w:jc w:val="left"/>
        <w:rPr>
          <w:sz w:val="16"/>
          <w:szCs w:val="16"/>
        </w:rPr>
      </w:pPr>
      <w:bookmarkStart w:id="131" w:name="bookmark131"/>
      <w:r>
        <w:rPr>
          <w:rStyle w:val="CharStyle3"/>
          <w:color w:val="B7B8B8"/>
          <w:sz w:val="16"/>
          <w:szCs w:val="16"/>
        </w:rPr>
        <w:t xml:space="preserve">■ </w:t>
      </w:r>
      <w:r>
        <w:rPr>
          <w:rStyle w:val="CharStyle3"/>
          <w:color w:val="000000"/>
          <w:sz w:val="16"/>
          <w:szCs w:val="16"/>
        </w:rPr>
        <w:t>LUBEV</w:t>
        <w:tab/>
      </w:r>
      <w:r>
        <w:rPr>
          <w:rStyle w:val="CharStyle3"/>
          <w:sz w:val="16"/>
          <w:szCs w:val="16"/>
        </w:rPr>
        <w:t xml:space="preserve">■ </w:t>
      </w:r>
      <w:r>
        <w:rPr>
          <w:rStyle w:val="CharStyle3"/>
          <w:color w:val="000000"/>
          <w:sz w:val="16"/>
          <w:szCs w:val="16"/>
        </w:rPr>
        <w:t>BEV</w:t>
      </w:r>
      <w:bookmarkEnd w:id="131"/>
      <w:r>
        <w:br w:type="page"/>
      </w:r>
    </w:p>
    <w:p>
      <w:pPr>
        <w:pStyle w:val="Style19"/>
        <w:keepNext w:val="0"/>
        <w:keepLines w:val="0"/>
        <w:widowControl w:val="0"/>
        <w:shd w:val="clear" w:color="auto" w:fill="auto"/>
        <w:bidi w:val="0"/>
        <w:spacing w:before="0" w:after="80"/>
        <w:ind w:left="0" w:right="0" w:firstLine="0"/>
        <w:jc w:val="left"/>
      </w:pPr>
      <w:r>
        <w:rPr>
          <w:rStyle w:val="CharStyle20"/>
        </w:rPr>
        <w:t xml:space="preserve">Počet </w:t>
      </w:r>
      <w:r>
        <w:rPr>
          <w:rStyle w:val="CharStyle20"/>
          <w:b/>
          <w:bCs/>
          <w:color w:val="006AB4"/>
        </w:rPr>
        <w:t xml:space="preserve">tepelných čerpadel </w:t>
      </w:r>
      <w:r>
        <w:rPr>
          <w:rStyle w:val="CharStyle20"/>
        </w:rPr>
        <w:t>se v Progresivním scénáři v roce 2040 predikuje na 1,3 milionů. Jejich spotřeba elektřiny se předpokládá v objemu 11,5 TWh, přičemž dodané teplo oproti spotřebě dosahuje téměř trojnásobného objemu energie, a sice 30 TWh.</w:t>
      </w:r>
    </w:p>
    <w:p>
      <w:pPr>
        <w:pStyle w:val="Style68"/>
        <w:keepNext w:val="0"/>
        <w:keepLines w:val="0"/>
        <w:widowControl w:val="0"/>
        <w:shd w:val="clear" w:color="auto" w:fill="auto"/>
        <w:tabs>
          <w:tab w:pos="4831" w:val="left"/>
        </w:tabs>
        <w:bidi w:val="0"/>
        <w:spacing w:before="0" w:line="240" w:lineRule="auto"/>
        <w:ind w:left="2220" w:right="0" w:firstLine="0"/>
        <w:jc w:val="left"/>
      </w:pPr>
      <w:r>
        <w:rPr>
          <w:rStyle w:val="CharStyle69"/>
        </w:rPr>
        <w:t>I</w:t>
        <w:tab/>
        <w:t>I</w:t>
      </w:r>
    </w:p>
    <w:p>
      <w:pPr>
        <w:pStyle w:val="Style15"/>
        <w:keepNext/>
        <w:keepLines/>
        <w:widowControl w:val="0"/>
        <w:shd w:val="clear" w:color="auto" w:fill="auto"/>
        <w:bidi w:val="0"/>
        <w:spacing w:before="0" w:after="440" w:line="302" w:lineRule="auto"/>
        <w:ind w:left="0" w:right="0" w:firstLine="0"/>
        <w:jc w:val="left"/>
      </w:pPr>
      <w:bookmarkStart w:id="132" w:name="bookmark132"/>
      <w:r>
        <w:rPr>
          <w:rStyle w:val="CharStyle16"/>
          <w:b/>
          <w:bCs/>
        </w:rPr>
        <w:t>Obr. 5.10 Predikce vývoje tepelných čerpadel - Progresivní scénář</w:t>
      </w:r>
      <w:bookmarkEnd w:id="132"/>
    </w:p>
    <w:p>
      <w:pPr>
        <w:widowControl w:val="0"/>
        <w:jc w:val="left"/>
        <w:rPr>
          <w:sz w:val="2"/>
          <w:szCs w:val="2"/>
        </w:rPr>
      </w:pPr>
      <w:r>
        <w:drawing>
          <wp:inline>
            <wp:extent cx="6187440" cy="2212975"/>
            <wp:docPr id="194" name="Picutre 194"/>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49"/>
                    <a:stretch/>
                  </pic:blipFill>
                  <pic:spPr>
                    <a:xfrm>
                      <a:ext cx="6187440" cy="2212975"/>
                    </a:xfrm>
                    <a:prstGeom prst="rect"/>
                  </pic:spPr>
                </pic:pic>
              </a:graphicData>
            </a:graphic>
          </wp:inline>
        </w:drawing>
      </w:r>
    </w:p>
    <w:p>
      <w:pPr>
        <w:pStyle w:val="Style2"/>
        <w:keepNext w:val="0"/>
        <w:keepLines w:val="0"/>
        <w:widowControl w:val="0"/>
        <w:shd w:val="clear" w:color="auto" w:fill="auto"/>
        <w:tabs>
          <w:tab w:pos="3634" w:val="left"/>
          <w:tab w:pos="6672" w:val="left"/>
        </w:tabs>
        <w:bidi w:val="0"/>
        <w:spacing w:before="0" w:after="40" w:line="240" w:lineRule="auto"/>
        <w:ind w:left="0" w:right="0" w:firstLine="0"/>
        <w:jc w:val="left"/>
        <w:rPr>
          <w:sz w:val="16"/>
          <w:szCs w:val="16"/>
        </w:rPr>
      </w:pPr>
      <w:r>
        <w:rPr>
          <w:rStyle w:val="CharStyle3"/>
          <w:color w:val="B7B8B8"/>
          <w:sz w:val="16"/>
          <w:szCs w:val="16"/>
        </w:rPr>
        <w:t xml:space="preserve">| </w:t>
      </w:r>
      <w:r>
        <w:rPr>
          <w:rStyle w:val="CharStyle3"/>
          <w:color w:val="000000"/>
          <w:sz w:val="16"/>
          <w:szCs w:val="16"/>
        </w:rPr>
        <w:t>Roční přírůstek počtu TČ</w:t>
        <w:tab/>
        <w:t>Dodané teplo TČ</w:t>
        <w:tab/>
        <w:t>Spotřeba TČ</w:t>
      </w:r>
    </w:p>
    <w:p>
      <w:pPr>
        <w:pStyle w:val="Style2"/>
        <w:keepNext w:val="0"/>
        <w:keepLines w:val="0"/>
        <w:widowControl w:val="0"/>
        <w:shd w:val="clear" w:color="auto" w:fill="auto"/>
        <w:tabs>
          <w:tab w:pos="3624" w:val="left"/>
        </w:tabs>
        <w:bidi w:val="0"/>
        <w:spacing w:before="0" w:after="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TČ v provozu</w:t>
        <w:tab/>
        <w:t>Využití energie prostředí</w:t>
      </w:r>
    </w:p>
    <w:p>
      <w:pPr>
        <w:widowControl w:val="0"/>
        <w:spacing w:after="299" w:line="1" w:lineRule="exact"/>
      </w:pPr>
    </w:p>
    <w:p>
      <w:pPr>
        <w:pStyle w:val="Style68"/>
        <w:keepNext w:val="0"/>
        <w:keepLines w:val="0"/>
        <w:widowControl w:val="0"/>
        <w:shd w:val="clear" w:color="auto" w:fill="auto"/>
        <w:tabs>
          <w:tab w:pos="4831" w:val="left"/>
          <w:tab w:pos="7452" w:val="left"/>
          <w:tab w:leader="underscore" w:pos="8604" w:val="left"/>
        </w:tabs>
        <w:bidi w:val="0"/>
        <w:spacing w:before="0" w:after="360" w:line="240" w:lineRule="auto"/>
        <w:ind w:left="2220" w:right="0" w:firstLine="0"/>
        <w:jc w:val="left"/>
      </w:pPr>
      <w:r>
        <w:rPr>
          <w:rStyle w:val="CharStyle69"/>
        </w:rPr>
        <w:t>I</w:t>
        <w:tab/>
        <w:t>I</w:t>
        <w:tab/>
        <w:t>I</w:t>
        <w:tab/>
      </w:r>
    </w:p>
    <w:p>
      <w:pPr>
        <w:pStyle w:val="Style19"/>
        <w:keepNext w:val="0"/>
        <w:keepLines w:val="0"/>
        <w:widowControl w:val="0"/>
        <w:shd w:val="clear" w:color="auto" w:fill="auto"/>
        <w:bidi w:val="0"/>
        <w:spacing w:before="0" w:after="80"/>
        <w:ind w:left="0" w:right="0" w:firstLine="0"/>
        <w:jc w:val="left"/>
      </w:pPr>
      <w:r>
        <w:rPr>
          <w:rStyle w:val="CharStyle20"/>
        </w:rPr>
        <w:t xml:space="preserve">Predikce vývoje počtu </w:t>
      </w:r>
      <w:r>
        <w:rPr>
          <w:rStyle w:val="CharStyle20"/>
          <w:b/>
          <w:bCs/>
          <w:color w:val="006AB4"/>
        </w:rPr>
        <w:t xml:space="preserve">prosumerů </w:t>
      </w:r>
      <w:r>
        <w:rPr>
          <w:rStyle w:val="CharStyle20"/>
        </w:rPr>
        <w:t>v Progresivním scénáři naznačuje jejich poměrně strmý růst po roce 2022 až na instalovaný výkon 5 030 MW v roce 2040. Z jejich celkové výroby 5 333 GWh pak dokážou 2 386 GWh uplatnit přímo v místě výroby a 2 948 GWh dodat do sítě.</w:t>
      </w:r>
    </w:p>
    <w:p>
      <w:pPr>
        <w:pStyle w:val="Style68"/>
        <w:keepNext w:val="0"/>
        <w:keepLines w:val="0"/>
        <w:widowControl w:val="0"/>
        <w:shd w:val="clear" w:color="auto" w:fill="auto"/>
        <w:tabs>
          <w:tab w:pos="4831" w:val="left"/>
          <w:tab w:pos="7452" w:val="left"/>
        </w:tabs>
        <w:bidi w:val="0"/>
        <w:spacing w:before="0" w:line="240" w:lineRule="auto"/>
        <w:ind w:left="2220" w:right="0" w:firstLine="0"/>
        <w:jc w:val="left"/>
      </w:pPr>
      <w:r>
        <w:rPr>
          <w:rStyle w:val="CharStyle69"/>
        </w:rPr>
        <w:t>I</w:t>
        <w:tab/>
        <w:t>I</w:t>
        <w:tab/>
        <w:t>I</w:t>
      </w:r>
    </w:p>
    <w:p>
      <w:pPr>
        <w:pStyle w:val="Style15"/>
        <w:keepNext/>
        <w:keepLines/>
        <w:widowControl w:val="0"/>
        <w:shd w:val="clear" w:color="auto" w:fill="auto"/>
        <w:bidi w:val="0"/>
        <w:spacing w:before="0" w:after="440" w:line="302" w:lineRule="auto"/>
        <w:ind w:left="0" w:right="0" w:firstLine="0"/>
        <w:jc w:val="left"/>
      </w:pPr>
      <w:bookmarkStart w:id="134" w:name="bookmark134"/>
      <w:r>
        <w:rPr>
          <w:rStyle w:val="CharStyle16"/>
          <w:b/>
          <w:bCs/>
        </w:rPr>
        <w:t>Obr. 5.11 Predikce vývoje prosumerů - Progresivní scénář</w:t>
      </w:r>
      <w:bookmarkEnd w:id="134"/>
    </w:p>
    <w:p>
      <w:pPr>
        <w:widowControl w:val="0"/>
        <w:jc w:val="left"/>
        <w:rPr>
          <w:sz w:val="2"/>
          <w:szCs w:val="2"/>
        </w:rPr>
      </w:pPr>
      <w:r>
        <w:drawing>
          <wp:inline>
            <wp:extent cx="6193790" cy="2212975"/>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51"/>
                    <a:stretch/>
                  </pic:blipFill>
                  <pic:spPr>
                    <a:xfrm>
                      <a:ext cx="6193790" cy="2212975"/>
                    </a:xfrm>
                    <a:prstGeom prst="rect"/>
                  </pic:spPr>
                </pic:pic>
              </a:graphicData>
            </a:graphic>
          </wp:inline>
        </w:drawing>
      </w:r>
    </w:p>
    <w:p>
      <w:pPr>
        <w:pStyle w:val="Style2"/>
        <w:keepNext w:val="0"/>
        <w:keepLines w:val="0"/>
        <w:widowControl w:val="0"/>
        <w:shd w:val="clear" w:color="auto" w:fill="auto"/>
        <w:tabs>
          <w:tab w:pos="3542" w:val="left"/>
          <w:tab w:pos="6211" w:val="left"/>
        </w:tabs>
        <w:bidi w:val="0"/>
        <w:spacing w:before="0" w:after="0" w:line="240" w:lineRule="auto"/>
        <w:ind w:left="1234" w:right="0" w:firstLine="0"/>
        <w:jc w:val="left"/>
        <w:rPr>
          <w:sz w:val="16"/>
          <w:szCs w:val="16"/>
        </w:rPr>
      </w:pPr>
      <w:r>
        <w:rPr>
          <w:rStyle w:val="CharStyle3"/>
          <w:color w:val="000000"/>
          <w:sz w:val="16"/>
          <w:szCs w:val="16"/>
        </w:rPr>
        <w:t>Dodávka do sítě</w:t>
        <w:tab/>
      </w:r>
      <w:r>
        <w:rPr>
          <w:rStyle w:val="CharStyle3"/>
          <w:color w:val="27A851"/>
          <w:sz w:val="16"/>
          <w:szCs w:val="16"/>
        </w:rPr>
        <w:t xml:space="preserve">| </w:t>
      </w:r>
      <w:r>
        <w:rPr>
          <w:rStyle w:val="CharStyle3"/>
          <w:color w:val="000000"/>
          <w:sz w:val="16"/>
          <w:szCs w:val="16"/>
        </w:rPr>
        <w:t>Spotřeba prosumerů</w:t>
        <w:tab/>
      </w:r>
      <w:r>
        <w:rPr>
          <w:rStyle w:val="CharStyle3"/>
          <w:color w:val="ED6B5E"/>
          <w:sz w:val="16"/>
          <w:szCs w:val="16"/>
          <w:vertAlign w:val="superscript"/>
        </w:rPr>
        <w:t>_ _</w:t>
      </w:r>
      <w:r>
        <w:rPr>
          <w:rStyle w:val="CharStyle3"/>
          <w:color w:val="ED6B5E"/>
          <w:sz w:val="16"/>
          <w:szCs w:val="16"/>
        </w:rPr>
        <w:t xml:space="preserve"> </w:t>
      </w:r>
      <w:r>
        <w:rPr>
          <w:rStyle w:val="CharStyle3"/>
          <w:color w:val="000000"/>
          <w:sz w:val="16"/>
          <w:szCs w:val="16"/>
        </w:rPr>
        <w:t>Celkem FVE do 1 MW</w:t>
      </w:r>
      <w:r>
        <w:br w:type="page"/>
      </w:r>
    </w:p>
    <w:p>
      <w:pPr>
        <w:pStyle w:val="Style15"/>
        <w:keepNext/>
        <w:keepLines/>
        <w:widowControl w:val="0"/>
        <w:numPr>
          <w:ilvl w:val="2"/>
          <w:numId w:val="27"/>
        </w:numPr>
        <w:shd w:val="clear" w:color="auto" w:fill="auto"/>
        <w:tabs>
          <w:tab w:pos="2147" w:val="left"/>
        </w:tabs>
        <w:bidi w:val="0"/>
        <w:spacing w:before="0" w:after="0" w:line="302" w:lineRule="auto"/>
        <w:ind w:left="1580" w:right="0" w:firstLine="0"/>
        <w:jc w:val="left"/>
      </w:pPr>
      <w:bookmarkStart w:id="136" w:name="bookmark136"/>
      <w:r>
        <w:rPr>
          <w:rStyle w:val="CharStyle16"/>
          <w:b/>
          <w:bCs/>
        </w:rPr>
        <w:t>DEKARBONIZAČNÍ SCÉNÁŘ SPOTŘEBY</w:t>
      </w:r>
      <w:bookmarkEnd w:id="136"/>
    </w:p>
    <w:p>
      <w:pPr>
        <w:pStyle w:val="Style19"/>
        <w:keepNext w:val="0"/>
        <w:keepLines w:val="0"/>
        <w:widowControl w:val="0"/>
        <w:shd w:val="clear" w:color="auto" w:fill="auto"/>
        <w:bidi w:val="0"/>
        <w:spacing w:before="0"/>
        <w:ind w:left="1580" w:right="0" w:firstLine="0"/>
        <w:jc w:val="left"/>
      </w:pPr>
      <w:r>
        <w:rPr>
          <w:rStyle w:val="CharStyle20"/>
        </w:rPr>
        <w:t>Dekarbonizační scénář spotřeby uvažuje ze všech scénářů nejprogresivnější předpoklad útlumu fosilních paliv a nejvyšší míru elektrifikace konečné spotřeby, což by mělo umožnit dekarbonizaci české ekonomiky k roku 2050. Predikce zohledňuje strategické cíle odsouhlasené členskými státy Evropské unie a nachází inspiraci hlavně ve scénářích německé studie Klimaneutrales Stromsystem, která předpokládá uspíšení elektrifikace v kontextu konfliktu na Ukrajině. Klíčovým východiskem je již přijatý koncept ČR pro zajištění čisté elektřiny z obnovitelných a jaderných zdrojů umožňující dosáhnout kromě klimatických závazků také naše další cíle: bezpečnost, soběstačnost a spolehlivost při zajištění dodávek elektřiny pro ČR za rozumné ceny a v dostatečné kvalitě.</w:t>
      </w:r>
    </w:p>
    <w:p>
      <w:pPr>
        <w:pStyle w:val="Style19"/>
        <w:keepNext w:val="0"/>
        <w:keepLines w:val="0"/>
        <w:widowControl w:val="0"/>
        <w:shd w:val="clear" w:color="auto" w:fill="auto"/>
        <w:bidi w:val="0"/>
        <w:spacing w:before="0"/>
        <w:ind w:left="1580" w:right="0" w:firstLine="0"/>
        <w:jc w:val="left"/>
      </w:pPr>
      <w:r>
        <w:rPr>
          <w:rStyle w:val="CharStyle20"/>
        </w:rPr>
        <w:t>Jednou z nezbytných součástí Dekarbonizačního scénáře spotřeby je také podpora veřejnosti předpokládající přijetí nového paradigmatu, kdy spotřeba elektřiny bude doprovázena poskytováním potřebné flexibility (především u spotřebitelů, ale i u výrobců). Pro spotřebitele to znamená podřízení se tomuto paradigmatu ve prospěch ochrany klimatu a dosažení klimaticky neutrální ekonomiky. Zvyšováním energetické efektivity spotřebičů a procesů by mělo docházet k nasměrování českých zákazníků k úspornějšímu chování, které bude alespoň částečně kompenzovat razantní zvýšení spotřeby elektřiny na elektrifikaci.</w:t>
      </w:r>
    </w:p>
    <w:p>
      <w:pPr>
        <w:pStyle w:val="Style19"/>
        <w:keepNext w:val="0"/>
        <w:keepLines w:val="0"/>
        <w:widowControl w:val="0"/>
        <w:shd w:val="clear" w:color="auto" w:fill="auto"/>
        <w:bidi w:val="0"/>
        <w:spacing w:before="0" w:line="300" w:lineRule="auto"/>
        <w:ind w:left="1580" w:right="0" w:firstLine="0"/>
        <w:jc w:val="left"/>
      </w:pPr>
      <w:r>
        <w:rPr>
          <w:rStyle w:val="CharStyle20"/>
        </w:rPr>
        <w:t>Předpoklad vysoké míry elektrifikace se v rámci predikce projevuje zvýšením konečné spotřeby elektřiny jakožto efektu zesílení sledovaných vlivů, tj. intenzivnějšího rozvoje elektromobility, TČ, prosumerů a zvýšení dodatečné elektrifikace odvětví ekonomiky oproti Progresivnímu scénáři.</w:t>
      </w:r>
    </w:p>
    <w:p>
      <w:pPr>
        <w:pStyle w:val="Style19"/>
        <w:keepNext w:val="0"/>
        <w:keepLines w:val="0"/>
        <w:widowControl w:val="0"/>
        <w:shd w:val="clear" w:color="auto" w:fill="auto"/>
        <w:bidi w:val="0"/>
        <w:spacing w:before="0"/>
        <w:ind w:left="1580" w:right="0" w:firstLine="0"/>
        <w:jc w:val="left"/>
      </w:pPr>
      <w:r>
        <w:rPr>
          <w:rStyle w:val="CharStyle20"/>
        </w:rPr>
        <w:t>Pro uskutečnění zelené transformace v takto rapidním tempu je zásadní aktivní role státu, příznivější ekonomický rozvoj ve srovnání s předchozími dvěma scénáři (a sice dlouhodobý růst HDP), nastavení motivačního legislativního prostředí, vyčlenění dostatečných finančních prostředků a jejich efektivní využití na uskutečnění těchto změn, dostupnější technologie a větší podpora veřejnosti.</w:t>
      </w:r>
    </w:p>
    <w:p>
      <w:pPr>
        <w:widowControl w:val="0"/>
        <w:spacing w:after="6234" w:line="1" w:lineRule="exact"/>
      </w:pPr>
      <w:r>
        <w:drawing>
          <wp:anchor distT="0" distB="0" distL="0" distR="0" simplePos="0" relativeHeight="62914734" behindDoc="1" locked="0" layoutInCell="1" allowOverlap="1">
            <wp:simplePos x="0" y="0"/>
            <wp:positionH relativeFrom="margin">
              <wp:posOffset>-419100</wp:posOffset>
            </wp:positionH>
            <wp:positionV relativeFrom="paragraph">
              <wp:posOffset>596900</wp:posOffset>
            </wp:positionV>
            <wp:extent cx="6449695" cy="3364865"/>
            <wp:wrapNone/>
            <wp:docPr id="196" name="Shape 196"/>
            <a:graphic xmlns:a="http://schemas.openxmlformats.org/drawingml/2006/main">
              <a:graphicData uri="http://schemas.openxmlformats.org/drawingml/2006/picture">
                <pic:pic xmlns:pic="http://schemas.openxmlformats.org/drawingml/2006/picture">
                  <pic:nvPicPr>
                    <pic:cNvPr id="197" name="Picture box 197"/>
                    <pic:cNvPicPr/>
                  </pic:nvPicPr>
                  <pic:blipFill>
                    <a:blip r:embed="rId153"/>
                    <a:stretch/>
                  </pic:blipFill>
                  <pic:spPr>
                    <a:xfrm>
                      <a:ext cx="6449695" cy="3364865"/>
                    </a:xfrm>
                    <a:prstGeom prst="rect"/>
                  </pic:spPr>
                </pic:pic>
              </a:graphicData>
            </a:graphic>
          </wp:anchor>
        </w:drawing>
      </w:r>
      <w:r>
        <w:drawing>
          <wp:anchor distT="0" distB="0" distL="0" distR="0" simplePos="0" relativeHeight="62914735" behindDoc="1" locked="0" layoutInCell="1" allowOverlap="1">
            <wp:simplePos x="0" y="0"/>
            <wp:positionH relativeFrom="margin">
              <wp:posOffset>6130925</wp:posOffset>
            </wp:positionH>
            <wp:positionV relativeFrom="paragraph">
              <wp:posOffset>822325</wp:posOffset>
            </wp:positionV>
            <wp:extent cx="237490" cy="1334770"/>
            <wp:wrapNone/>
            <wp:docPr id="198" name="Shape 198"/>
            <a:graphic xmlns:a="http://schemas.openxmlformats.org/drawingml/2006/main">
              <a:graphicData uri="http://schemas.openxmlformats.org/drawingml/2006/picture">
                <pic:pic xmlns:pic="http://schemas.openxmlformats.org/drawingml/2006/picture">
                  <pic:nvPicPr>
                    <pic:cNvPr id="199" name="Picture box 199"/>
                    <pic:cNvPicPr/>
                  </pic:nvPicPr>
                  <pic:blipFill>
                    <a:blip r:embed="rId155"/>
                    <a:stretch/>
                  </pic:blipFill>
                  <pic:spPr>
                    <a:xfrm>
                      <a:ext cx="237490" cy="1334770"/>
                    </a:xfrm>
                    <a:prstGeom prst="rect"/>
                  </pic:spPr>
                </pic:pic>
              </a:graphicData>
            </a:graphic>
          </wp:anchor>
        </w:drawing>
      </w:r>
      <w:r>
        <w:drawing>
          <wp:anchor distT="0" distB="0" distL="0" distR="0" simplePos="0" relativeHeight="62914736" behindDoc="1" locked="0" layoutInCell="1" allowOverlap="1">
            <wp:simplePos x="0" y="0"/>
            <wp:positionH relativeFrom="margin">
              <wp:posOffset>6130925</wp:posOffset>
            </wp:positionH>
            <wp:positionV relativeFrom="paragraph">
              <wp:posOffset>2160270</wp:posOffset>
            </wp:positionV>
            <wp:extent cx="237490" cy="1334770"/>
            <wp:wrapNone/>
            <wp:docPr id="200" name="Shape 200"/>
            <a:graphic xmlns:a="http://schemas.openxmlformats.org/drawingml/2006/main">
              <a:graphicData uri="http://schemas.openxmlformats.org/drawingml/2006/picture">
                <pic:pic xmlns:pic="http://schemas.openxmlformats.org/drawingml/2006/picture">
                  <pic:nvPicPr>
                    <pic:cNvPr id="201" name="Picture box 201"/>
                    <pic:cNvPicPr/>
                  </pic:nvPicPr>
                  <pic:blipFill>
                    <a:blip r:embed="rId157"/>
                    <a:stretch/>
                  </pic:blipFill>
                  <pic:spPr>
                    <a:xfrm>
                      <a:ext cx="237490" cy="1334770"/>
                    </a:xfrm>
                    <a:prstGeom prst="rect"/>
                  </pic:spPr>
                </pic:pic>
              </a:graphicData>
            </a:graphic>
          </wp:anchor>
        </w:drawing>
      </w:r>
    </w:p>
    <w:p>
      <w:pPr>
        <w:pStyle w:val="Style19"/>
        <w:keepNext w:val="0"/>
        <w:keepLines w:val="0"/>
        <w:widowControl w:val="0"/>
        <w:shd w:val="clear" w:color="auto" w:fill="auto"/>
        <w:bidi w:val="0"/>
        <w:spacing w:before="0" w:after="0"/>
        <w:ind w:left="0" w:right="0" w:firstLine="0"/>
        <w:jc w:val="left"/>
      </w:pPr>
      <w:r>
        <w:rPr>
          <w:rStyle w:val="CharStyle20"/>
        </w:rPr>
        <w:t>Ze všech scénářů roste spotřeba elektrické energie v Dekarbonizačním scénáři nejrychleji, což je dáno předpokladem urychlené dekarbonizace, kterou umožní především rozsáhlá elektrifikace konečné spotřeby. Pro rok 2023 se uvažuje základní tuzemská netto spotřeba ČR na úrovni necelých 62 TWh, přičemž na konci sledovaného horizontu dosahuje spotřeba 81 TWh pro základní TNS. Po započtení všech vlivů (elektromobilita, tepelná čerpadla, prosumeři) a ztrát v sítích predikovaný spotřebovaný objem elektřiny v roce 2040 stoupá až na 112 TWh. Vzhledem k těžko odhadnutelným efektům na energetické úspory v budovách a dopravě, které budou záležet nejen na ceně elektřiny a ostatních paliv, ale také na efektivní podpoře státu, jsou tyto úspory brány jako potenciální zdroj elektřiny vznikající na straně spotřeby.</w:t>
      </w:r>
    </w:p>
    <w:p>
      <w:pPr>
        <w:pStyle w:val="Style19"/>
        <w:keepNext w:val="0"/>
        <w:keepLines w:val="0"/>
        <w:widowControl w:val="0"/>
        <w:shd w:val="clear" w:color="auto" w:fill="auto"/>
        <w:bidi w:val="0"/>
        <w:spacing w:before="0" w:after="80"/>
        <w:ind w:left="0" w:right="0" w:firstLine="0"/>
        <w:jc w:val="left"/>
      </w:pPr>
      <w:r>
        <w:rPr>
          <w:rStyle w:val="CharStyle20"/>
          <w:b/>
          <w:bCs/>
        </w:rPr>
        <w:t>S ohledem na charakter návazných opatření budeme velikost a možnosti těchto energetických úspor kvantifikovat v MAF CZ 2023.</w:t>
      </w:r>
    </w:p>
    <w:p>
      <w:pPr>
        <w:pStyle w:val="Style68"/>
        <w:keepNext w:val="0"/>
        <w:keepLines w:val="0"/>
        <w:widowControl w:val="0"/>
        <w:shd w:val="clear" w:color="auto" w:fill="auto"/>
        <w:tabs>
          <w:tab w:pos="4871" w:val="left"/>
        </w:tabs>
        <w:bidi w:val="0"/>
        <w:spacing w:before="0" w:line="240" w:lineRule="auto"/>
        <w:ind w:left="2260" w:right="0" w:firstLine="0"/>
        <w:jc w:val="left"/>
      </w:pPr>
      <w:r>
        <w:rPr>
          <w:rStyle w:val="CharStyle69"/>
        </w:rPr>
        <w:t>I</w:t>
        <w:tab/>
        <w:t>I</w:t>
      </w:r>
    </w:p>
    <w:p>
      <w:pPr>
        <w:pStyle w:val="Style15"/>
        <w:keepNext/>
        <w:keepLines/>
        <w:widowControl w:val="0"/>
        <w:shd w:val="clear" w:color="auto" w:fill="auto"/>
        <w:bidi w:val="0"/>
        <w:spacing w:before="0" w:after="440" w:line="302" w:lineRule="auto"/>
        <w:ind w:left="0" w:right="0" w:firstLine="0"/>
        <w:jc w:val="left"/>
      </w:pPr>
      <w:bookmarkStart w:id="140" w:name="bookmark140"/>
      <w:r>
        <w:rPr>
          <w:rStyle w:val="CharStyle16"/>
          <w:b/>
          <w:bCs/>
        </w:rPr>
        <w:t>Obr. 5.13 Vývoj meziroční změny tempa růstu HDP, TNS a vývoj EEN - Dekarbonizační scénář</w:t>
      </w:r>
      <w:bookmarkEnd w:id="140"/>
    </w:p>
    <w:p>
      <w:pPr>
        <w:widowControl w:val="0"/>
        <w:jc w:val="center"/>
        <w:rPr>
          <w:sz w:val="2"/>
          <w:szCs w:val="2"/>
        </w:rPr>
      </w:pPr>
      <w:r>
        <w:drawing>
          <wp:inline>
            <wp:extent cx="5498465" cy="1816735"/>
            <wp:docPr id="202" name="Picutre 202"/>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59"/>
                    <a:stretch/>
                  </pic:blipFill>
                  <pic:spPr>
                    <a:xfrm>
                      <a:ext cx="5498465" cy="1816735"/>
                    </a:xfrm>
                    <a:prstGeom prst="rect"/>
                  </pic:spPr>
                </pic:pic>
              </a:graphicData>
            </a:graphic>
          </wp:inline>
        </w:drawing>
      </w:r>
    </w:p>
    <w:p>
      <w:pPr>
        <w:pStyle w:val="Style2"/>
        <w:keepNext w:val="0"/>
        <w:keepLines w:val="0"/>
        <w:widowControl w:val="0"/>
        <w:shd w:val="clear" w:color="auto" w:fill="auto"/>
        <w:tabs>
          <w:tab w:pos="8520" w:val="left"/>
        </w:tabs>
        <w:bidi w:val="0"/>
        <w:spacing w:before="0" w:after="60" w:line="240" w:lineRule="auto"/>
        <w:ind w:left="0" w:right="0" w:firstLine="0"/>
        <w:jc w:val="left"/>
        <w:rPr>
          <w:sz w:val="12"/>
          <w:szCs w:val="12"/>
        </w:rPr>
      </w:pPr>
      <w:r>
        <w:rPr>
          <w:rStyle w:val="CharStyle3"/>
          <w:b/>
          <w:bCs/>
          <w:sz w:val="12"/>
          <w:szCs w:val="12"/>
        </w:rPr>
        <w:t>-8</w:t>
        <w:tab/>
        <w:t>0</w:t>
      </w:r>
    </w:p>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1996 1998 2000 2002 2004 2006 2008 2010 2012 2014 2016 2018 2020 2022 2024 2026 2028 2030 2032 2034 2036 2038 2040</w:t>
      </w:r>
    </w:p>
    <w:p>
      <w:pPr>
        <w:widowControl w:val="0"/>
        <w:spacing w:after="299" w:line="1" w:lineRule="exact"/>
      </w:pPr>
    </w:p>
    <w:p>
      <w:pPr>
        <w:pStyle w:val="Style75"/>
        <w:keepNext w:val="0"/>
        <w:keepLines w:val="0"/>
        <w:widowControl w:val="0"/>
        <w:shd w:val="clear" w:color="auto" w:fill="auto"/>
        <w:tabs>
          <w:tab w:pos="3915" w:val="left"/>
          <w:tab w:pos="7482" w:val="left"/>
        </w:tabs>
        <w:bidi w:val="0"/>
        <w:spacing w:before="0" w:after="80" w:line="240" w:lineRule="auto"/>
        <w:ind w:left="1520" w:right="0" w:firstLine="0"/>
        <w:jc w:val="left"/>
      </w:pPr>
      <w:r>
        <w:rPr>
          <w:rStyle w:val="CharStyle76"/>
        </w:rPr>
        <w:t>Tempo růstu HDP</w:t>
        <w:tab/>
      </w:r>
      <w:r>
        <w:rPr>
          <w:rStyle w:val="CharStyle76"/>
          <w:color w:val="FED851"/>
        </w:rPr>
        <w:t xml:space="preserve">— — </w:t>
      </w:r>
      <w:r>
        <w:rPr>
          <w:rStyle w:val="CharStyle76"/>
        </w:rPr>
        <w:t>Tempo růstu TNS bez vlivů</w:t>
        <w:tab/>
        <w:t>Tempo růstu TNS s vlivy</w:t>
      </w:r>
    </w:p>
    <w:p>
      <w:pPr>
        <w:pStyle w:val="Style75"/>
        <w:keepNext w:val="0"/>
        <w:keepLines w:val="0"/>
        <w:widowControl w:val="0"/>
        <w:shd w:val="clear" w:color="auto" w:fill="auto"/>
        <w:tabs>
          <w:tab w:pos="4511" w:val="left"/>
        </w:tabs>
        <w:bidi w:val="0"/>
        <w:spacing w:before="0" w:after="300" w:line="240" w:lineRule="auto"/>
        <w:ind w:left="0" w:right="0" w:firstLine="940"/>
        <w:jc w:val="left"/>
      </w:pPr>
      <w:r>
        <w:rPr>
          <w:rStyle w:val="CharStyle76"/>
          <w:color w:val="006AB4"/>
        </w:rPr>
        <w:t xml:space="preserve">— — </w:t>
      </w:r>
      <w:r>
        <w:rPr>
          <w:rStyle w:val="CharStyle76"/>
        </w:rPr>
        <w:t>EEN bez vlivů</w:t>
        <w:tab/>
        <w:t>EEN s vlivy</w:t>
      </w:r>
    </w:p>
    <w:p>
      <w:pPr>
        <w:pStyle w:val="Style68"/>
        <w:keepNext w:val="0"/>
        <w:keepLines w:val="0"/>
        <w:widowControl w:val="0"/>
        <w:shd w:val="clear" w:color="auto" w:fill="auto"/>
        <w:tabs>
          <w:tab w:pos="4871" w:val="left"/>
        </w:tabs>
        <w:bidi w:val="0"/>
        <w:spacing w:before="0" w:after="360" w:line="240" w:lineRule="auto"/>
        <w:ind w:left="2260" w:right="0" w:firstLine="0"/>
        <w:jc w:val="left"/>
      </w:pPr>
      <w:r>
        <w:rPr>
          <w:rStyle w:val="CharStyle69"/>
        </w:rPr>
        <w:t>I</w:t>
        <w:tab/>
        <w:t>I</w:t>
      </w:r>
    </w:p>
    <w:p>
      <w:pPr>
        <w:pStyle w:val="Style19"/>
        <w:keepNext w:val="0"/>
        <w:keepLines w:val="0"/>
        <w:widowControl w:val="0"/>
        <w:shd w:val="clear" w:color="auto" w:fill="auto"/>
        <w:bidi w:val="0"/>
        <w:spacing w:before="0"/>
        <w:ind w:left="0" w:right="0" w:firstLine="0"/>
        <w:jc w:val="left"/>
      </w:pPr>
      <w:r>
        <w:rPr>
          <w:rStyle w:val="CharStyle20"/>
        </w:rPr>
        <w:t>Ve srovnání s Respondentním/Konzervativním a Progresivním scénářem předpokládá Dekarbonizační predikce velmi optimistický ekonomický vývoj s největším nárůstem HDP v letech 2022-2025. Svého maxima dosáhne tempo růstu HDP v roce 2024 (3,5 %), kdy by mělo dojít k obnově po pandemii COVID-19 a energetické krizi spojené s ruskou invazí na Ukrajině. Po roce 2024 tempo růstu postupně zpomalí až na hodnotu na 1,98 % na konci predikovaného období. Tempo růstu TNS razantní tempo růstu HDP nekopíruje, což znamená, že dochází ke snižování elektroenergetické náročnosti.</w:t>
      </w:r>
    </w:p>
    <w:p>
      <w:pPr>
        <w:pStyle w:val="Style19"/>
        <w:keepNext w:val="0"/>
        <w:keepLines w:val="0"/>
        <w:widowControl w:val="0"/>
        <w:shd w:val="clear" w:color="auto" w:fill="auto"/>
        <w:bidi w:val="0"/>
        <w:spacing w:before="0" w:after="280"/>
        <w:ind w:left="0" w:right="0" w:firstLine="0"/>
        <w:jc w:val="left"/>
      </w:pPr>
      <w:r>
        <w:rPr>
          <w:rStyle w:val="CharStyle20"/>
        </w:rPr>
        <w:t xml:space="preserve">Stejně jako v případě předcházejících scénářů vychází Dekarbonizační predikce </w:t>
      </w:r>
      <w:r>
        <w:rPr>
          <w:rStyle w:val="CharStyle20"/>
          <w:b/>
          <w:bCs/>
          <w:color w:val="006AB4"/>
        </w:rPr>
        <w:t xml:space="preserve">elektromobility </w:t>
      </w:r>
      <w:r>
        <w:rPr>
          <w:rStyle w:val="CharStyle20"/>
        </w:rPr>
        <w:t>z dat od Svazu dovozců automobilů a taktéž se zaměřuje na bateriové a hybridní vozy v segmentech osobních aut a užitkových vozů. Vývoj počtu elektromobilů reflektuje německou studii Klimaneutrales Deutschland 2045 a uvažuje také Nařízení EK na zákaz prodeje nových vozů se spalovacími motory od roku 2035. Dle predikce počet elektromobilů v roce 2030 vzroste ze současných 23 tisíc na 1 milion, v cílovém roce 2040 však již bude český vozový park čítat skoro 3 miliony elektroaut:</w:t>
      </w:r>
    </w:p>
    <w:p>
      <w:pPr>
        <w:pStyle w:val="Style19"/>
        <w:keepNext w:val="0"/>
        <w:keepLines w:val="0"/>
        <w:widowControl w:val="0"/>
        <w:shd w:val="clear" w:color="auto" w:fill="auto"/>
        <w:bidi w:val="0"/>
        <w:spacing w:before="0" w:line="240" w:lineRule="auto"/>
        <w:ind w:left="2620" w:right="0" w:firstLine="0"/>
        <w:jc w:val="left"/>
      </w:pPr>
      <w:r>
        <w:rPr>
          <w:rStyle w:val="CharStyle20"/>
          <w:color w:val="006AB4"/>
          <w:sz w:val="22"/>
          <w:szCs w:val="22"/>
        </w:rPr>
        <w:t xml:space="preserve">^ </w:t>
      </w:r>
      <w:r>
        <w:rPr>
          <w:rStyle w:val="CharStyle20"/>
        </w:rPr>
        <w:t>BEV: 2,3 mil. vozů (spotřeba 7 599 GWh)</w:t>
      </w:r>
    </w:p>
    <w:p>
      <w:pPr>
        <w:pStyle w:val="Style19"/>
        <w:keepNext w:val="0"/>
        <w:keepLines w:val="0"/>
        <w:widowControl w:val="0"/>
        <w:shd w:val="clear" w:color="auto" w:fill="auto"/>
        <w:bidi w:val="0"/>
        <w:spacing w:before="0" w:after="280" w:line="240" w:lineRule="auto"/>
        <w:ind w:left="2620" w:right="0" w:firstLine="0"/>
        <w:jc w:val="left"/>
      </w:pPr>
      <w:r>
        <w:rPr>
          <w:rStyle w:val="CharStyle20"/>
          <w:color w:val="006AB4"/>
          <w:sz w:val="22"/>
          <w:szCs w:val="22"/>
        </w:rPr>
        <w:t xml:space="preserve">^ </w:t>
      </w:r>
      <w:r>
        <w:rPr>
          <w:rStyle w:val="CharStyle20"/>
        </w:rPr>
        <w:t>PHEV: 337 tis. vozů (spotřeba 211 GWh)</w:t>
      </w:r>
    </w:p>
    <w:p>
      <w:pPr>
        <w:pStyle w:val="Style19"/>
        <w:keepNext w:val="0"/>
        <w:keepLines w:val="0"/>
        <w:widowControl w:val="0"/>
        <w:shd w:val="clear" w:color="auto" w:fill="auto"/>
        <w:bidi w:val="0"/>
        <w:spacing w:before="0" w:after="280" w:line="240" w:lineRule="auto"/>
        <w:ind w:left="2620" w:right="0" w:firstLine="0"/>
        <w:jc w:val="left"/>
      </w:pPr>
      <w:r>
        <w:rPr>
          <w:rStyle w:val="CharStyle20"/>
          <w:color w:val="006AB4"/>
          <w:sz w:val="22"/>
          <w:szCs w:val="22"/>
        </w:rPr>
        <w:t xml:space="preserve">^ </w:t>
      </w:r>
      <w:r>
        <w:rPr>
          <w:rStyle w:val="CharStyle20"/>
        </w:rPr>
        <w:t>LUBEV: 241 tis. vozů (spotřeba 864 GWh)</w:t>
      </w:r>
    </w:p>
    <w:p>
      <w:pPr>
        <w:pStyle w:val="Style19"/>
        <w:keepNext w:val="0"/>
        <w:keepLines w:val="0"/>
        <w:widowControl w:val="0"/>
        <w:shd w:val="clear" w:color="auto" w:fill="auto"/>
        <w:bidi w:val="0"/>
        <w:spacing w:before="0" w:after="620"/>
        <w:ind w:left="2620" w:right="0" w:firstLine="0"/>
        <w:jc w:val="left"/>
      </w:pPr>
      <w:r>
        <w:rPr>
          <w:rStyle w:val="CharStyle20"/>
        </w:rPr>
        <w:t>Vzhledem k Respondentnímu/Konzervativnímu a Progresivnímu scénáři struktura predikovaných prodejů výrazně preferuje čistě bateriové vozy oproti hybridním po vzoru německých predikcí, takže kategorie LUPHEV je v rámci Dekarbonizační predikce téměř zanedbatelná.</w:t>
      </w:r>
    </w:p>
    <w:p>
      <w:pPr>
        <w:pStyle w:val="Style68"/>
        <w:keepNext w:val="0"/>
        <w:keepLines w:val="0"/>
        <w:widowControl w:val="0"/>
        <w:shd w:val="clear" w:color="auto" w:fill="auto"/>
        <w:tabs>
          <w:tab w:pos="7476" w:val="left"/>
        </w:tabs>
        <w:bidi w:val="0"/>
        <w:spacing w:before="0" w:line="240" w:lineRule="auto"/>
        <w:ind w:left="4860" w:right="0" w:firstLine="0"/>
        <w:jc w:val="left"/>
      </w:pPr>
      <w:r>
        <w:rPr>
          <w:rStyle w:val="CharStyle69"/>
        </w:rPr>
        <w:t>I</w:t>
        <w:tab/>
        <w:t>I</w:t>
      </w:r>
    </w:p>
    <w:p>
      <w:pPr>
        <w:pStyle w:val="Style15"/>
        <w:keepNext/>
        <w:keepLines/>
        <w:widowControl w:val="0"/>
        <w:shd w:val="clear" w:color="auto" w:fill="auto"/>
        <w:bidi w:val="0"/>
        <w:spacing w:before="0" w:after="480" w:line="240" w:lineRule="auto"/>
        <w:ind w:left="0" w:right="0" w:firstLine="0"/>
        <w:jc w:val="left"/>
      </w:pPr>
      <w:bookmarkStart w:id="142" w:name="bookmark142"/>
      <w:r>
        <w:rPr>
          <w:rStyle w:val="CharStyle16"/>
          <w:b/>
          <w:bCs/>
        </w:rPr>
        <w:t>Obr. 5.14 Predikce vývoje elektromobility - Dekarbonizační scénář</w:t>
      </w:r>
      <w:bookmarkEnd w:id="142"/>
    </w:p>
    <w:p>
      <w:pPr>
        <w:pStyle w:val="Style2"/>
        <w:keepNext w:val="0"/>
        <w:keepLines w:val="0"/>
        <w:widowControl w:val="0"/>
        <w:shd w:val="clear" w:color="auto" w:fill="auto"/>
        <w:tabs>
          <w:tab w:pos="9038" w:val="left"/>
        </w:tabs>
        <w:bidi w:val="0"/>
        <w:spacing w:before="0" w:after="0" w:line="240" w:lineRule="auto"/>
        <w:ind w:left="302" w:right="0" w:firstLine="0"/>
        <w:jc w:val="left"/>
        <w:rPr>
          <w:sz w:val="12"/>
          <w:szCs w:val="12"/>
        </w:rPr>
      </w:pPr>
      <w:r>
        <w:rPr>
          <w:rStyle w:val="CharStyle3"/>
          <w:b/>
          <w:bCs/>
          <w:sz w:val="12"/>
          <w:szCs w:val="12"/>
        </w:rPr>
        <w:t>3 500 000</w:t>
        <w:tab/>
        <w:t>10 000</w:t>
      </w:r>
    </w:p>
    <w:p>
      <w:pPr>
        <w:widowControl w:val="0"/>
        <w:jc w:val="center"/>
        <w:rPr>
          <w:sz w:val="2"/>
          <w:szCs w:val="2"/>
        </w:rPr>
      </w:pPr>
      <w:r>
        <w:drawing>
          <wp:inline>
            <wp:extent cx="6181090" cy="2011680"/>
            <wp:docPr id="203" name="Picutre 203"/>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61"/>
                    <a:stretch/>
                  </pic:blipFill>
                  <pic:spPr>
                    <a:xfrm>
                      <a:ext cx="6181090" cy="2011680"/>
                    </a:xfrm>
                    <a:prstGeom prst="rect"/>
                  </pic:spPr>
                </pic:pic>
              </a:graphicData>
            </a:graphic>
          </wp:inline>
        </w:drawing>
      </w:r>
    </w:p>
    <w:p>
      <w:pPr>
        <w:pStyle w:val="Style2"/>
        <w:keepNext w:val="0"/>
        <w:keepLines w:val="0"/>
        <w:widowControl w:val="0"/>
        <w:shd w:val="clear" w:color="auto" w:fill="auto"/>
        <w:tabs>
          <w:tab w:pos="3058" w:val="left"/>
          <w:tab w:pos="5170" w:val="left"/>
        </w:tabs>
        <w:bidi w:val="0"/>
        <w:spacing w:before="0" w:after="60" w:line="240" w:lineRule="auto"/>
        <w:ind w:left="1008" w:right="0" w:firstLine="0"/>
        <w:jc w:val="left"/>
        <w:rPr>
          <w:sz w:val="16"/>
          <w:szCs w:val="16"/>
        </w:rPr>
      </w:pPr>
      <w:r>
        <w:rPr>
          <w:rStyle w:val="CharStyle3"/>
          <w:color w:val="FED851"/>
          <w:sz w:val="16"/>
          <w:szCs w:val="16"/>
        </w:rPr>
        <w:t xml:space="preserve">■ </w:t>
      </w:r>
      <w:r>
        <w:rPr>
          <w:rStyle w:val="CharStyle3"/>
          <w:color w:val="000000"/>
          <w:sz w:val="16"/>
          <w:szCs w:val="16"/>
        </w:rPr>
        <w:t>LUPHEV</w:t>
        <w:tab/>
      </w:r>
      <w:r>
        <w:rPr>
          <w:rStyle w:val="CharStyle3"/>
          <w:color w:val="ED6B5E"/>
          <w:sz w:val="16"/>
          <w:szCs w:val="16"/>
        </w:rPr>
        <w:t xml:space="preserve">■ </w:t>
      </w:r>
      <w:r>
        <w:rPr>
          <w:rStyle w:val="CharStyle3"/>
          <w:color w:val="000000"/>
          <w:sz w:val="16"/>
          <w:szCs w:val="16"/>
        </w:rPr>
        <w:t>PHEV</w:t>
        <w:tab/>
      </w:r>
      <w:r>
        <w:rPr>
          <w:rStyle w:val="CharStyle3"/>
          <w:color w:val="1BB8ED"/>
          <w:sz w:val="16"/>
          <w:szCs w:val="16"/>
        </w:rPr>
        <w:t xml:space="preserve">— </w:t>
      </w:r>
      <w:r>
        <w:rPr>
          <w:rStyle w:val="CharStyle3"/>
          <w:color w:val="000000"/>
          <w:sz w:val="16"/>
          <w:szCs w:val="16"/>
        </w:rPr>
        <w:t>Spotřeba EM</w:t>
      </w:r>
    </w:p>
    <w:p>
      <w:pPr>
        <w:pStyle w:val="Style2"/>
        <w:keepNext w:val="0"/>
        <w:keepLines w:val="0"/>
        <w:widowControl w:val="0"/>
        <w:shd w:val="clear" w:color="auto" w:fill="auto"/>
        <w:tabs>
          <w:tab w:pos="3058" w:val="left"/>
        </w:tabs>
        <w:bidi w:val="0"/>
        <w:spacing w:before="0" w:after="0" w:line="240" w:lineRule="auto"/>
        <w:ind w:left="1008" w:right="0" w:firstLine="0"/>
        <w:jc w:val="left"/>
        <w:rPr>
          <w:sz w:val="16"/>
          <w:szCs w:val="16"/>
        </w:rPr>
      </w:pPr>
      <w:r>
        <w:rPr>
          <w:rStyle w:val="CharStyle3"/>
          <w:color w:val="B7B8B8"/>
          <w:sz w:val="16"/>
          <w:szCs w:val="16"/>
        </w:rPr>
        <w:t xml:space="preserve">■ </w:t>
      </w:r>
      <w:r>
        <w:rPr>
          <w:rStyle w:val="CharStyle3"/>
          <w:color w:val="000000"/>
          <w:sz w:val="16"/>
          <w:szCs w:val="16"/>
        </w:rPr>
        <w:t>LUBEV</w:t>
        <w:tab/>
      </w:r>
      <w:r>
        <w:rPr>
          <w:rStyle w:val="CharStyle3"/>
          <w:sz w:val="16"/>
          <w:szCs w:val="16"/>
        </w:rPr>
        <w:t xml:space="preserve">■ </w:t>
      </w:r>
      <w:r>
        <w:rPr>
          <w:rStyle w:val="CharStyle3"/>
          <w:color w:val="000000"/>
          <w:sz w:val="16"/>
          <w:szCs w:val="16"/>
        </w:rPr>
        <w:t>BEV</w:t>
      </w:r>
    </w:p>
    <w:p>
      <w:pPr>
        <w:widowControl w:val="0"/>
        <w:spacing w:after="279" w:line="1" w:lineRule="exact"/>
      </w:pPr>
    </w:p>
    <w:p>
      <w:pPr>
        <w:pStyle w:val="Style68"/>
        <w:keepNext w:val="0"/>
        <w:keepLines w:val="0"/>
        <w:widowControl w:val="0"/>
        <w:shd w:val="clear" w:color="auto" w:fill="auto"/>
        <w:tabs>
          <w:tab w:pos="7476" w:val="left"/>
        </w:tabs>
        <w:bidi w:val="0"/>
        <w:spacing w:before="0" w:after="360" w:line="240" w:lineRule="auto"/>
        <w:ind w:left="4860" w:right="0" w:firstLine="0"/>
        <w:jc w:val="left"/>
      </w:pPr>
      <w:r>
        <w:rPr>
          <w:rStyle w:val="CharStyle69"/>
        </w:rPr>
        <w:t>I</w:t>
        <w:tab/>
        <w:t>I</w:t>
      </w:r>
    </w:p>
    <w:p>
      <w:pPr>
        <w:pStyle w:val="Style19"/>
        <w:keepNext w:val="0"/>
        <w:keepLines w:val="0"/>
        <w:widowControl w:val="0"/>
        <w:shd w:val="clear" w:color="auto" w:fill="auto"/>
        <w:bidi w:val="0"/>
        <w:spacing w:before="0" w:after="280"/>
        <w:ind w:left="2620" w:right="0" w:firstLine="0"/>
        <w:jc w:val="left"/>
      </w:pPr>
      <w:bookmarkStart w:id="144" w:name="bookmark144"/>
      <w:r>
        <w:rPr>
          <w:rStyle w:val="CharStyle20"/>
        </w:rPr>
        <w:t xml:space="preserve">V rámci predikce vývoje </w:t>
      </w:r>
      <w:r>
        <w:rPr>
          <w:rStyle w:val="CharStyle20"/>
          <w:b/>
          <w:bCs/>
          <w:color w:val="006AB4"/>
        </w:rPr>
        <w:t xml:space="preserve">tepelných čerpadel </w:t>
      </w:r>
      <w:r>
        <w:rPr>
          <w:rStyle w:val="CharStyle20"/>
        </w:rPr>
        <w:t>se předpokládá, že TČ jsou v českých klimatických podmínkách vysoce racionální, perspektivní a čistý domácí zdroj tepla. Východiska modelu opět nacházejí inspiraci v Klimaneutrales Deutschland, a to hlavně stran predikce vývoje počtu TČ, přičemž respektují roční potenciál počtu nových instalací v ČR. V případě, že by vláda ČR učinila rázné kroky směrem k rozsáhlejší instalaci v ČR, bylo by dle predikce možné mít v roce 2040 v provozu 1,6 milionu TČ. Jejich spotřeba elektřiny se předpokládá v objemu 12,9 TWh, přičemž dodané teplo dosahuje 33 TWh.</w:t>
      </w:r>
      <w:bookmarkEnd w:id="144"/>
      <w:r>
        <w:br w:type="page"/>
      </w:r>
    </w:p>
    <w:p>
      <w:pPr>
        <w:pStyle w:val="Style15"/>
        <w:keepNext/>
        <w:keepLines/>
        <w:widowControl w:val="0"/>
        <w:shd w:val="clear" w:color="auto" w:fill="auto"/>
        <w:bidi w:val="0"/>
        <w:spacing w:before="0" w:after="500" w:line="240" w:lineRule="auto"/>
        <w:ind w:left="0" w:right="0" w:firstLine="0"/>
        <w:jc w:val="left"/>
      </w:pPr>
      <w:bookmarkStart w:id="145" w:name="bookmark145"/>
      <w:r>
        <w:rPr>
          <w:rStyle w:val="CharStyle16"/>
          <w:b/>
          <w:bCs/>
        </w:rPr>
        <w:t>Obr. 5.15 Predikce vývoje tepelných čerpadel - Dekarbonizační scénář</w:t>
      </w:r>
      <w:bookmarkEnd w:id="145"/>
    </w:p>
    <w:p>
      <w:pPr>
        <w:widowControl w:val="0"/>
        <w:jc w:val="center"/>
        <w:rPr>
          <w:sz w:val="2"/>
          <w:szCs w:val="2"/>
        </w:rPr>
      </w:pPr>
      <w:r>
        <w:drawing>
          <wp:inline>
            <wp:extent cx="6187440" cy="2212975"/>
            <wp:docPr id="204" name="Picutre 204"/>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63"/>
                    <a:stretch/>
                  </pic:blipFill>
                  <pic:spPr>
                    <a:xfrm>
                      <a:ext cx="6187440" cy="2212975"/>
                    </a:xfrm>
                    <a:prstGeom prst="rect"/>
                  </pic:spPr>
                </pic:pic>
              </a:graphicData>
            </a:graphic>
          </wp:inline>
        </w:drawing>
      </w:r>
    </w:p>
    <w:p>
      <w:pPr>
        <w:pStyle w:val="Style2"/>
        <w:keepNext w:val="0"/>
        <w:keepLines w:val="0"/>
        <w:widowControl w:val="0"/>
        <w:shd w:val="clear" w:color="auto" w:fill="auto"/>
        <w:tabs>
          <w:tab w:pos="4066" w:val="left"/>
          <w:tab w:pos="7109" w:val="left"/>
        </w:tabs>
        <w:bidi w:val="0"/>
        <w:spacing w:before="0" w:after="40" w:line="240" w:lineRule="auto"/>
        <w:ind w:left="1027" w:right="0" w:firstLine="0"/>
        <w:jc w:val="left"/>
        <w:rPr>
          <w:sz w:val="16"/>
          <w:szCs w:val="16"/>
        </w:rPr>
      </w:pPr>
      <w:r>
        <w:rPr>
          <w:rStyle w:val="CharStyle3"/>
          <w:color w:val="B7B8B8"/>
          <w:sz w:val="16"/>
          <w:szCs w:val="16"/>
        </w:rPr>
        <w:t xml:space="preserve">■ </w:t>
      </w:r>
      <w:r>
        <w:rPr>
          <w:rStyle w:val="CharStyle3"/>
          <w:color w:val="000000"/>
          <w:sz w:val="16"/>
          <w:szCs w:val="16"/>
        </w:rPr>
        <w:t>Roční přírůstek počtu TČ</w:t>
        <w:tab/>
        <w:t>— Dodané teplo TČ</w:t>
        <w:tab/>
      </w:r>
      <w:r>
        <w:rPr>
          <w:rStyle w:val="CharStyle3"/>
          <w:color w:val="ED6B5E"/>
          <w:sz w:val="16"/>
          <w:szCs w:val="16"/>
        </w:rPr>
        <w:t xml:space="preserve">— </w:t>
      </w:r>
      <w:r>
        <w:rPr>
          <w:rStyle w:val="CharStyle3"/>
          <w:color w:val="000000"/>
          <w:sz w:val="16"/>
          <w:szCs w:val="16"/>
        </w:rPr>
        <w:t>Spotřeba TČ</w:t>
      </w:r>
    </w:p>
    <w:p>
      <w:pPr>
        <w:pStyle w:val="Style2"/>
        <w:keepNext w:val="0"/>
        <w:keepLines w:val="0"/>
        <w:widowControl w:val="0"/>
        <w:shd w:val="clear" w:color="auto" w:fill="auto"/>
        <w:tabs>
          <w:tab w:pos="4651" w:val="left"/>
        </w:tabs>
        <w:bidi w:val="0"/>
        <w:spacing w:before="0" w:after="0" w:line="240" w:lineRule="auto"/>
        <w:ind w:left="1027" w:right="0" w:firstLine="0"/>
        <w:jc w:val="left"/>
        <w:rPr>
          <w:sz w:val="16"/>
          <w:szCs w:val="16"/>
        </w:rPr>
      </w:pPr>
      <w:r>
        <w:rPr>
          <w:rStyle w:val="CharStyle3"/>
          <w:color w:val="27A851"/>
          <w:sz w:val="16"/>
          <w:szCs w:val="16"/>
        </w:rPr>
        <w:t xml:space="preserve">| </w:t>
      </w:r>
      <w:r>
        <w:rPr>
          <w:rStyle w:val="CharStyle3"/>
          <w:color w:val="000000"/>
          <w:sz w:val="16"/>
          <w:szCs w:val="16"/>
        </w:rPr>
        <w:t>TČ v provozu</w:t>
        <w:tab/>
        <w:t>Využití energie prostředí</w:t>
      </w:r>
    </w:p>
    <w:p>
      <w:pPr>
        <w:widowControl w:val="0"/>
        <w:spacing w:after="259" w:line="1" w:lineRule="exact"/>
      </w:pPr>
    </w:p>
    <w:p>
      <w:pPr>
        <w:pStyle w:val="Style68"/>
        <w:keepNext w:val="0"/>
        <w:keepLines w:val="0"/>
        <w:widowControl w:val="0"/>
        <w:shd w:val="clear" w:color="auto" w:fill="auto"/>
        <w:tabs>
          <w:tab w:pos="4851" w:val="left"/>
        </w:tabs>
        <w:bidi w:val="0"/>
        <w:spacing w:before="0" w:after="320" w:line="240" w:lineRule="auto"/>
        <w:ind w:right="0" w:firstLine="0"/>
        <w:jc w:val="left"/>
      </w:pPr>
      <w:r>
        <w:rPr>
          <w:rStyle w:val="CharStyle69"/>
        </w:rPr>
        <w:t>I</w:t>
        <w:tab/>
        <w:t>I</w:t>
      </w:r>
    </w:p>
    <w:p>
      <w:pPr>
        <w:pStyle w:val="Style19"/>
        <w:keepNext w:val="0"/>
        <w:keepLines w:val="0"/>
        <w:widowControl w:val="0"/>
        <w:shd w:val="clear" w:color="auto" w:fill="auto"/>
        <w:bidi w:val="0"/>
        <w:spacing w:before="0" w:after="2560"/>
        <w:ind w:left="0" w:right="0" w:firstLine="0"/>
        <w:jc w:val="left"/>
      </w:pPr>
      <w:r>
        <w:rPr>
          <w:rStyle w:val="CharStyle20"/>
        </w:rPr>
        <w:t xml:space="preserve">Predikce vývoje počtu </w:t>
      </w:r>
      <w:r>
        <w:rPr>
          <w:rStyle w:val="CharStyle20"/>
          <w:b/>
          <w:bCs/>
          <w:color w:val="006AB4"/>
        </w:rPr>
        <w:t xml:space="preserve">prosumerů </w:t>
      </w:r>
      <w:r>
        <w:rPr>
          <w:rStyle w:val="CharStyle20"/>
        </w:rPr>
        <w:t>v Dekarbonizačním scénáři vychází z několika analýz potenciálu FVE na území ČR a naznačuje jejich růst až na instalovaný výkon 6 430 MW v roce 2040. Celkové využití výroby elektřiny prosumerů přímo v místě výroby činí 3 050 GWh a dodávka do sítě 3 769 GWh.</w:t>
      </w:r>
    </w:p>
    <w:p>
      <w:pPr>
        <w:pStyle w:val="Style15"/>
        <w:keepNext/>
        <w:keepLines/>
        <w:widowControl w:val="0"/>
        <w:shd w:val="clear" w:color="auto" w:fill="auto"/>
        <w:bidi w:val="0"/>
        <w:spacing w:before="0" w:after="500" w:line="240" w:lineRule="auto"/>
        <w:ind w:left="0" w:right="0" w:firstLine="0"/>
        <w:jc w:val="left"/>
      </w:pPr>
      <w:bookmarkStart w:id="147" w:name="bookmark147"/>
      <w:r>
        <w:rPr>
          <w:rStyle w:val="CharStyle16"/>
          <w:b/>
          <w:bCs/>
        </w:rPr>
        <w:t>Obr. 5.16 Predikce vývoje prosumerů - Dekarbonizační scénář</w:t>
      </w:r>
      <w:bookmarkEnd w:id="147"/>
    </w:p>
    <w:p>
      <w:pPr>
        <w:framePr w:w="9754" w:h="3480" w:vSpace="605" w:wrap="notBeside" w:vAnchor="text" w:hAnchor="text" w:x="29" w:y="1"/>
        <w:widowControl w:val="0"/>
        <w:rPr>
          <w:sz w:val="2"/>
          <w:szCs w:val="2"/>
        </w:rPr>
      </w:pPr>
      <w:r>
        <w:drawing>
          <wp:inline>
            <wp:extent cx="6193790" cy="2212975"/>
            <wp:docPr id="205" name="Picutre 205"/>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65"/>
                    <a:stretch/>
                  </pic:blipFill>
                  <pic:spPr>
                    <a:xfrm>
                      <a:ext cx="6193790" cy="2212975"/>
                    </a:xfrm>
                    <a:prstGeom prst="rect"/>
                  </pic:spPr>
                </pic:pic>
              </a:graphicData>
            </a:graphic>
          </wp:inline>
        </w:drawing>
      </w:r>
    </w:p>
    <w:p>
      <w:pPr>
        <w:widowControl w:val="0"/>
        <w:spacing w:line="1" w:lineRule="exact"/>
      </w:pPr>
      <w:r>
        <mc:AlternateContent>
          <mc:Choice Requires="wps">
            <w:drawing>
              <wp:anchor distT="0" distB="0" distL="17780" distR="5426075" simplePos="0" relativeHeight="125829435" behindDoc="0" locked="0" layoutInCell="1" allowOverlap="1">
                <wp:simplePos x="0" y="0"/>
                <wp:positionH relativeFrom="column">
                  <wp:posOffset>801370</wp:posOffset>
                </wp:positionH>
                <wp:positionV relativeFrom="paragraph">
                  <wp:posOffset>2450465</wp:posOffset>
                </wp:positionV>
                <wp:extent cx="786130" cy="133985"/>
                <wp:wrapTopAndBottom/>
                <wp:docPr id="206" name="Shape 206"/>
                <a:graphic xmlns:a="http://schemas.openxmlformats.org/drawingml/2006/main">
                  <a:graphicData uri="http://schemas.microsoft.com/office/word/2010/wordprocessingShape">
                    <wps:wsp>
                      <wps:cNvSpPr txBox="1"/>
                      <wps:spPr>
                        <a:xfrm>
                          <a:ext cx="786130"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Dodávka do sítě</w:t>
                            </w:r>
                          </w:p>
                        </w:txbxContent>
                      </wps:txbx>
                      <wps:bodyPr lIns="0" tIns="0" rIns="0" bIns="0">
                        <a:noAutoFit/>
                      </wps:bodyPr>
                    </wps:wsp>
                  </a:graphicData>
                </a:graphic>
              </wp:anchor>
            </w:drawing>
          </mc:Choice>
          <mc:Fallback>
            <w:pict>
              <v:shape id="_x0000_s1232" type="#_x0000_t202" style="position:absolute;margin-left:63.100000000000001pt;margin-top:192.95000000000002pt;width:61.899999999999999pt;height:10.550000000000001pt;z-index:-125829318;mso-wrap-distance-left:1.4000000000000001pt;mso-wrap-distance-right:427.25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Dodávka do sítě</w:t>
                      </w:r>
                    </w:p>
                  </w:txbxContent>
                </v:textbox>
                <w10:wrap type="topAndBottom"/>
              </v:shape>
            </w:pict>
          </mc:Fallback>
        </mc:AlternateContent>
      </w:r>
      <w:r>
        <mc:AlternateContent>
          <mc:Choice Requires="wps">
            <w:drawing>
              <wp:anchor distT="0" distB="0" distL="17780" distR="5175885" simplePos="0" relativeHeight="125829437" behindDoc="0" locked="0" layoutInCell="1" allowOverlap="1">
                <wp:simplePos x="0" y="0"/>
                <wp:positionH relativeFrom="column">
                  <wp:posOffset>2459355</wp:posOffset>
                </wp:positionH>
                <wp:positionV relativeFrom="paragraph">
                  <wp:posOffset>2441575</wp:posOffset>
                </wp:positionV>
                <wp:extent cx="1036320" cy="152400"/>
                <wp:wrapTopAndBottom/>
                <wp:docPr id="208" name="Shape 208"/>
                <a:graphic xmlns:a="http://schemas.openxmlformats.org/drawingml/2006/main">
                  <a:graphicData uri="http://schemas.microsoft.com/office/word/2010/wordprocessingShape">
                    <wps:wsp>
                      <wps:cNvSpPr txBox="1"/>
                      <wps:spPr>
                        <a:xfrm>
                          <a:ext cx="1036320"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Spotřeba prosumerů</w:t>
                            </w:r>
                          </w:p>
                        </w:txbxContent>
                      </wps:txbx>
                      <wps:bodyPr lIns="0" tIns="0" rIns="0" bIns="0">
                        <a:noAutoFit/>
                      </wps:bodyPr>
                    </wps:wsp>
                  </a:graphicData>
                </a:graphic>
              </wp:anchor>
            </w:drawing>
          </mc:Choice>
          <mc:Fallback>
            <w:pict>
              <v:shape id="_x0000_s1234" type="#_x0000_t202" style="position:absolute;margin-left:193.65000000000001pt;margin-top:192.25pt;width:81.600000000000009pt;height:12.pt;z-index:-125829316;mso-wrap-distance-left:1.4000000000000001pt;mso-wrap-distance-right:407.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Spotřeba prosumerů</w:t>
                      </w:r>
                    </w:p>
                  </w:txbxContent>
                </v:textbox>
                <w10:wrap type="topAndBottom"/>
              </v:shape>
            </w:pict>
          </mc:Fallback>
        </mc:AlternateContent>
      </w:r>
      <w:r>
        <mc:AlternateContent>
          <mc:Choice Requires="wps">
            <w:drawing>
              <wp:anchor distT="0" distB="0" distL="17780" distR="4761230" simplePos="0" relativeHeight="125829439" behindDoc="0" locked="0" layoutInCell="1" allowOverlap="1">
                <wp:simplePos x="0" y="0"/>
                <wp:positionH relativeFrom="column">
                  <wp:posOffset>3964940</wp:posOffset>
                </wp:positionH>
                <wp:positionV relativeFrom="paragraph">
                  <wp:posOffset>2441575</wp:posOffset>
                </wp:positionV>
                <wp:extent cx="1450975" cy="130810"/>
                <wp:wrapTopAndBottom/>
                <wp:docPr id="210" name="Shape 210"/>
                <a:graphic xmlns:a="http://schemas.openxmlformats.org/drawingml/2006/main">
                  <a:graphicData uri="http://schemas.microsoft.com/office/word/2010/wordprocessingShape">
                    <wps:wsp>
                      <wps:cNvSpPr txBox="1"/>
                      <wps:spPr>
                        <a:xfrm>
                          <a:ext cx="1450975" cy="130810"/>
                        </a:xfrm>
                        <a:prstGeom prst="rect"/>
                        <a:noFill/>
                      </wps:spPr>
                      <wps:txbx>
                        <w:txbxContent>
                          <w:p>
                            <w:pPr>
                              <w:pStyle w:val="Style2"/>
                              <w:keepNext w:val="0"/>
                              <w:keepLines w:val="0"/>
                              <w:widowControl w:val="0"/>
                              <w:shd w:val="clear" w:color="auto" w:fill="auto"/>
                              <w:tabs>
                                <w:tab w:leader="hyphen" w:pos="461" w:val="left"/>
                              </w:tabs>
                              <w:bidi w:val="0"/>
                              <w:spacing w:before="0" w:after="0" w:line="240" w:lineRule="auto"/>
                              <w:ind w:left="0" w:right="0" w:firstLine="0"/>
                              <w:jc w:val="left"/>
                              <w:rPr>
                                <w:sz w:val="16"/>
                                <w:szCs w:val="16"/>
                              </w:rPr>
                            </w:pPr>
                            <w:r>
                              <w:rPr>
                                <w:rStyle w:val="CharStyle3"/>
                                <w:color w:val="ED6B5E"/>
                                <w:sz w:val="16"/>
                                <w:szCs w:val="16"/>
                              </w:rPr>
                              <w:tab/>
                            </w:r>
                            <w:r>
                              <w:rPr>
                                <w:rStyle w:val="CharStyle3"/>
                                <w:color w:val="000000"/>
                                <w:sz w:val="16"/>
                                <w:szCs w:val="16"/>
                              </w:rPr>
                              <w:t>Celkem FVE do 1 MW</w:t>
                            </w:r>
                          </w:p>
                        </w:txbxContent>
                      </wps:txbx>
                      <wps:bodyPr lIns="0" tIns="0" rIns="0" bIns="0">
                        <a:noAutoFit/>
                      </wps:bodyPr>
                    </wps:wsp>
                  </a:graphicData>
                </a:graphic>
              </wp:anchor>
            </w:drawing>
          </mc:Choice>
          <mc:Fallback>
            <w:pict>
              <v:shape id="_x0000_s1236" type="#_x0000_t202" style="position:absolute;margin-left:312.19999999999999pt;margin-top:192.25pt;width:114.25pt;height:10.300000000000001pt;z-index:-125829314;mso-wrap-distance-left:1.4000000000000001pt;mso-wrap-distance-right:374.90000000000003pt" filled="f" stroked="f">
                <v:textbox inset="0,0,0,0">
                  <w:txbxContent>
                    <w:p>
                      <w:pPr>
                        <w:pStyle w:val="Style2"/>
                        <w:keepNext w:val="0"/>
                        <w:keepLines w:val="0"/>
                        <w:widowControl w:val="0"/>
                        <w:shd w:val="clear" w:color="auto" w:fill="auto"/>
                        <w:tabs>
                          <w:tab w:leader="hyphen" w:pos="461" w:val="left"/>
                        </w:tabs>
                        <w:bidi w:val="0"/>
                        <w:spacing w:before="0" w:after="0" w:line="240" w:lineRule="auto"/>
                        <w:ind w:left="0" w:right="0" w:firstLine="0"/>
                        <w:jc w:val="left"/>
                        <w:rPr>
                          <w:sz w:val="16"/>
                          <w:szCs w:val="16"/>
                        </w:rPr>
                      </w:pPr>
                      <w:r>
                        <w:rPr>
                          <w:rStyle w:val="CharStyle3"/>
                          <w:color w:val="ED6B5E"/>
                          <w:sz w:val="16"/>
                          <w:szCs w:val="16"/>
                        </w:rPr>
                        <w:tab/>
                      </w:r>
                      <w:r>
                        <w:rPr>
                          <w:rStyle w:val="CharStyle3"/>
                          <w:color w:val="000000"/>
                          <w:sz w:val="16"/>
                          <w:szCs w:val="16"/>
                        </w:rPr>
                        <w:t>Celkem FVE do 1 MW</w:t>
                      </w:r>
                    </w:p>
                  </w:txbxContent>
                </v:textbox>
                <w10:wrap type="topAndBottom"/>
              </v:shape>
            </w:pict>
          </mc:Fallback>
        </mc:AlternateContent>
      </w:r>
    </w:p>
    <w:p>
      <w:pPr>
        <w:pStyle w:val="Style15"/>
        <w:keepNext/>
        <w:keepLines/>
        <w:widowControl w:val="0"/>
        <w:numPr>
          <w:ilvl w:val="0"/>
          <w:numId w:val="29"/>
        </w:numPr>
        <w:shd w:val="clear" w:color="auto" w:fill="auto"/>
        <w:tabs>
          <w:tab w:pos="2931" w:val="left"/>
        </w:tabs>
        <w:bidi w:val="0"/>
        <w:spacing w:before="0" w:after="960" w:line="240" w:lineRule="auto"/>
        <w:ind w:left="2620" w:right="0" w:firstLine="0"/>
        <w:jc w:val="left"/>
        <w:rPr>
          <w:sz w:val="22"/>
          <w:szCs w:val="22"/>
        </w:rPr>
      </w:pPr>
      <w:bookmarkStart w:id="149" w:name="bookmark149"/>
      <w:r>
        <w:rPr>
          <w:rStyle w:val="CharStyle16"/>
          <w:rFonts w:ascii="Segoe UI" w:eastAsia="Segoe UI" w:hAnsi="Segoe UI" w:cs="Segoe UI"/>
          <w:b/>
          <w:bCs/>
          <w:sz w:val="22"/>
          <w:szCs w:val="22"/>
        </w:rPr>
        <w:t>Hodnocení zdrojové přiměřenosti ES ČR</w:t>
      </w:r>
      <w:bookmarkEnd w:id="149"/>
    </w:p>
    <w:p>
      <w:pPr>
        <w:pStyle w:val="Style19"/>
        <w:keepNext w:val="0"/>
        <w:keepLines w:val="0"/>
        <w:widowControl w:val="0"/>
        <w:shd w:val="clear" w:color="auto" w:fill="auto"/>
        <w:bidi w:val="0"/>
        <w:spacing w:before="0" w:after="260" w:line="300" w:lineRule="auto"/>
        <w:ind w:left="2620" w:right="0" w:firstLine="0"/>
        <w:jc w:val="left"/>
      </w:pPr>
      <w:r>
        <w:rPr>
          <w:rStyle w:val="CharStyle20"/>
        </w:rPr>
        <w:t>Tato kapitola se věnuje popisu jednotlivých scénářů uvažovaných v rámci posouzení zdrojové přiměřenosti ES ČR, použitým vstupním datovým podkladům a vyhodnocení výstupů simulací chodu propojené evropské soustavy. Výsledky jsou předkládány především pomocí standardních ukazatelů LOLE a EENS.</w:t>
      </w:r>
    </w:p>
    <w:p>
      <w:pPr>
        <w:pStyle w:val="Style19"/>
        <w:keepNext w:val="0"/>
        <w:keepLines w:val="0"/>
        <w:widowControl w:val="0"/>
        <w:shd w:val="clear" w:color="auto" w:fill="auto"/>
        <w:bidi w:val="0"/>
        <w:spacing w:before="0" w:after="260" w:line="300" w:lineRule="auto"/>
        <w:ind w:left="2620" w:right="0" w:firstLine="0"/>
        <w:jc w:val="left"/>
      </w:pPr>
      <w:r>
        <w:rPr>
          <w:rStyle w:val="CharStyle20"/>
        </w:rPr>
        <w:t>Vzhledem k tomu, že v současné době jsou diskutovány různé směry vývoje české energetiky, tento dokument pracuje s vícero různými směry vývoje energetického mixu ČR ve formě několika scénářů. Tyto scénáře v sobě zahrnují především různé pohledy na rychlost odklonu od uhlí či predikce vývoje obnovitelných zdrojů.</w:t>
      </w:r>
    </w:p>
    <w:p>
      <w:pPr>
        <w:pStyle w:val="Style19"/>
        <w:keepNext w:val="0"/>
        <w:keepLines w:val="0"/>
        <w:widowControl w:val="0"/>
        <w:shd w:val="clear" w:color="auto" w:fill="auto"/>
        <w:bidi w:val="0"/>
        <w:spacing w:before="0" w:after="260" w:line="300" w:lineRule="auto"/>
        <w:ind w:left="2620" w:right="0" w:firstLine="0"/>
        <w:jc w:val="left"/>
      </w:pPr>
      <w:r>
        <w:rPr>
          <w:rStyle w:val="CharStyle20"/>
        </w:rPr>
        <w:t>Data použitá při výpočtech vychází jednak z dotazníkového šetření (sběr dat realizován ve spolupráci s MPO), tak z veřejných zdrojů, a to jak českých, tak evropských. Výpočty jsou provedeny v souladu s metodikou ENTSO-E, což umožňuje srovnávání s výsledky obdobných zahraničních analýz.</w:t>
      </w:r>
    </w:p>
    <w:p>
      <w:pPr>
        <w:pStyle w:val="Style27"/>
        <w:keepNext/>
        <w:keepLines/>
        <w:widowControl w:val="0"/>
        <w:numPr>
          <w:ilvl w:val="1"/>
          <w:numId w:val="29"/>
        </w:numPr>
        <w:shd w:val="clear" w:color="auto" w:fill="auto"/>
        <w:tabs>
          <w:tab w:pos="3008" w:val="left"/>
        </w:tabs>
        <w:bidi w:val="0"/>
        <w:spacing w:before="0" w:after="0"/>
        <w:ind w:left="2620" w:right="0" w:firstLine="0"/>
        <w:jc w:val="left"/>
      </w:pPr>
      <w:bookmarkStart w:id="151" w:name="bookmark151"/>
      <w:r>
        <w:rPr>
          <w:rStyle w:val="CharStyle28"/>
          <w:b/>
          <w:bCs/>
        </w:rPr>
        <w:t>POPIS SCÉNÁŘŮ</w:t>
      </w:r>
      <w:bookmarkEnd w:id="151"/>
    </w:p>
    <w:p>
      <w:pPr>
        <w:pStyle w:val="Style19"/>
        <w:keepNext w:val="0"/>
        <w:keepLines w:val="0"/>
        <w:widowControl w:val="0"/>
        <w:shd w:val="clear" w:color="auto" w:fill="auto"/>
        <w:bidi w:val="0"/>
        <w:spacing w:before="0" w:after="260"/>
        <w:ind w:left="2620" w:right="0" w:firstLine="0"/>
        <w:jc w:val="left"/>
      </w:pPr>
      <w:r>
        <w:rPr>
          <w:rStyle w:val="CharStyle20"/>
        </w:rPr>
        <w:t>Kapitola popisuje parametry jednotlivých scénářů vývoje energetiky v České republice. V rámci MAF CZ 2022 jsou uvažovány čtyři scénáře, Respondentní, Konzervativní, Progresivní a Dekarbonizační scénář, které navazují na aktuální trendy a možnosti české energetiky, nové cíle EU a rozvoje nízkoemisní energetiky. Respondentní scénář kopíruje zjištění z dotazníkového šetření, takže zobrazuje vývoj elektroenergetického sektoru dle vize provozovatelů zdrojů. Konzervativní scénář vychází z předpokladu odchodu ČR od uhlí k roku 2038 a slouží také jako základ pro dokument Očekávaná dlouhodobá rovnováha (ODDR) do roku 2050. V Progresivním scénáři je uvažováno rychlejší ukončení výroby elektřiny z uhlí, větší instalovaný výkon OZE, ale také nárůst spotřeby elektřiny. Dekarbonizační scénář potom odráží snahu o co nejkomplexnější dekarbonizaci české energetiky s cílem dosažení bezuhelné energetiky v roce 2030.</w:t>
      </w:r>
    </w:p>
    <w:p>
      <w:pPr>
        <w:pStyle w:val="Style27"/>
        <w:keepNext/>
        <w:keepLines/>
        <w:widowControl w:val="0"/>
        <w:numPr>
          <w:ilvl w:val="2"/>
          <w:numId w:val="29"/>
        </w:numPr>
        <w:shd w:val="clear" w:color="auto" w:fill="auto"/>
        <w:tabs>
          <w:tab w:pos="3180" w:val="left"/>
        </w:tabs>
        <w:bidi w:val="0"/>
        <w:spacing w:before="0" w:after="0" w:line="300" w:lineRule="auto"/>
        <w:ind w:left="2620" w:right="0" w:firstLine="0"/>
        <w:jc w:val="left"/>
      </w:pPr>
      <w:bookmarkStart w:id="153" w:name="bookmark153"/>
      <w:r>
        <w:rPr>
          <w:rStyle w:val="CharStyle28"/>
          <w:b/>
          <w:bCs/>
        </w:rPr>
        <w:t>SPOLEČNÉ PŘEDPOKLADY</w:t>
      </w:r>
      <w:bookmarkEnd w:id="153"/>
    </w:p>
    <w:p>
      <w:pPr>
        <w:pStyle w:val="Style19"/>
        <w:keepNext w:val="0"/>
        <w:keepLines w:val="0"/>
        <w:widowControl w:val="0"/>
        <w:shd w:val="clear" w:color="auto" w:fill="auto"/>
        <w:bidi w:val="0"/>
        <w:spacing w:before="0" w:after="200" w:line="300" w:lineRule="auto"/>
        <w:ind w:left="2620" w:right="0" w:firstLine="0"/>
        <w:jc w:val="left"/>
      </w:pPr>
      <w:r>
        <w:rPr>
          <w:rStyle w:val="CharStyle20"/>
        </w:rPr>
        <w:t>Ve snaze naznačit rozdílné trajektorie budoucího vývoje české energetiky se scénáře v celé řadě předpokladů liší, následující faktory jsou však pro všechny shodné:</w:t>
      </w:r>
    </w:p>
    <w:p>
      <w:pPr>
        <w:pStyle w:val="Style19"/>
        <w:keepNext w:val="0"/>
        <w:keepLines w:val="0"/>
        <w:widowControl w:val="0"/>
        <w:shd w:val="clear" w:color="auto" w:fill="auto"/>
        <w:bidi w:val="0"/>
        <w:spacing w:before="0" w:after="200" w:line="276" w:lineRule="auto"/>
        <w:ind w:left="2840" w:right="0" w:hanging="220"/>
        <w:jc w:val="left"/>
      </w:pPr>
      <w:r>
        <w:rPr>
          <w:rStyle w:val="CharStyle20"/>
          <w:color w:val="006AB4"/>
          <w:sz w:val="22"/>
          <w:szCs w:val="22"/>
        </w:rPr>
        <w:t xml:space="preserve">^ </w:t>
      </w:r>
      <w:r>
        <w:rPr>
          <w:rStyle w:val="CharStyle20"/>
        </w:rPr>
        <w:t>Způsob alokace a velikost výkonu pro SVR (více informací o modelování PpS je uvedeno v kapitole 6.2)</w:t>
      </w:r>
    </w:p>
    <w:p>
      <w:pPr>
        <w:pStyle w:val="Style19"/>
        <w:keepNext w:val="0"/>
        <w:keepLines w:val="0"/>
        <w:widowControl w:val="0"/>
        <w:shd w:val="clear" w:color="auto" w:fill="auto"/>
        <w:bidi w:val="0"/>
        <w:spacing w:before="0" w:after="260" w:line="240" w:lineRule="auto"/>
        <w:ind w:left="2840" w:right="0" w:hanging="220"/>
        <w:jc w:val="left"/>
      </w:pPr>
      <w:r>
        <w:rPr>
          <w:rStyle w:val="CharStyle20"/>
          <w:color w:val="006AB4"/>
          <w:sz w:val="22"/>
          <w:szCs w:val="22"/>
        </w:rPr>
        <w:t xml:space="preserve">^ </w:t>
      </w:r>
      <w:r>
        <w:rPr>
          <w:rStyle w:val="CharStyle20"/>
        </w:rPr>
        <w:t>Parametry vodních elektráren</w:t>
      </w:r>
    </w:p>
    <w:p>
      <w:pPr>
        <w:pStyle w:val="Style19"/>
        <w:keepNext w:val="0"/>
        <w:keepLines w:val="0"/>
        <w:widowControl w:val="0"/>
        <w:shd w:val="clear" w:color="auto" w:fill="auto"/>
        <w:bidi w:val="0"/>
        <w:spacing w:before="0" w:after="260" w:line="240" w:lineRule="auto"/>
        <w:ind w:left="2840" w:right="0" w:hanging="220"/>
        <w:jc w:val="left"/>
      </w:pPr>
      <w:r>
        <w:rPr>
          <w:rStyle w:val="CharStyle20"/>
          <w:color w:val="006AB4"/>
          <w:sz w:val="22"/>
          <w:szCs w:val="22"/>
        </w:rPr>
        <w:t xml:space="preserve">^ </w:t>
      </w:r>
      <w:r>
        <w:rPr>
          <w:rStyle w:val="CharStyle20"/>
        </w:rPr>
        <w:t>Předpokládané zprovoznění nového jaderného zdroje v Dukovanech k roku 2036</w:t>
      </w:r>
    </w:p>
    <w:p>
      <w:pPr>
        <w:pStyle w:val="Style19"/>
        <w:keepNext w:val="0"/>
        <w:keepLines w:val="0"/>
        <w:widowControl w:val="0"/>
        <w:shd w:val="clear" w:color="auto" w:fill="auto"/>
        <w:bidi w:val="0"/>
        <w:spacing w:before="0" w:after="340" w:line="240" w:lineRule="auto"/>
        <w:ind w:left="2840" w:right="0" w:hanging="220"/>
        <w:jc w:val="left"/>
      </w:pPr>
      <w:r>
        <w:rPr>
          <w:rStyle w:val="CharStyle20"/>
          <w:color w:val="006AB4"/>
          <w:sz w:val="22"/>
          <w:szCs w:val="22"/>
        </w:rPr>
        <w:t xml:space="preserve">^ </w:t>
      </w:r>
      <w:r>
        <w:rPr>
          <w:rStyle w:val="CharStyle20"/>
        </w:rPr>
        <w:t>Výhled vývoje geotermálních zdrojů</w:t>
      </w:r>
    </w:p>
    <w:p>
      <w:pPr>
        <w:pStyle w:val="Style27"/>
        <w:keepNext/>
        <w:keepLines/>
        <w:widowControl w:val="0"/>
        <w:numPr>
          <w:ilvl w:val="2"/>
          <w:numId w:val="29"/>
        </w:numPr>
        <w:shd w:val="clear" w:color="auto" w:fill="auto"/>
        <w:tabs>
          <w:tab w:pos="3200" w:val="left"/>
        </w:tabs>
        <w:bidi w:val="0"/>
        <w:spacing w:before="0" w:after="0" w:line="300" w:lineRule="auto"/>
        <w:ind w:left="2840" w:right="0" w:hanging="220"/>
        <w:jc w:val="left"/>
      </w:pPr>
      <w:bookmarkStart w:id="155" w:name="bookmark155"/>
      <w:r>
        <w:rPr>
          <w:rStyle w:val="CharStyle28"/>
          <w:b/>
          <w:bCs/>
        </w:rPr>
        <w:t>RESPONDENTNÍ SCÉNÁŘ</w:t>
      </w:r>
      <w:bookmarkEnd w:id="155"/>
    </w:p>
    <w:p>
      <w:pPr>
        <w:pStyle w:val="Style19"/>
        <w:keepNext w:val="0"/>
        <w:keepLines w:val="0"/>
        <w:widowControl w:val="0"/>
        <w:shd w:val="clear" w:color="auto" w:fill="auto"/>
        <w:bidi w:val="0"/>
        <w:spacing w:before="0" w:after="260" w:line="300" w:lineRule="auto"/>
        <w:ind w:left="2620" w:right="0" w:firstLine="0"/>
        <w:jc w:val="left"/>
      </w:pPr>
      <w:r>
        <w:rPr>
          <w:rStyle w:val="CharStyle20"/>
        </w:rPr>
        <w:t>Respondentní scénář vychází zcela z dat získaných od provozovatelů zdrojů v rámci dotazníkového šetření ČEPS uskutečněného v roce 2022.</w:t>
      </w:r>
    </w:p>
    <w:p>
      <w:pPr>
        <w:pStyle w:val="Style19"/>
        <w:keepNext w:val="0"/>
        <w:keepLines w:val="0"/>
        <w:widowControl w:val="0"/>
        <w:shd w:val="clear" w:color="auto" w:fill="auto"/>
        <w:bidi w:val="0"/>
        <w:spacing w:before="0" w:after="200" w:line="300" w:lineRule="auto"/>
        <w:ind w:left="2840" w:right="0" w:hanging="220"/>
        <w:jc w:val="left"/>
      </w:pPr>
      <w:r>
        <w:rPr>
          <w:rStyle w:val="CharStyle20"/>
        </w:rPr>
        <w:t>Vstupní předpoklady:</w:t>
      </w:r>
    </w:p>
    <w:p>
      <w:pPr>
        <w:pStyle w:val="Style19"/>
        <w:keepNext w:val="0"/>
        <w:keepLines w:val="0"/>
        <w:widowControl w:val="0"/>
        <w:shd w:val="clear" w:color="auto" w:fill="auto"/>
        <w:bidi w:val="0"/>
        <w:spacing w:before="0" w:after="260" w:line="276" w:lineRule="auto"/>
        <w:ind w:left="2840" w:right="0" w:hanging="220"/>
        <w:jc w:val="left"/>
      </w:pPr>
      <w:bookmarkStart w:id="157" w:name="bookmark157"/>
      <w:r>
        <w:rPr>
          <w:rStyle w:val="CharStyle20"/>
          <w:color w:val="006AB4"/>
          <w:sz w:val="22"/>
          <w:szCs w:val="22"/>
        </w:rPr>
        <w:t xml:space="preserve">^ </w:t>
      </w:r>
      <w:r>
        <w:rPr>
          <w:rStyle w:val="CharStyle20"/>
        </w:rPr>
        <w:t>Předpokládá se budoucí postupný útlum v současnosti provozovaných fosilních zdrojů z důvodu dožívání technologie, avšak pomalejší než v případě Konzervativního a Progresivního scénáře</w:t>
      </w:r>
      <w:bookmarkEnd w:id="157"/>
    </w:p>
    <w:p>
      <w:pPr>
        <w:pStyle w:val="Style19"/>
        <w:keepNext w:val="0"/>
        <w:keepLines w:val="0"/>
        <w:widowControl w:val="0"/>
        <w:shd w:val="clear" w:color="auto" w:fill="auto"/>
        <w:bidi w:val="0"/>
        <w:spacing w:before="0" w:after="200" w:line="271" w:lineRule="auto"/>
        <w:ind w:left="240" w:right="0" w:hanging="240"/>
        <w:jc w:val="both"/>
      </w:pPr>
      <w:r>
        <w:rPr>
          <w:rStyle w:val="CharStyle20"/>
          <w:color w:val="006AB4"/>
          <w:sz w:val="22"/>
          <w:szCs w:val="22"/>
        </w:rPr>
        <w:t xml:space="preserve">^ </w:t>
      </w:r>
      <w:r>
        <w:rPr>
          <w:rStyle w:val="CharStyle20"/>
        </w:rPr>
        <w:t>Část odstaveného uhelného instalovaného výkonu bude nahrazena plynovými zdroji</w:t>
      </w:r>
    </w:p>
    <w:p>
      <w:pPr>
        <w:pStyle w:val="Style19"/>
        <w:keepNext w:val="0"/>
        <w:keepLines w:val="0"/>
        <w:widowControl w:val="0"/>
        <w:shd w:val="clear" w:color="auto" w:fill="auto"/>
        <w:bidi w:val="0"/>
        <w:spacing w:before="0" w:after="200" w:line="276" w:lineRule="auto"/>
        <w:ind w:left="240" w:right="0" w:hanging="240"/>
        <w:jc w:val="both"/>
      </w:pPr>
      <w:r>
        <w:rPr>
          <w:rStyle w:val="CharStyle20"/>
          <w:color w:val="006AB4"/>
          <w:sz w:val="22"/>
          <w:szCs w:val="22"/>
        </w:rPr>
        <w:t xml:space="preserve">^ </w:t>
      </w:r>
      <w:r>
        <w:rPr>
          <w:rStyle w:val="CharStyle20"/>
        </w:rPr>
        <w:t>Data o budoucím vývoji spotřeby elektřiny (Obr. 5.2) vychází ze stejného scénáře spotřeby jako u Konzervativního scénáře, který je založen na aktuálních strategiích a plánech Vlády ČR v souladu s předpokladem dekarbonizace do roku 2050</w:t>
      </w:r>
    </w:p>
    <w:p>
      <w:pPr>
        <w:pStyle w:val="Style19"/>
        <w:keepNext w:val="0"/>
        <w:keepLines w:val="0"/>
        <w:widowControl w:val="0"/>
        <w:numPr>
          <w:ilvl w:val="0"/>
          <w:numId w:val="31"/>
        </w:numPr>
        <w:shd w:val="clear" w:color="auto" w:fill="auto"/>
        <w:tabs>
          <w:tab w:pos="267" w:val="left"/>
        </w:tabs>
        <w:bidi w:val="0"/>
        <w:spacing w:before="0" w:after="200" w:line="276" w:lineRule="auto"/>
        <w:ind w:left="240" w:right="0" w:hanging="240"/>
        <w:jc w:val="both"/>
      </w:pPr>
      <w:r>
        <w:rPr>
          <w:rStyle w:val="CharStyle20"/>
          <w:color w:val="006AB4"/>
          <w:sz w:val="22"/>
          <w:szCs w:val="22"/>
        </w:rPr>
        <w:t xml:space="preserve">» </w:t>
      </w:r>
      <w:r>
        <w:rPr>
          <w:rStyle w:val="CharStyle20"/>
        </w:rPr>
        <w:t>Vývoj instalovaného výkonu VTE a FVE je shodný s Respondentní predikcí těchto zdrojů (Obr. 4.9)</w:t>
      </w:r>
    </w:p>
    <w:p>
      <w:pPr>
        <w:pStyle w:val="Style19"/>
        <w:keepNext w:val="0"/>
        <w:keepLines w:val="0"/>
        <w:widowControl w:val="0"/>
        <w:shd w:val="clear" w:color="auto" w:fill="auto"/>
        <w:bidi w:val="0"/>
        <w:spacing w:before="0" w:after="200" w:line="271" w:lineRule="auto"/>
        <w:ind w:left="240" w:right="0" w:hanging="240"/>
        <w:jc w:val="both"/>
      </w:pPr>
      <w:r>
        <w:rPr>
          <w:rStyle w:val="CharStyle20"/>
          <w:color w:val="006AB4"/>
          <w:sz w:val="22"/>
          <w:szCs w:val="22"/>
        </w:rPr>
        <w:t xml:space="preserve">^ </w:t>
      </w:r>
      <w:r>
        <w:rPr>
          <w:rStyle w:val="CharStyle20"/>
        </w:rPr>
        <w:t>Výhled vývoje bioplynu a biomasy odpovídá Respondentní predikci vývoje segmentu (Obr. 4.13 a Obr. 4.15)</w:t>
      </w:r>
    </w:p>
    <w:p>
      <w:pPr>
        <w:pStyle w:val="Style19"/>
        <w:keepNext w:val="0"/>
        <w:keepLines w:val="0"/>
        <w:widowControl w:val="0"/>
        <w:numPr>
          <w:ilvl w:val="0"/>
          <w:numId w:val="31"/>
        </w:numPr>
        <w:shd w:val="clear" w:color="auto" w:fill="auto"/>
        <w:tabs>
          <w:tab w:pos="267" w:val="left"/>
        </w:tabs>
        <w:bidi w:val="0"/>
        <w:spacing w:before="0" w:after="200" w:line="307" w:lineRule="auto"/>
        <w:ind w:left="240" w:right="0" w:hanging="240"/>
        <w:jc w:val="both"/>
      </w:pPr>
      <w:r>
        <w:rPr>
          <w:rStyle w:val="CharStyle20"/>
          <w:color w:val="006AB4"/>
        </w:rPr>
        <w:t xml:space="preserve">» </w:t>
      </w:r>
      <w:r>
        <w:rPr>
          <w:rStyle w:val="CharStyle20"/>
        </w:rPr>
        <w:t>Vývoj instalovaného výkonu zdrojů spalujících TKO odpovídá Respondentní predikci daného segmentu (Obr. 4.16)</w:t>
      </w:r>
    </w:p>
    <w:p>
      <w:pPr>
        <w:pStyle w:val="Style19"/>
        <w:keepNext w:val="0"/>
        <w:keepLines w:val="0"/>
        <w:widowControl w:val="0"/>
        <w:numPr>
          <w:ilvl w:val="0"/>
          <w:numId w:val="31"/>
        </w:numPr>
        <w:shd w:val="clear" w:color="auto" w:fill="auto"/>
        <w:tabs>
          <w:tab w:pos="262" w:val="left"/>
        </w:tabs>
        <w:bidi w:val="0"/>
        <w:spacing w:before="0" w:after="1180" w:line="240" w:lineRule="auto"/>
        <w:ind w:left="0" w:right="0" w:firstLine="0"/>
        <w:jc w:val="left"/>
      </w:pPr>
      <w:r>
        <w:rPr>
          <w:rStyle w:val="CharStyle20"/>
          <w:color w:val="006AB4"/>
          <w:sz w:val="22"/>
          <w:szCs w:val="22"/>
        </w:rPr>
        <w:t xml:space="preserve">» </w:t>
      </w:r>
      <w:r>
        <w:rPr>
          <w:rStyle w:val="CharStyle20"/>
        </w:rPr>
        <w:t>Nejsou uvažovány vodíkové palivové články a instalace elektrolyzérů</w:t>
      </w:r>
    </w:p>
    <w:p>
      <w:pPr>
        <w:pStyle w:val="Style15"/>
        <w:keepNext/>
        <w:keepLines/>
        <w:widowControl w:val="0"/>
        <w:shd w:val="clear" w:color="auto" w:fill="auto"/>
        <w:bidi w:val="0"/>
        <w:spacing w:before="0" w:after="200" w:line="300" w:lineRule="auto"/>
        <w:ind w:left="0" w:right="0" w:firstLine="0"/>
        <w:jc w:val="left"/>
      </w:pPr>
      <w:bookmarkStart w:id="158" w:name="bookmark158"/>
      <w:r>
        <w:rPr>
          <w:rStyle w:val="CharStyle16"/>
          <w:b/>
          <w:bCs/>
        </w:rPr>
        <w:t>Obr. 6.1 Výhled netto instalovaného výkonu ČR (mimo OZE), plynových a uhelných zdrojů v Respondentním scénáři</w:t>
      </w:r>
      <w:bookmarkEnd w:id="158"/>
    </w:p>
    <w:p>
      <w:pPr>
        <w:widowControl w:val="0"/>
        <w:jc w:val="center"/>
        <w:rPr>
          <w:sz w:val="2"/>
          <w:szCs w:val="2"/>
        </w:rPr>
      </w:pPr>
      <w:r>
        <w:drawing>
          <wp:inline>
            <wp:extent cx="7559040" cy="2225040"/>
            <wp:docPr id="212" name="Picutre 212"/>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67"/>
                    <a:stretch/>
                  </pic:blipFill>
                  <pic:spPr>
                    <a:xfrm>
                      <a:ext cx="7559040" cy="2225040"/>
                    </a:xfrm>
                    <a:prstGeom prst="rect"/>
                  </pic:spPr>
                </pic:pic>
              </a:graphicData>
            </a:graphic>
          </wp:inline>
        </w:drawing>
      </w:r>
    </w:p>
    <w:p>
      <w:pPr>
        <w:widowControl w:val="0"/>
        <w:spacing w:after="239" w:line="1" w:lineRule="exact"/>
      </w:pPr>
    </w:p>
    <w:p>
      <w:pPr>
        <w:widowControl w:val="0"/>
        <w:spacing w:line="1" w:lineRule="exact"/>
      </w:pPr>
    </w:p>
    <w:p>
      <w:pPr>
        <w:framePr w:w="11904" w:h="3994" w:vSpace="379" w:wrap="notBeside" w:vAnchor="text" w:hAnchor="text" w:x="-714" w:y="1"/>
        <w:widowControl w:val="0"/>
        <w:rPr>
          <w:sz w:val="2"/>
          <w:szCs w:val="2"/>
        </w:rPr>
      </w:pPr>
      <w:r>
        <w:drawing>
          <wp:inline>
            <wp:extent cx="7559040" cy="2536190"/>
            <wp:docPr id="213" name="Picutre 213"/>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69"/>
                    <a:stretch/>
                  </pic:blipFill>
                  <pic:spPr>
                    <a:xfrm>
                      <a:ext cx="7559040" cy="2536190"/>
                    </a:xfrm>
                    <a:prstGeom prst="rect"/>
                  </pic:spPr>
                </pic:pic>
              </a:graphicData>
            </a:graphic>
          </wp:inline>
        </w:drawing>
      </w:r>
    </w:p>
    <w:p>
      <w:pPr>
        <w:widowControl w:val="0"/>
        <w:spacing w:line="1" w:lineRule="exact"/>
      </w:pPr>
      <w:r>
        <mc:AlternateContent>
          <mc:Choice Requires="wps">
            <w:drawing>
              <wp:anchor distT="0" distB="0" distL="0" distR="0" simplePos="0" relativeHeight="125829441" behindDoc="0" locked="0" layoutInCell="1" allowOverlap="1">
                <wp:simplePos x="0" y="0"/>
                <wp:positionH relativeFrom="column">
                  <wp:posOffset>917575</wp:posOffset>
                </wp:positionH>
                <wp:positionV relativeFrom="paragraph">
                  <wp:posOffset>2627630</wp:posOffset>
                </wp:positionV>
                <wp:extent cx="1905000" cy="149225"/>
                <wp:wrapTopAndBottom/>
                <wp:docPr id="214" name="Shape 214"/>
                <a:graphic xmlns:a="http://schemas.openxmlformats.org/drawingml/2006/main">
                  <a:graphicData uri="http://schemas.microsoft.com/office/word/2010/wordprocessingShape">
                    <wps:wsp>
                      <wps:cNvSpPr txBox="1"/>
                      <wps:spPr>
                        <a:xfrm>
                          <a:ext cx="190500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Netto instalovaný výkon ČR, mimo OZE</w:t>
                            </w:r>
                          </w:p>
                        </w:txbxContent>
                      </wps:txbx>
                      <wps:bodyPr lIns="0" tIns="0" rIns="0" bIns="0">
                        <a:noAutoFit/>
                      </wps:bodyPr>
                    </wps:wsp>
                  </a:graphicData>
                </a:graphic>
              </wp:anchor>
            </w:drawing>
          </mc:Choice>
          <mc:Fallback>
            <w:pict>
              <v:shape id="_x0000_s1240" type="#_x0000_t202" style="position:absolute;margin-left:72.25pt;margin-top:206.90000000000001pt;width:150.pt;height:11.75pt;z-index:-125829312;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Netto instalovaný výkon ČR, mimo OZE</w:t>
                      </w:r>
                    </w:p>
                  </w:txbxContent>
                </v:textbox>
                <w10:wrap type="topAndBottom"/>
              </v:shape>
            </w:pict>
          </mc:Fallback>
        </mc:AlternateContent>
      </w:r>
      <w:r>
        <mc:AlternateContent>
          <mc:Choice Requires="wps">
            <w:drawing>
              <wp:anchor distT="0" distB="0" distL="0" distR="0" simplePos="0" relativeHeight="125829443" behindDoc="0" locked="0" layoutInCell="1" allowOverlap="1">
                <wp:simplePos x="0" y="0"/>
                <wp:positionH relativeFrom="column">
                  <wp:posOffset>3623945</wp:posOffset>
                </wp:positionH>
                <wp:positionV relativeFrom="paragraph">
                  <wp:posOffset>2636520</wp:posOffset>
                </wp:positionV>
                <wp:extent cx="725170" cy="140335"/>
                <wp:wrapTopAndBottom/>
                <wp:docPr id="216" name="Shape 216"/>
                <a:graphic xmlns:a="http://schemas.openxmlformats.org/drawingml/2006/main">
                  <a:graphicData uri="http://schemas.microsoft.com/office/word/2010/wordprocessingShape">
                    <wps:wsp>
                      <wps:cNvSpPr txBox="1"/>
                      <wps:spPr>
                        <a:xfrm>
                          <a:ext cx="72517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Uhelné zdroje</w:t>
                            </w:r>
                          </w:p>
                        </w:txbxContent>
                      </wps:txbx>
                      <wps:bodyPr lIns="0" tIns="0" rIns="0" bIns="0">
                        <a:noAutoFit/>
                      </wps:bodyPr>
                    </wps:wsp>
                  </a:graphicData>
                </a:graphic>
              </wp:anchor>
            </w:drawing>
          </mc:Choice>
          <mc:Fallback>
            <w:pict>
              <v:shape id="_x0000_s1242" type="#_x0000_t202" style="position:absolute;margin-left:285.35000000000002pt;margin-top:207.59999999999999pt;width:57.100000000000001pt;height:11.050000000000001pt;z-index:-125829310;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Uhelné zdroje</w:t>
                      </w:r>
                    </w:p>
                  </w:txbxContent>
                </v:textbox>
                <w10:wrap type="topAndBottom"/>
              </v:shape>
            </w:pict>
          </mc:Fallback>
        </mc:AlternateContent>
      </w:r>
      <w:r>
        <mc:AlternateContent>
          <mc:Choice Requires="wps">
            <w:drawing>
              <wp:anchor distT="0" distB="0" distL="0" distR="0" simplePos="0" relativeHeight="125829445" behindDoc="0" locked="0" layoutInCell="1" allowOverlap="1">
                <wp:simplePos x="0" y="0"/>
                <wp:positionH relativeFrom="column">
                  <wp:posOffset>5147945</wp:posOffset>
                </wp:positionH>
                <wp:positionV relativeFrom="paragraph">
                  <wp:posOffset>2636520</wp:posOffset>
                </wp:positionV>
                <wp:extent cx="755650" cy="140335"/>
                <wp:wrapTopAndBottom/>
                <wp:docPr id="218" name="Shape 218"/>
                <a:graphic xmlns:a="http://schemas.openxmlformats.org/drawingml/2006/main">
                  <a:graphicData uri="http://schemas.microsoft.com/office/word/2010/wordprocessingShape">
                    <wps:wsp>
                      <wps:cNvSpPr txBox="1"/>
                      <wps:spPr>
                        <a:xfrm>
                          <a:ext cx="75565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Plynové zdroje</w:t>
                            </w:r>
                          </w:p>
                        </w:txbxContent>
                      </wps:txbx>
                      <wps:bodyPr lIns="0" tIns="0" rIns="0" bIns="0">
                        <a:noAutoFit/>
                      </wps:bodyPr>
                    </wps:wsp>
                  </a:graphicData>
                </a:graphic>
              </wp:anchor>
            </w:drawing>
          </mc:Choice>
          <mc:Fallback>
            <w:pict>
              <v:shape id="_x0000_s1244" type="#_x0000_t202" style="position:absolute;margin-left:405.35000000000002pt;margin-top:207.59999999999999pt;width:59.5pt;height:11.050000000000001pt;z-index:-125829308;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Plynové zdroje</w:t>
                      </w:r>
                    </w:p>
                  </w:txbxContent>
                </v:textbox>
                <w10:wrap type="topAndBottom"/>
              </v:shape>
            </w:pict>
          </mc:Fallback>
        </mc:AlternateContent>
      </w:r>
      <w:r>
        <w:br w:type="page"/>
      </w:r>
    </w:p>
    <w:p>
      <w:pPr>
        <w:pStyle w:val="Style19"/>
        <w:keepNext w:val="0"/>
        <w:keepLines w:val="0"/>
        <w:widowControl w:val="0"/>
        <w:shd w:val="clear" w:color="auto" w:fill="auto"/>
        <w:bidi w:val="0"/>
        <w:spacing w:before="0" w:after="200" w:line="271" w:lineRule="auto"/>
        <w:ind w:left="2840" w:right="0" w:hanging="220"/>
        <w:jc w:val="left"/>
      </w:pPr>
      <w:r>
        <w:rPr>
          <w:rStyle w:val="CharStyle20"/>
          <w:color w:val="006AB4"/>
          <w:sz w:val="22"/>
          <w:szCs w:val="22"/>
        </w:rPr>
        <w:t xml:space="preserve">^ </w:t>
      </w:r>
      <w:r>
        <w:rPr>
          <w:rStyle w:val="CharStyle20"/>
        </w:rPr>
        <w:t>Pro výhled vývoje bateriových instalací je použitá Konzervativní predikce vývoje tohoto segmentu</w:t>
      </w:r>
    </w:p>
    <w:p>
      <w:pPr>
        <w:pStyle w:val="Style19"/>
        <w:keepNext w:val="0"/>
        <w:keepLines w:val="0"/>
        <w:widowControl w:val="0"/>
        <w:shd w:val="clear" w:color="auto" w:fill="auto"/>
        <w:bidi w:val="0"/>
        <w:spacing w:before="0" w:after="200" w:line="286" w:lineRule="auto"/>
        <w:ind w:left="2840" w:right="0" w:hanging="220"/>
        <w:jc w:val="left"/>
      </w:pPr>
      <w:r>
        <w:rPr>
          <w:rStyle w:val="CharStyle20"/>
          <w:color w:val="006AB4"/>
          <w:sz w:val="22"/>
          <w:szCs w:val="22"/>
        </w:rPr>
        <w:t xml:space="preserve">^ </w:t>
      </w:r>
      <w:r>
        <w:rPr>
          <w:rStyle w:val="CharStyle20"/>
        </w:rPr>
        <w:t>Scénář je založen na Konzervativním scénáři spotřeby (Obr. 5.2), který bere do úvahy aktuálně známé strategie, vize a plány Vlády ČR a předpoklady budoucího vývoje socio-ekonomické situace v České republice, a to včetně zohlednění vývoje po pandemii COVID-19 a energetické krize</w:t>
      </w:r>
    </w:p>
    <w:p>
      <w:pPr>
        <w:pStyle w:val="Style19"/>
        <w:keepNext w:val="0"/>
        <w:keepLines w:val="0"/>
        <w:widowControl w:val="0"/>
        <w:shd w:val="clear" w:color="auto" w:fill="auto"/>
        <w:bidi w:val="0"/>
        <w:spacing w:before="0" w:after="200" w:line="271" w:lineRule="auto"/>
        <w:ind w:left="2840" w:right="0" w:hanging="220"/>
        <w:jc w:val="left"/>
      </w:pPr>
      <w:r>
        <w:rPr>
          <w:rStyle w:val="CharStyle20"/>
          <w:color w:val="006AB4"/>
          <w:sz w:val="22"/>
          <w:szCs w:val="22"/>
        </w:rPr>
        <w:t xml:space="preserve">^ </w:t>
      </w:r>
      <w:r>
        <w:rPr>
          <w:rStyle w:val="CharStyle20"/>
        </w:rPr>
        <w:t>Predikce vývoje geotermálních zdrojů vychází z Vnitrostátního plánu České republiky v oblasti energetiky a klimatu</w:t>
      </w:r>
    </w:p>
    <w:p>
      <w:pPr>
        <w:pStyle w:val="Style19"/>
        <w:keepNext w:val="0"/>
        <w:keepLines w:val="0"/>
        <w:widowControl w:val="0"/>
        <w:shd w:val="clear" w:color="auto" w:fill="auto"/>
        <w:bidi w:val="0"/>
        <w:spacing w:before="0" w:after="1940" w:line="276" w:lineRule="auto"/>
        <w:ind w:left="2840" w:right="0" w:hanging="220"/>
        <w:jc w:val="left"/>
      </w:pPr>
      <w:r>
        <w:rPr>
          <w:rStyle w:val="CharStyle20"/>
          <w:color w:val="006AB4"/>
          <w:sz w:val="22"/>
          <w:szCs w:val="22"/>
        </w:rPr>
        <w:t xml:space="preserve">^ </w:t>
      </w:r>
      <w:r>
        <w:rPr>
          <w:rStyle w:val="CharStyle20"/>
        </w:rPr>
        <w:t>Není uvažována úplná transformace teplárenství (CZT) a závodních energetik z uhlí na zemní plyn, biomasu, odpad, popřípadě jiná alternativní paliva. Je pouze částečná a je pouze podle plánu provozovatelů zdrojů</w:t>
      </w:r>
    </w:p>
    <w:p>
      <w:pPr>
        <w:pStyle w:val="Style15"/>
        <w:keepNext/>
        <w:keepLines/>
        <w:widowControl w:val="0"/>
        <w:shd w:val="clear" w:color="auto" w:fill="auto"/>
        <w:bidi w:val="0"/>
        <w:spacing w:before="0" w:after="4500" w:line="240" w:lineRule="auto"/>
        <w:ind w:left="0" w:right="0" w:firstLine="0"/>
        <w:jc w:val="left"/>
      </w:pPr>
      <w:r>
        <w:drawing>
          <wp:anchor distT="0" distB="713105" distL="0" distR="0" simplePos="0" relativeHeight="125829447" behindDoc="0" locked="0" layoutInCell="1" allowOverlap="1">
            <wp:simplePos x="0" y="0"/>
            <wp:positionH relativeFrom="margin">
              <wp:posOffset>22860</wp:posOffset>
            </wp:positionH>
            <wp:positionV relativeFrom="paragraph">
              <wp:posOffset>457200</wp:posOffset>
            </wp:positionV>
            <wp:extent cx="6193790" cy="2316480"/>
            <wp:wrapTight wrapText="bothSides">
              <wp:wrapPolygon>
                <wp:start x="0" y="0"/>
                <wp:lineTo x="21600" y="0"/>
                <wp:lineTo x="21600" y="21600"/>
                <wp:lineTo x="0" y="21600"/>
                <wp:lineTo x="0" y="0"/>
              </wp:wrapPolygon>
            </wp:wrapTight>
            <wp:docPr id="220" name="Shape 220"/>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171"/>
                    <a:stretch/>
                  </pic:blipFill>
                  <pic:spPr>
                    <a:xfrm>
                      <a:ext cx="6193790" cy="231648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margin">
                  <wp:posOffset>577850</wp:posOffset>
                </wp:positionH>
                <wp:positionV relativeFrom="paragraph">
                  <wp:posOffset>3008630</wp:posOffset>
                </wp:positionV>
                <wp:extent cx="1408430" cy="478790"/>
                <wp:wrapNone/>
                <wp:docPr id="222" name="Shape 222"/>
                <a:graphic xmlns:a="http://schemas.openxmlformats.org/drawingml/2006/main">
                  <a:graphicData uri="http://schemas.microsoft.com/office/word/2010/wordprocessingShape">
                    <wps:wsp>
                      <wps:cNvSpPr txBox="1"/>
                      <wps:spPr>
                        <a:xfrm>
                          <a:ext cx="140843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wps:txbx>
                      <wps:bodyPr lIns="0" tIns="0" rIns="0" bIns="0">
                        <a:noAutoFit/>
                      </wps:bodyPr>
                    </wps:wsp>
                  </a:graphicData>
                </a:graphic>
              </wp:anchor>
            </w:drawing>
          </mc:Choice>
          <mc:Fallback>
            <w:pict>
              <v:shape id="_x0000_s1248" type="#_x0000_t202" style="position:absolute;margin-left:45.5pt;margin-top:236.90000000000001pt;width:110.90000000000001pt;height:37.700000000000003pt;z-index:251657755;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v:textbox>
                <w10:wrap anchorx="margin"/>
              </v:shape>
            </w:pict>
          </mc:Fallback>
        </mc:AlternateContent>
      </w:r>
      <w:r>
        <mc:AlternateContent>
          <mc:Choice Requires="wps">
            <w:drawing>
              <wp:anchor distT="0" distB="0" distL="0" distR="0" simplePos="0" relativeHeight="503316510" behindDoc="0" locked="0" layoutInCell="1" allowOverlap="1">
                <wp:simplePos x="0" y="0"/>
                <wp:positionH relativeFrom="margin">
                  <wp:posOffset>2281555</wp:posOffset>
                </wp:positionH>
                <wp:positionV relativeFrom="paragraph">
                  <wp:posOffset>3008630</wp:posOffset>
                </wp:positionV>
                <wp:extent cx="1761490" cy="478790"/>
                <wp:wrapNone/>
                <wp:docPr id="224" name="Shape 224"/>
                <a:graphic xmlns:a="http://schemas.openxmlformats.org/drawingml/2006/main">
                  <a:graphicData uri="http://schemas.microsoft.com/office/word/2010/wordprocessingShape">
                    <wps:wsp>
                      <wps:cNvSpPr txBox="1"/>
                      <wps:spPr>
                        <a:xfrm>
                          <a:ext cx="176149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wps:txbx>
                      <wps:bodyPr lIns="0" tIns="0" rIns="0" bIns="0">
                        <a:noAutoFit/>
                      </wps:bodyPr>
                    </wps:wsp>
                  </a:graphicData>
                </a:graphic>
              </wp:anchor>
            </w:drawing>
          </mc:Choice>
          <mc:Fallback>
            <w:pict>
              <v:shape id="_x0000_s1250" type="#_x0000_t202" style="position:absolute;margin-left:179.65000000000001pt;margin-top:236.90000000000001pt;width:138.70000000000002pt;height:37.700000000000003pt;z-index:251657757;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v:textbox>
                <w10:wrap anchorx="margin"/>
              </v:shape>
            </w:pict>
          </mc:Fallback>
        </mc:AlternateContent>
      </w:r>
      <w:bookmarkStart w:id="160" w:name="bookmark160"/>
      <w:r>
        <w:rPr>
          <w:rStyle w:val="CharStyle16"/>
          <w:b/>
          <w:bCs/>
        </w:rPr>
        <w:t>Obr. 6.2 Netto instalovaný výkon v Respondentním scénáři pro jednotlivé roky a kategorie zdrojů</w:t>
      </w:r>
      <w:bookmarkEnd w:id="160"/>
    </w:p>
    <w:tbl>
      <w:tblPr>
        <w:tblOverlap w:val="never"/>
        <w:jc w:val="left"/>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2025</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2030</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2035</w:t>
            </w:r>
          </w:p>
        </w:tc>
        <w:tc>
          <w:tcPr>
            <w:tcBorders>
              <w:top w:val="single" w:sz="4"/>
              <w:left w:val="single" w:sz="4"/>
              <w:righ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2040</w:t>
            </w:r>
          </w:p>
        </w:tc>
      </w:tr>
      <w:tr>
        <w:trPr>
          <w:trHeight w:val="274"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89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224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560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1 142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4 268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8 133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9 317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10 005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529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742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942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1 141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702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728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562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611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2 241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2 056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3 366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3 527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3 531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7 238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5 762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4 277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2 683 MW</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bookmarkStart w:id="162" w:name="bookmark162"/>
            <w:r>
              <w:rPr>
                <w:rStyle w:val="CharStyle6"/>
                <w:rFonts w:ascii="Calibri" w:eastAsia="Calibri" w:hAnsi="Calibri" w:cs="Calibri"/>
                <w:b/>
                <w:bCs/>
                <w:color w:val="006AB4"/>
                <w:sz w:val="15"/>
                <w:szCs w:val="15"/>
              </w:rPr>
              <w:t>Jaderné elektrárny</w:t>
            </w:r>
            <w:bookmarkEnd w:id="162"/>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4 047 MW</w:t>
            </w:r>
          </w:p>
        </w:tc>
        <w:tc>
          <w:tcPr>
            <w:tcBorders>
              <w:top w:val="single" w:sz="4"/>
              <w:left w:val="single" w:sz="4"/>
              <w:bottom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5 187 MW</w:t>
            </w:r>
          </w:p>
        </w:tc>
      </w:tr>
    </w:tbl>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B7B8B8"/>
          <w:sz w:val="16"/>
          <w:szCs w:val="16"/>
        </w:rPr>
        <w:t xml:space="preserve">| </w:t>
      </w:r>
      <w:r>
        <w:rPr>
          <w:rStyle w:val="CharStyle45"/>
          <w:color w:val="000000"/>
          <w:sz w:val="16"/>
          <w:szCs w:val="16"/>
        </w:rPr>
        <w:t>Plynové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6B3B0A"/>
          <w:sz w:val="16"/>
          <w:szCs w:val="16"/>
        </w:rPr>
        <w:t xml:space="preserve">| </w:t>
      </w:r>
      <w:r>
        <w:rPr>
          <w:rStyle w:val="CharStyle45"/>
          <w:color w:val="000000"/>
          <w:sz w:val="16"/>
          <w:szCs w:val="16"/>
        </w:rPr>
        <w:t>Uhelné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E30613"/>
          <w:sz w:val="16"/>
          <w:szCs w:val="16"/>
        </w:rPr>
        <w:t xml:space="preserve">| </w:t>
      </w:r>
      <w:r>
        <w:rPr>
          <w:rStyle w:val="CharStyle45"/>
          <w:color w:val="000000"/>
          <w:sz w:val="16"/>
          <w:szCs w:val="16"/>
        </w:rPr>
        <w:t>Jaderné elektrárny</w:t>
      </w:r>
    </w:p>
    <w:p>
      <w:pPr>
        <w:widowControl w:val="0"/>
        <w:spacing w:line="1" w:lineRule="exact"/>
      </w:pPr>
    </w:p>
    <w:p>
      <w:pPr>
        <w:pStyle w:val="Style27"/>
        <w:keepNext/>
        <w:keepLines/>
        <w:widowControl w:val="0"/>
        <w:numPr>
          <w:ilvl w:val="2"/>
          <w:numId w:val="29"/>
        </w:numPr>
        <w:shd w:val="clear" w:color="auto" w:fill="auto"/>
        <w:tabs>
          <w:tab w:pos="627" w:val="left"/>
        </w:tabs>
        <w:bidi w:val="0"/>
        <w:spacing w:before="0" w:after="0"/>
        <w:ind w:left="0" w:right="0" w:firstLine="0"/>
        <w:jc w:val="left"/>
      </w:pPr>
      <w:bookmarkStart w:id="163" w:name="bookmark163"/>
      <w:r>
        <w:rPr>
          <w:rStyle w:val="CharStyle28"/>
          <w:b/>
          <w:bCs/>
        </w:rPr>
        <w:t>KONZERVATIVNÍ SCÉNÁŘ</w:t>
      </w:r>
      <w:bookmarkEnd w:id="163"/>
    </w:p>
    <w:p>
      <w:pPr>
        <w:pStyle w:val="Style19"/>
        <w:keepNext w:val="0"/>
        <w:keepLines w:val="0"/>
        <w:widowControl w:val="0"/>
        <w:shd w:val="clear" w:color="auto" w:fill="auto"/>
        <w:bidi w:val="0"/>
        <w:spacing w:before="0" w:after="0"/>
        <w:ind w:left="0" w:right="0" w:firstLine="0"/>
        <w:jc w:val="left"/>
      </w:pPr>
      <w:r>
        <w:rPr>
          <w:rStyle w:val="CharStyle20"/>
        </w:rPr>
        <w:t>Scénář vychází z dat získaných v rámci pravidelného jednou ročně prováděného dotazníkového šetření. Po roce 2030 však dochází k výrazně rychlejšímu útlumu energetických zdrojů spalujících uhlí než v případě Respondentního scénáře.</w:t>
      </w:r>
    </w:p>
    <w:p>
      <w:pPr>
        <w:pStyle w:val="Style19"/>
        <w:keepNext w:val="0"/>
        <w:keepLines w:val="0"/>
        <w:widowControl w:val="0"/>
        <w:shd w:val="clear" w:color="auto" w:fill="auto"/>
        <w:bidi w:val="0"/>
        <w:spacing w:before="0"/>
        <w:ind w:left="0" w:right="0" w:firstLine="0"/>
        <w:jc w:val="left"/>
      </w:pPr>
      <w:r>
        <w:rPr>
          <w:rStyle w:val="CharStyle20"/>
        </w:rPr>
        <w:t>K úplnému odklonu od uhelné energetiky dojde v roce 2038.</w:t>
      </w:r>
    </w:p>
    <w:p>
      <w:pPr>
        <w:pStyle w:val="Style19"/>
        <w:keepNext w:val="0"/>
        <w:keepLines w:val="0"/>
        <w:widowControl w:val="0"/>
        <w:shd w:val="clear" w:color="auto" w:fill="auto"/>
        <w:bidi w:val="0"/>
        <w:spacing w:before="0" w:after="200" w:line="300" w:lineRule="auto"/>
        <w:ind w:left="0" w:right="0" w:firstLine="0"/>
        <w:jc w:val="left"/>
      </w:pPr>
      <w:r>
        <w:rPr>
          <w:rStyle w:val="CharStyle20"/>
        </w:rPr>
        <w:t>Vstupní předpoklady:</w:t>
      </w:r>
    </w:p>
    <w:p>
      <w:pPr>
        <w:pStyle w:val="Style19"/>
        <w:keepNext w:val="0"/>
        <w:keepLines w:val="0"/>
        <w:widowControl w:val="0"/>
        <w:shd w:val="clear" w:color="auto" w:fill="auto"/>
        <w:bidi w:val="0"/>
        <w:spacing w:before="0" w:after="200" w:line="276" w:lineRule="auto"/>
        <w:ind w:left="240" w:right="0" w:hanging="240"/>
        <w:jc w:val="left"/>
      </w:pPr>
      <w:r>
        <w:rPr>
          <w:rStyle w:val="CharStyle20"/>
          <w:color w:val="006AB4"/>
          <w:sz w:val="22"/>
          <w:szCs w:val="22"/>
        </w:rPr>
        <w:t xml:space="preserve">^ </w:t>
      </w:r>
      <w:r>
        <w:rPr>
          <w:rStyle w:val="CharStyle20"/>
        </w:rPr>
        <w:t>Vývoj instalovaného výkonu VTE a FVE je shodný s Konzervativní predikcí těchto zdrojů. Výhled FVE je vytvořen v návaznosti na prostředky Modernizačního fondu a dalších programů určených na podporu obnovitelných zdrojů. (Obr. 4.9)</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Výhled vývoje bioplynu odpovídá Konzervativní predikci vývoje segmentu (Obr. 4.13)</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Rozvoj biomasy je shodný s Konzervativní predikci vývoje sektoru biomasa (Obr. 4.15)</w:t>
      </w:r>
    </w:p>
    <w:p>
      <w:pPr>
        <w:pStyle w:val="Style19"/>
        <w:keepNext w:val="0"/>
        <w:keepLines w:val="0"/>
        <w:widowControl w:val="0"/>
        <w:shd w:val="clear" w:color="auto" w:fill="auto"/>
        <w:bidi w:val="0"/>
        <w:spacing w:before="0" w:after="720" w:line="240" w:lineRule="auto"/>
        <w:ind w:left="0" w:right="0" w:firstLine="0"/>
        <w:jc w:val="left"/>
      </w:pPr>
      <w:r>
        <w:rPr>
          <w:rStyle w:val="CharStyle20"/>
          <w:color w:val="006AB4"/>
          <w:sz w:val="22"/>
          <w:szCs w:val="22"/>
        </w:rPr>
        <w:t xml:space="preserve">^ </w:t>
      </w:r>
      <w:r>
        <w:rPr>
          <w:rStyle w:val="CharStyle20"/>
        </w:rPr>
        <w:t>TKO je dán Konzervativní predikcí (Obr. 4.16)</w:t>
      </w:r>
    </w:p>
    <w:p>
      <w:pPr>
        <w:pStyle w:val="Style15"/>
        <w:keepNext/>
        <w:keepLines/>
        <w:widowControl w:val="0"/>
        <w:shd w:val="clear" w:color="auto" w:fill="auto"/>
        <w:bidi w:val="0"/>
        <w:spacing w:before="0" w:after="200" w:line="300" w:lineRule="auto"/>
        <w:ind w:left="0" w:right="0" w:firstLine="0"/>
        <w:jc w:val="left"/>
      </w:pPr>
      <w:bookmarkStart w:id="165" w:name="bookmark165"/>
      <w:r>
        <w:rPr>
          <w:rStyle w:val="CharStyle16"/>
          <w:b/>
          <w:bCs/>
        </w:rPr>
        <w:t>Obr. 6.3 Výhled netto instalovaného výkonu ČR (mimo OZE), plynových zdrojů a uhelných zdrojů v Konzervativním scénáři</w:t>
      </w:r>
      <w:bookmarkEnd w:id="165"/>
    </w:p>
    <w:p>
      <w:pPr>
        <w:widowControl w:val="0"/>
        <w:jc w:val="center"/>
        <w:rPr>
          <w:sz w:val="2"/>
          <w:szCs w:val="2"/>
        </w:rPr>
      </w:pPr>
      <w:r>
        <w:drawing>
          <wp:inline>
            <wp:extent cx="7559040" cy="2225040"/>
            <wp:docPr id="226" name="Picutre 226"/>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73"/>
                    <a:stretch/>
                  </pic:blipFill>
                  <pic:spPr>
                    <a:xfrm>
                      <a:ext cx="7559040" cy="2225040"/>
                    </a:xfrm>
                    <a:prstGeom prst="rect"/>
                  </pic:spPr>
                </pic:pic>
              </a:graphicData>
            </a:graphic>
          </wp:inline>
        </w:drawing>
      </w:r>
    </w:p>
    <w:p>
      <w:pPr>
        <w:widowControl w:val="0"/>
        <w:spacing w:after="239" w:line="1" w:lineRule="exact"/>
      </w:pPr>
    </w:p>
    <w:p>
      <w:pPr>
        <w:widowControl w:val="0"/>
        <w:spacing w:line="1" w:lineRule="exact"/>
      </w:pPr>
    </w:p>
    <w:p>
      <w:pPr>
        <w:framePr w:w="11904" w:h="3994" w:vSpace="379" w:wrap="notBeside" w:vAnchor="text" w:hAnchor="text" w:x="-714" w:y="1"/>
        <w:widowControl w:val="0"/>
        <w:rPr>
          <w:sz w:val="2"/>
          <w:szCs w:val="2"/>
        </w:rPr>
      </w:pPr>
      <w:r>
        <w:drawing>
          <wp:inline>
            <wp:extent cx="7559040" cy="2536190"/>
            <wp:docPr id="227" name="Picutre 227"/>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75"/>
                    <a:stretch/>
                  </pic:blipFill>
                  <pic:spPr>
                    <a:xfrm>
                      <a:ext cx="7559040" cy="2536190"/>
                    </a:xfrm>
                    <a:prstGeom prst="rect"/>
                  </pic:spPr>
                </pic:pic>
              </a:graphicData>
            </a:graphic>
          </wp:inline>
        </w:drawing>
      </w:r>
    </w:p>
    <w:p>
      <w:pPr>
        <w:widowControl w:val="0"/>
        <w:spacing w:line="1" w:lineRule="exact"/>
      </w:pPr>
      <w:r>
        <mc:AlternateContent>
          <mc:Choice Requires="wps">
            <w:drawing>
              <wp:anchor distT="0" distB="0" distL="0" distR="0" simplePos="0" relativeHeight="125829448" behindDoc="0" locked="0" layoutInCell="1" allowOverlap="1">
                <wp:simplePos x="0" y="0"/>
                <wp:positionH relativeFrom="column">
                  <wp:posOffset>917575</wp:posOffset>
                </wp:positionH>
                <wp:positionV relativeFrom="paragraph">
                  <wp:posOffset>2627630</wp:posOffset>
                </wp:positionV>
                <wp:extent cx="1905000" cy="149225"/>
                <wp:wrapTopAndBottom/>
                <wp:docPr id="228" name="Shape 228"/>
                <a:graphic xmlns:a="http://schemas.openxmlformats.org/drawingml/2006/main">
                  <a:graphicData uri="http://schemas.microsoft.com/office/word/2010/wordprocessingShape">
                    <wps:wsp>
                      <wps:cNvSpPr txBox="1"/>
                      <wps:spPr>
                        <a:xfrm>
                          <a:ext cx="1905000" cy="14922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Netto instalovaný výkon ČR, mimo OZE</w:t>
                            </w:r>
                          </w:p>
                        </w:txbxContent>
                      </wps:txbx>
                      <wps:bodyPr lIns="0" tIns="0" rIns="0" bIns="0">
                        <a:noAutoFit/>
                      </wps:bodyPr>
                    </wps:wsp>
                  </a:graphicData>
                </a:graphic>
              </wp:anchor>
            </w:drawing>
          </mc:Choice>
          <mc:Fallback>
            <w:pict>
              <v:shape id="_x0000_s1254" type="#_x0000_t202" style="position:absolute;margin-left:72.25pt;margin-top:206.90000000000001pt;width:150.pt;height:11.75pt;z-index:-125829305;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Netto instalovaný výkon ČR, mimo OZE</w:t>
                      </w:r>
                    </w:p>
                  </w:txbxContent>
                </v:textbox>
                <w10:wrap type="topAndBottom"/>
              </v:shape>
            </w:pict>
          </mc:Fallback>
        </mc:AlternateContent>
      </w:r>
      <w:r>
        <mc:AlternateContent>
          <mc:Choice Requires="wps">
            <w:drawing>
              <wp:anchor distT="0" distB="0" distL="0" distR="0" simplePos="0" relativeHeight="125829450" behindDoc="0" locked="0" layoutInCell="1" allowOverlap="1">
                <wp:simplePos x="0" y="0"/>
                <wp:positionH relativeFrom="column">
                  <wp:posOffset>3623945</wp:posOffset>
                </wp:positionH>
                <wp:positionV relativeFrom="paragraph">
                  <wp:posOffset>2636520</wp:posOffset>
                </wp:positionV>
                <wp:extent cx="725170" cy="140335"/>
                <wp:wrapTopAndBottom/>
                <wp:docPr id="230" name="Shape 230"/>
                <a:graphic xmlns:a="http://schemas.openxmlformats.org/drawingml/2006/main">
                  <a:graphicData uri="http://schemas.microsoft.com/office/word/2010/wordprocessingShape">
                    <wps:wsp>
                      <wps:cNvSpPr txBox="1"/>
                      <wps:spPr>
                        <a:xfrm>
                          <a:ext cx="72517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Uhelné zdroje</w:t>
                            </w:r>
                          </w:p>
                        </w:txbxContent>
                      </wps:txbx>
                      <wps:bodyPr lIns="0" tIns="0" rIns="0" bIns="0">
                        <a:noAutoFit/>
                      </wps:bodyPr>
                    </wps:wsp>
                  </a:graphicData>
                </a:graphic>
              </wp:anchor>
            </w:drawing>
          </mc:Choice>
          <mc:Fallback>
            <w:pict>
              <v:shape id="_x0000_s1256" type="#_x0000_t202" style="position:absolute;margin-left:285.35000000000002pt;margin-top:207.59999999999999pt;width:57.100000000000001pt;height:11.050000000000001pt;z-index:-125829303;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Uhelné zdroje</w:t>
                      </w:r>
                    </w:p>
                  </w:txbxContent>
                </v:textbox>
                <w10:wrap type="topAndBottom"/>
              </v:shape>
            </w:pict>
          </mc:Fallback>
        </mc:AlternateContent>
      </w:r>
      <w:r>
        <mc:AlternateContent>
          <mc:Choice Requires="wps">
            <w:drawing>
              <wp:anchor distT="0" distB="0" distL="0" distR="0" simplePos="0" relativeHeight="125829452" behindDoc="0" locked="0" layoutInCell="1" allowOverlap="1">
                <wp:simplePos x="0" y="0"/>
                <wp:positionH relativeFrom="column">
                  <wp:posOffset>5147945</wp:posOffset>
                </wp:positionH>
                <wp:positionV relativeFrom="paragraph">
                  <wp:posOffset>2636520</wp:posOffset>
                </wp:positionV>
                <wp:extent cx="755650" cy="140335"/>
                <wp:wrapTopAndBottom/>
                <wp:docPr id="232" name="Shape 232"/>
                <a:graphic xmlns:a="http://schemas.openxmlformats.org/drawingml/2006/main">
                  <a:graphicData uri="http://schemas.microsoft.com/office/word/2010/wordprocessingShape">
                    <wps:wsp>
                      <wps:cNvSpPr txBox="1"/>
                      <wps:spPr>
                        <a:xfrm>
                          <a:ext cx="755650" cy="1403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Plynové zdroje</w:t>
                            </w:r>
                          </w:p>
                        </w:txbxContent>
                      </wps:txbx>
                      <wps:bodyPr lIns="0" tIns="0" rIns="0" bIns="0">
                        <a:noAutoFit/>
                      </wps:bodyPr>
                    </wps:wsp>
                  </a:graphicData>
                </a:graphic>
              </wp:anchor>
            </w:drawing>
          </mc:Choice>
          <mc:Fallback>
            <w:pict>
              <v:shape id="_x0000_s1258" type="#_x0000_t202" style="position:absolute;margin-left:405.35000000000002pt;margin-top:207.59999999999999pt;width:59.5pt;height:11.050000000000001pt;z-index:-125829301;mso-wrap-distance-left:0;mso-wrap-distance-right:0"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Plynové zdroje</w:t>
                      </w:r>
                    </w:p>
                  </w:txbxContent>
                </v:textbox>
                <w10:wrap type="topAndBottom"/>
              </v:shape>
            </w:pict>
          </mc:Fallback>
        </mc:AlternateContent>
      </w:r>
      <w:r>
        <w:br w:type="page"/>
      </w:r>
    </w:p>
    <w:p>
      <w:pPr>
        <w:pStyle w:val="Style19"/>
        <w:keepNext w:val="0"/>
        <w:keepLines w:val="0"/>
        <w:widowControl w:val="0"/>
        <w:shd w:val="clear" w:color="auto" w:fill="auto"/>
        <w:bidi w:val="0"/>
        <w:spacing w:before="0" w:after="200" w:line="271" w:lineRule="auto"/>
        <w:ind w:left="2840" w:right="0" w:hanging="220"/>
        <w:jc w:val="left"/>
      </w:pPr>
      <w:r>
        <w:rPr>
          <w:rStyle w:val="CharStyle20"/>
          <w:color w:val="006AB4"/>
          <w:sz w:val="22"/>
          <w:szCs w:val="22"/>
        </w:rPr>
        <w:t xml:space="preserve">^ </w:t>
      </w:r>
      <w:r>
        <w:rPr>
          <w:rStyle w:val="CharStyle20"/>
        </w:rPr>
        <w:t>Pro výhled vývoje palivových článků, vodíkových a bateriových instalací je použitá Konzervativní predikce vývoje těchto segmentů (Obr. 4.18, Obr. 4.21 a Obr. 4.23)</w:t>
      </w:r>
    </w:p>
    <w:p>
      <w:pPr>
        <w:pStyle w:val="Style19"/>
        <w:keepNext w:val="0"/>
        <w:keepLines w:val="0"/>
        <w:widowControl w:val="0"/>
        <w:shd w:val="clear" w:color="auto" w:fill="auto"/>
        <w:bidi w:val="0"/>
        <w:spacing w:before="0" w:after="200" w:line="286" w:lineRule="auto"/>
        <w:ind w:left="2840" w:right="0" w:hanging="220"/>
        <w:jc w:val="left"/>
      </w:pPr>
      <w:r>
        <w:rPr>
          <w:rStyle w:val="CharStyle20"/>
          <w:color w:val="006AB4"/>
          <w:sz w:val="22"/>
          <w:szCs w:val="22"/>
        </w:rPr>
        <w:t xml:space="preserve">^ </w:t>
      </w:r>
      <w:r>
        <w:rPr>
          <w:rStyle w:val="CharStyle20"/>
        </w:rPr>
        <w:t>Scénář je založen na Konzervativním scénáři spotřeby (Obr. 5.2), který bere do úvahy aktuálně známé strategie, vize a plány Vlády ČR a předpoklady budoucího vývoje socio-ekonomické situace v České republice, a to včetně zohlednění vývoje po pandemii COVID-19 a energetické krizi</w:t>
      </w:r>
    </w:p>
    <w:p>
      <w:pPr>
        <w:pStyle w:val="Style19"/>
        <w:keepNext w:val="0"/>
        <w:keepLines w:val="0"/>
        <w:widowControl w:val="0"/>
        <w:shd w:val="clear" w:color="auto" w:fill="auto"/>
        <w:bidi w:val="0"/>
        <w:spacing w:before="0" w:after="200" w:line="271" w:lineRule="auto"/>
        <w:ind w:left="2840" w:right="0" w:hanging="220"/>
        <w:jc w:val="left"/>
      </w:pPr>
      <w:r>
        <w:rPr>
          <w:rStyle w:val="CharStyle20"/>
          <w:color w:val="006AB4"/>
          <w:sz w:val="22"/>
          <w:szCs w:val="22"/>
        </w:rPr>
        <w:t xml:space="preserve">^ </w:t>
      </w:r>
      <w:r>
        <w:rPr>
          <w:rStyle w:val="CharStyle20"/>
        </w:rPr>
        <w:t>Predikce vývoje geotermálních zdrojů vychází z Vnitrostátního plánu České republiky v oblasti energetiky a klimatu</w:t>
      </w:r>
    </w:p>
    <w:p>
      <w:pPr>
        <w:pStyle w:val="Style19"/>
        <w:keepNext w:val="0"/>
        <w:keepLines w:val="0"/>
        <w:widowControl w:val="0"/>
        <w:shd w:val="clear" w:color="auto" w:fill="auto"/>
        <w:bidi w:val="0"/>
        <w:spacing w:before="0" w:after="1940" w:line="276" w:lineRule="auto"/>
        <w:ind w:left="2840" w:right="0" w:hanging="220"/>
        <w:jc w:val="left"/>
      </w:pPr>
      <w:r>
        <w:rPr>
          <w:rStyle w:val="CharStyle20"/>
          <w:color w:val="006AB4"/>
          <w:sz w:val="22"/>
          <w:szCs w:val="22"/>
        </w:rPr>
        <w:t xml:space="preserve">^ </w:t>
      </w:r>
      <w:r>
        <w:rPr>
          <w:rStyle w:val="CharStyle20"/>
        </w:rPr>
        <w:t>Kompletní dokončení transformace teplárenství (CZT) a závodních energetik z uhlí na zemní plyn, biomasu, odpad, popřípadě jiná alternativní paliva je uvažováno do konce roku 2030</w:t>
      </w:r>
    </w:p>
    <w:p>
      <w:pPr>
        <w:pStyle w:val="Style15"/>
        <w:keepNext/>
        <w:keepLines/>
        <w:widowControl w:val="0"/>
        <w:shd w:val="clear" w:color="auto" w:fill="auto"/>
        <w:bidi w:val="0"/>
        <w:spacing w:before="0" w:after="4500" w:line="240" w:lineRule="auto"/>
        <w:ind w:left="0" w:right="0" w:firstLine="0"/>
        <w:jc w:val="left"/>
      </w:pPr>
      <w:r>
        <w:drawing>
          <wp:anchor distT="0" distB="713105" distL="0" distR="0" simplePos="0" relativeHeight="125829454" behindDoc="0" locked="0" layoutInCell="1" allowOverlap="1">
            <wp:simplePos x="0" y="0"/>
            <wp:positionH relativeFrom="margin">
              <wp:posOffset>22860</wp:posOffset>
            </wp:positionH>
            <wp:positionV relativeFrom="paragraph">
              <wp:posOffset>457200</wp:posOffset>
            </wp:positionV>
            <wp:extent cx="6193790" cy="2316480"/>
            <wp:wrapTight wrapText="bothSides">
              <wp:wrapPolygon>
                <wp:start x="0" y="0"/>
                <wp:lineTo x="21600" y="0"/>
                <wp:lineTo x="21600" y="21600"/>
                <wp:lineTo x="0" y="21600"/>
                <wp:lineTo x="0" y="0"/>
              </wp:wrapPolygon>
            </wp:wrapTight>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177"/>
                    <a:stretch/>
                  </pic:blipFill>
                  <pic:spPr>
                    <a:xfrm>
                      <a:ext cx="6193790" cy="231648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margin">
                  <wp:posOffset>577850</wp:posOffset>
                </wp:positionH>
                <wp:positionV relativeFrom="paragraph">
                  <wp:posOffset>3008630</wp:posOffset>
                </wp:positionV>
                <wp:extent cx="1408430" cy="478790"/>
                <wp:wrapNone/>
                <wp:docPr id="236" name="Shape 236"/>
                <a:graphic xmlns:a="http://schemas.openxmlformats.org/drawingml/2006/main">
                  <a:graphicData uri="http://schemas.microsoft.com/office/word/2010/wordprocessingShape">
                    <wps:wsp>
                      <wps:cNvSpPr txBox="1"/>
                      <wps:spPr>
                        <a:xfrm>
                          <a:ext cx="140843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wps:txbx>
                      <wps:bodyPr lIns="0" tIns="0" rIns="0" bIns="0">
                        <a:noAutoFit/>
                      </wps:bodyPr>
                    </wps:wsp>
                  </a:graphicData>
                </a:graphic>
              </wp:anchor>
            </w:drawing>
          </mc:Choice>
          <mc:Fallback>
            <w:pict>
              <v:shape id="_x0000_s1262" type="#_x0000_t202" style="position:absolute;margin-left:45.5pt;margin-top:236.90000000000001pt;width:110.90000000000001pt;height:37.700000000000003pt;z-index:251657759;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v:textbox>
                <w10:wrap anchorx="margin"/>
              </v:shape>
            </w:pict>
          </mc:Fallback>
        </mc:AlternateContent>
      </w:r>
      <w:r>
        <mc:AlternateContent>
          <mc:Choice Requires="wps">
            <w:drawing>
              <wp:anchor distT="0" distB="0" distL="0" distR="0" simplePos="0" relativeHeight="503316514" behindDoc="0" locked="0" layoutInCell="1" allowOverlap="1">
                <wp:simplePos x="0" y="0"/>
                <wp:positionH relativeFrom="margin">
                  <wp:posOffset>2281555</wp:posOffset>
                </wp:positionH>
                <wp:positionV relativeFrom="paragraph">
                  <wp:posOffset>3008630</wp:posOffset>
                </wp:positionV>
                <wp:extent cx="1761490" cy="478790"/>
                <wp:wrapNone/>
                <wp:docPr id="238" name="Shape 238"/>
                <a:graphic xmlns:a="http://schemas.openxmlformats.org/drawingml/2006/main">
                  <a:graphicData uri="http://schemas.microsoft.com/office/word/2010/wordprocessingShape">
                    <wps:wsp>
                      <wps:cNvSpPr txBox="1"/>
                      <wps:spPr>
                        <a:xfrm>
                          <a:ext cx="176149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wps:txbx>
                      <wps:bodyPr lIns="0" tIns="0" rIns="0" bIns="0">
                        <a:noAutoFit/>
                      </wps:bodyPr>
                    </wps:wsp>
                  </a:graphicData>
                </a:graphic>
              </wp:anchor>
            </w:drawing>
          </mc:Choice>
          <mc:Fallback>
            <w:pict>
              <v:shape id="_x0000_s1264" type="#_x0000_t202" style="position:absolute;margin-left:179.65000000000001pt;margin-top:236.90000000000001pt;width:138.70000000000002pt;height:37.700000000000003pt;z-index:251657761;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v:textbox>
                <w10:wrap anchorx="margin"/>
              </v:shape>
            </w:pict>
          </mc:Fallback>
        </mc:AlternateContent>
      </w:r>
      <w:bookmarkStart w:id="167" w:name="bookmark167"/>
      <w:r>
        <w:rPr>
          <w:rStyle w:val="CharStyle16"/>
          <w:b/>
          <w:bCs/>
        </w:rPr>
        <w:t>Obr. 6.4 Netto instalovaný výkon v Konzervativním scénáři pro jednotlivé roky a kategorie zdrojů</w:t>
      </w:r>
      <w:bookmarkEnd w:id="167"/>
    </w:p>
    <w:tbl>
      <w:tblPr>
        <w:tblOverlap w:val="never"/>
        <w:jc w:val="left"/>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2025</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2030</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2035</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2040</w:t>
            </w:r>
          </w:p>
        </w:tc>
      </w:tr>
      <w:tr>
        <w:trPr>
          <w:trHeight w:val="274"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14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89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224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560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1 142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4 268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8 133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9 317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10 005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529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742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942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1 141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702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728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653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701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2 241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2 071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3 381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3 831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3 792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7 222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5 751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3 734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bookmarkStart w:id="169" w:name="bookmark169"/>
            <w:r>
              <w:rPr>
                <w:rStyle w:val="CharStyle6"/>
                <w:rFonts w:ascii="Calibri" w:eastAsia="Calibri" w:hAnsi="Calibri" w:cs="Calibri"/>
                <w:b/>
                <w:bCs/>
                <w:color w:val="006AB4"/>
                <w:sz w:val="15"/>
                <w:szCs w:val="15"/>
              </w:rPr>
              <w:t>Jaderné elektrárny</w:t>
            </w:r>
            <w:bookmarkEnd w:id="169"/>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4 047 MW</w:t>
            </w:r>
          </w:p>
        </w:tc>
        <w:tc>
          <w:tcPr>
            <w:tcBorders>
              <w:top w:val="single" w:sz="4"/>
              <w:left w:val="single" w:sz="4"/>
              <w:bottom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5 187 MW</w:t>
            </w:r>
          </w:p>
        </w:tc>
      </w:tr>
    </w:tbl>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B7B8B8"/>
          <w:sz w:val="16"/>
          <w:szCs w:val="16"/>
        </w:rPr>
        <w:t xml:space="preserve">| </w:t>
      </w:r>
      <w:r>
        <w:rPr>
          <w:rStyle w:val="CharStyle45"/>
          <w:color w:val="000000"/>
          <w:sz w:val="16"/>
          <w:szCs w:val="16"/>
        </w:rPr>
        <w:t>Plynové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6B3B0A"/>
          <w:sz w:val="16"/>
          <w:szCs w:val="16"/>
        </w:rPr>
        <w:t xml:space="preserve">| </w:t>
      </w:r>
      <w:r>
        <w:rPr>
          <w:rStyle w:val="CharStyle45"/>
          <w:color w:val="000000"/>
          <w:sz w:val="16"/>
          <w:szCs w:val="16"/>
        </w:rPr>
        <w:t>Uhelné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E30613"/>
          <w:sz w:val="16"/>
          <w:szCs w:val="16"/>
        </w:rPr>
        <w:t xml:space="preserve">| </w:t>
      </w:r>
      <w:r>
        <w:rPr>
          <w:rStyle w:val="CharStyle45"/>
          <w:color w:val="000000"/>
          <w:sz w:val="16"/>
          <w:szCs w:val="16"/>
        </w:rPr>
        <w:t>Jaderné elektrárny</w:t>
      </w:r>
    </w:p>
    <w:p>
      <w:pPr>
        <w:widowControl w:val="0"/>
        <w:spacing w:line="1" w:lineRule="exact"/>
      </w:pPr>
    </w:p>
    <w:p>
      <w:pPr>
        <w:pStyle w:val="Style27"/>
        <w:keepNext/>
        <w:keepLines/>
        <w:widowControl w:val="0"/>
        <w:numPr>
          <w:ilvl w:val="2"/>
          <w:numId w:val="29"/>
        </w:numPr>
        <w:shd w:val="clear" w:color="auto" w:fill="auto"/>
        <w:tabs>
          <w:tab w:pos="632" w:val="left"/>
        </w:tabs>
        <w:bidi w:val="0"/>
        <w:spacing w:before="0" w:after="0"/>
        <w:ind w:left="0" w:right="0" w:firstLine="0"/>
        <w:jc w:val="left"/>
      </w:pPr>
      <w:bookmarkStart w:id="170" w:name="bookmark170"/>
      <w:r>
        <w:rPr>
          <w:rStyle w:val="CharStyle28"/>
          <w:b/>
          <w:bCs/>
        </w:rPr>
        <w:t>PROGRESIVNÍ SCÉNÁŘ</w:t>
      </w:r>
      <w:bookmarkEnd w:id="170"/>
    </w:p>
    <w:p>
      <w:pPr>
        <w:pStyle w:val="Style19"/>
        <w:keepNext w:val="0"/>
        <w:keepLines w:val="0"/>
        <w:widowControl w:val="0"/>
        <w:shd w:val="clear" w:color="auto" w:fill="auto"/>
        <w:bidi w:val="0"/>
        <w:spacing w:before="0" w:after="260"/>
        <w:ind w:left="0" w:right="0" w:firstLine="0"/>
        <w:jc w:val="left"/>
      </w:pPr>
      <w:r>
        <w:rPr>
          <w:rStyle w:val="CharStyle20"/>
        </w:rPr>
        <w:t>Tento scénář reprezentuje zrychlený útlum uhelných zdrojů a vyšší úroveň penetrace obnovitelných zdrojů. V porovnání s Konzervativním scénářem je kompletní odklon od uhlí stanoven na rok 2033. Předpoklad provozu tepláren a závodních energetik je shodný s Konzervativním scénářem.</w:t>
      </w:r>
    </w:p>
    <w:p>
      <w:pPr>
        <w:pStyle w:val="Style19"/>
        <w:keepNext w:val="0"/>
        <w:keepLines w:val="0"/>
        <w:widowControl w:val="0"/>
        <w:shd w:val="clear" w:color="auto" w:fill="auto"/>
        <w:bidi w:val="0"/>
        <w:spacing w:before="0" w:after="220"/>
        <w:ind w:left="0" w:right="0" w:firstLine="0"/>
        <w:jc w:val="left"/>
      </w:pPr>
      <w:r>
        <w:rPr>
          <w:rStyle w:val="CharStyle20"/>
        </w:rPr>
        <w:t>Vstupní předpoklady:</w:t>
      </w:r>
    </w:p>
    <w:p>
      <w:pPr>
        <w:pStyle w:val="Style19"/>
        <w:keepNext w:val="0"/>
        <w:keepLines w:val="0"/>
        <w:widowControl w:val="0"/>
        <w:shd w:val="clear" w:color="auto" w:fill="auto"/>
        <w:bidi w:val="0"/>
        <w:spacing w:before="0" w:after="220" w:line="271" w:lineRule="auto"/>
        <w:ind w:left="240" w:right="0" w:hanging="240"/>
        <w:jc w:val="left"/>
      </w:pPr>
      <w:r>
        <w:rPr>
          <w:rStyle w:val="CharStyle20"/>
          <w:color w:val="006AB4"/>
          <w:sz w:val="22"/>
          <w:szCs w:val="22"/>
        </w:rPr>
        <w:t xml:space="preserve">^ </w:t>
      </w:r>
      <w:r>
        <w:rPr>
          <w:rStyle w:val="CharStyle20"/>
        </w:rPr>
        <w:t>Vývoj instalovaného výkonu VTE a FVE je shodný s Progresivní predikcí těchto zdrojů (viz Obr. 4.10)</w:t>
      </w:r>
    </w:p>
    <w:p>
      <w:pPr>
        <w:pStyle w:val="Style19"/>
        <w:keepNext w:val="0"/>
        <w:keepLines w:val="0"/>
        <w:widowControl w:val="0"/>
        <w:shd w:val="clear" w:color="auto" w:fill="auto"/>
        <w:bidi w:val="0"/>
        <w:spacing w:before="0" w:after="220" w:line="240" w:lineRule="auto"/>
        <w:ind w:left="0" w:right="0" w:firstLine="0"/>
        <w:jc w:val="left"/>
      </w:pPr>
      <w:r>
        <w:rPr>
          <w:rStyle w:val="CharStyle20"/>
          <w:color w:val="006AB4"/>
          <w:sz w:val="22"/>
          <w:szCs w:val="22"/>
        </w:rPr>
        <w:t xml:space="preserve">^ </w:t>
      </w:r>
      <w:r>
        <w:rPr>
          <w:rStyle w:val="CharStyle20"/>
        </w:rPr>
        <w:t>Výhled vývoje Bioplynu odpovídá Progresivní predikci vývoje segmentu (Obr. 4.13)</w:t>
      </w:r>
    </w:p>
    <w:p>
      <w:pPr>
        <w:pStyle w:val="Style19"/>
        <w:keepNext w:val="0"/>
        <w:keepLines w:val="0"/>
        <w:widowControl w:val="0"/>
        <w:shd w:val="clear" w:color="auto" w:fill="auto"/>
        <w:bidi w:val="0"/>
        <w:spacing w:before="0" w:after="220" w:line="240" w:lineRule="auto"/>
        <w:ind w:left="0" w:right="0" w:firstLine="0"/>
        <w:jc w:val="left"/>
      </w:pPr>
      <w:r>
        <w:rPr>
          <w:rStyle w:val="CharStyle20"/>
          <w:color w:val="006AB4"/>
          <w:sz w:val="22"/>
          <w:szCs w:val="22"/>
        </w:rPr>
        <w:t xml:space="preserve">^ </w:t>
      </w:r>
      <w:r>
        <w:rPr>
          <w:rStyle w:val="CharStyle20"/>
        </w:rPr>
        <w:t>Rozvoj Biomasy je shodný s Progresivní predikci vývoje sektoru Biomasa (Obr. 4.15)</w:t>
      </w:r>
    </w:p>
    <w:p>
      <w:pPr>
        <w:pStyle w:val="Style19"/>
        <w:keepNext w:val="0"/>
        <w:keepLines w:val="0"/>
        <w:widowControl w:val="0"/>
        <w:shd w:val="clear" w:color="auto" w:fill="auto"/>
        <w:bidi w:val="0"/>
        <w:spacing w:before="0" w:after="1160" w:line="271" w:lineRule="auto"/>
        <w:ind w:left="240" w:right="0" w:hanging="240"/>
        <w:jc w:val="left"/>
      </w:pPr>
      <w:r>
        <w:rPr>
          <w:rStyle w:val="CharStyle20"/>
          <w:color w:val="006AB4"/>
          <w:sz w:val="22"/>
          <w:szCs w:val="22"/>
        </w:rPr>
        <w:t xml:space="preserve">^ </w:t>
      </w:r>
      <w:r>
        <w:rPr>
          <w:rStyle w:val="CharStyle20"/>
        </w:rPr>
        <w:t>TKO odpovídá Progresivní predikci vývoje instalovaného výkonu zdrojů spalujících tuhý komunální odpad (Obr. 4.16)</w:t>
      </w:r>
    </w:p>
    <w:p>
      <w:pPr>
        <w:pStyle w:val="Style15"/>
        <w:keepNext/>
        <w:keepLines/>
        <w:widowControl w:val="0"/>
        <w:shd w:val="clear" w:color="auto" w:fill="auto"/>
        <w:bidi w:val="0"/>
        <w:spacing w:before="0" w:after="220" w:line="300" w:lineRule="auto"/>
        <w:ind w:left="0" w:right="0" w:firstLine="0"/>
        <w:jc w:val="left"/>
      </w:pPr>
      <w:bookmarkStart w:id="172" w:name="bookmark172"/>
      <w:r>
        <w:rPr>
          <w:rStyle w:val="CharStyle16"/>
          <w:b/>
          <w:bCs/>
        </w:rPr>
        <w:t>Obr. 6.5 Výhled netto instalovaného výkonu ČR (mimo OZE), plynových zdrojů a uhelných zdrojů v Progresivním scénáři</w:t>
      </w:r>
      <w:bookmarkEnd w:id="172"/>
    </w:p>
    <w:p>
      <w:pPr>
        <w:widowControl w:val="0"/>
        <w:jc w:val="center"/>
        <w:rPr>
          <w:sz w:val="2"/>
          <w:szCs w:val="2"/>
        </w:rPr>
      </w:pPr>
      <w:r>
        <w:drawing>
          <wp:inline>
            <wp:extent cx="7559040" cy="2212975"/>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79"/>
                    <a:stretch/>
                  </pic:blipFill>
                  <pic:spPr>
                    <a:xfrm>
                      <a:ext cx="7559040" cy="2212975"/>
                    </a:xfrm>
                    <a:prstGeom prst="rect"/>
                  </pic:spPr>
                </pic:pic>
              </a:graphicData>
            </a:graphic>
          </wp:inline>
        </w:drawing>
      </w:r>
    </w:p>
    <w:p>
      <w:pPr>
        <w:widowControl w:val="0"/>
        <w:spacing w:after="259" w:line="1" w:lineRule="exact"/>
      </w:pPr>
    </w:p>
    <w:p>
      <w:pPr>
        <w:widowControl w:val="0"/>
        <w:spacing w:line="1" w:lineRule="exact"/>
      </w:pPr>
    </w:p>
    <w:p>
      <w:pPr>
        <w:widowControl w:val="0"/>
        <w:jc w:val="left"/>
        <w:rPr>
          <w:sz w:val="2"/>
          <w:szCs w:val="2"/>
        </w:rPr>
      </w:pPr>
      <w:r>
        <w:drawing>
          <wp:inline>
            <wp:extent cx="7089775" cy="2761615"/>
            <wp:docPr id="241" name="Picutre 241"/>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81"/>
                    <a:stretch/>
                  </pic:blipFill>
                  <pic:spPr>
                    <a:xfrm>
                      <a:ext cx="7089775" cy="2761615"/>
                    </a:xfrm>
                    <a:prstGeom prst="rect"/>
                  </pic:spPr>
                </pic:pic>
              </a:graphicData>
            </a:graphic>
          </wp:inline>
        </w:drawing>
      </w:r>
      <w:r>
        <w:br w:type="page"/>
      </w:r>
    </w:p>
    <w:p>
      <w:pPr>
        <w:pStyle w:val="Style19"/>
        <w:keepNext w:val="0"/>
        <w:keepLines w:val="0"/>
        <w:widowControl w:val="0"/>
        <w:shd w:val="clear" w:color="auto" w:fill="auto"/>
        <w:bidi w:val="0"/>
        <w:spacing w:before="0" w:after="220" w:line="271" w:lineRule="auto"/>
        <w:ind w:left="2840" w:right="0" w:hanging="220"/>
        <w:jc w:val="left"/>
      </w:pPr>
      <w:r>
        <w:rPr>
          <w:rStyle w:val="CharStyle20"/>
          <w:color w:val="006AB4"/>
          <w:sz w:val="22"/>
          <w:szCs w:val="22"/>
        </w:rPr>
        <w:t xml:space="preserve">^ </w:t>
      </w:r>
      <w:r>
        <w:rPr>
          <w:rStyle w:val="CharStyle20"/>
        </w:rPr>
        <w:t>Pro výhled vývoje palivových článku, vodíkových a bateriových instalací je použitá Progresivní predikce vývoje těchto segmentů (Obr. 4.18, Obr. 4.21 a Obr. 4.23)</w:t>
      </w:r>
    </w:p>
    <w:p>
      <w:pPr>
        <w:pStyle w:val="Style19"/>
        <w:keepNext w:val="0"/>
        <w:keepLines w:val="0"/>
        <w:widowControl w:val="0"/>
        <w:shd w:val="clear" w:color="auto" w:fill="auto"/>
        <w:bidi w:val="0"/>
        <w:spacing w:before="0" w:after="220" w:line="276" w:lineRule="auto"/>
        <w:ind w:left="2840" w:right="0" w:hanging="220"/>
        <w:jc w:val="left"/>
      </w:pPr>
      <w:r>
        <w:rPr>
          <w:rStyle w:val="CharStyle20"/>
          <w:color w:val="006AB4"/>
          <w:sz w:val="22"/>
          <w:szCs w:val="22"/>
        </w:rPr>
        <w:t xml:space="preserve">^ </w:t>
      </w:r>
      <w:r>
        <w:rPr>
          <w:rStyle w:val="CharStyle20"/>
        </w:rPr>
        <w:t>Scénář je založen na Progresivním scénáři spotřeby, který bere do úvahy ambiciózní cíle EU v oblasti snižování emisí a předpokládá navyšování spotřeby elektřiny v důsledku rozsáhlé elektrifikace (Obr. 5.7)</w:t>
      </w:r>
    </w:p>
    <w:p>
      <w:pPr>
        <w:pStyle w:val="Style19"/>
        <w:keepNext w:val="0"/>
        <w:keepLines w:val="0"/>
        <w:widowControl w:val="0"/>
        <w:shd w:val="clear" w:color="auto" w:fill="auto"/>
        <w:bidi w:val="0"/>
        <w:spacing w:before="0" w:after="220" w:line="276" w:lineRule="auto"/>
        <w:ind w:left="2840" w:right="0" w:hanging="220"/>
        <w:jc w:val="left"/>
      </w:pPr>
      <w:r>
        <w:rPr>
          <w:rStyle w:val="CharStyle20"/>
          <w:color w:val="006AB4"/>
          <w:sz w:val="22"/>
          <w:szCs w:val="22"/>
        </w:rPr>
        <w:t xml:space="preserve">^ </w:t>
      </w:r>
      <w:r>
        <w:rPr>
          <w:rStyle w:val="CharStyle20"/>
        </w:rPr>
        <w:t>Predikce vývoje geotermálních zdrojů vychází z Vnitrostátního plánu České republiky v oblasti energetiky a klimatu</w:t>
      </w:r>
    </w:p>
    <w:p>
      <w:pPr>
        <w:pStyle w:val="Style19"/>
        <w:keepNext w:val="0"/>
        <w:keepLines w:val="0"/>
        <w:widowControl w:val="0"/>
        <w:shd w:val="clear" w:color="auto" w:fill="auto"/>
        <w:bidi w:val="0"/>
        <w:spacing w:before="0" w:after="2200" w:line="276" w:lineRule="auto"/>
        <w:ind w:left="2840" w:right="0" w:hanging="220"/>
        <w:jc w:val="left"/>
      </w:pPr>
      <w:r>
        <w:rPr>
          <w:rStyle w:val="CharStyle20"/>
          <w:color w:val="006AB4"/>
          <w:sz w:val="22"/>
          <w:szCs w:val="22"/>
        </w:rPr>
        <w:t xml:space="preserve">^ </w:t>
      </w:r>
      <w:r>
        <w:rPr>
          <w:rStyle w:val="CharStyle20"/>
        </w:rPr>
        <w:t>Kompletní dokončení transformace teplárenství (CZT) a závodních energetik z uhlí na zemní plyn, biomasu, odpad, popřípadě jiná alternativní paliva je uvažováno do konce roku 2030</w:t>
      </w:r>
    </w:p>
    <w:p>
      <w:pPr>
        <w:pStyle w:val="Style15"/>
        <w:keepNext/>
        <w:keepLines/>
        <w:widowControl w:val="0"/>
        <w:shd w:val="clear" w:color="auto" w:fill="auto"/>
        <w:bidi w:val="0"/>
        <w:spacing w:before="0" w:after="4500" w:line="240" w:lineRule="auto"/>
        <w:ind w:left="0" w:right="0" w:firstLine="0"/>
        <w:jc w:val="left"/>
      </w:pPr>
      <w:r>
        <w:drawing>
          <wp:anchor distT="0" distB="713105" distL="0" distR="0" simplePos="0" relativeHeight="125829455" behindDoc="0" locked="0" layoutInCell="1" allowOverlap="1">
            <wp:simplePos x="0" y="0"/>
            <wp:positionH relativeFrom="margin">
              <wp:posOffset>22860</wp:posOffset>
            </wp:positionH>
            <wp:positionV relativeFrom="paragraph">
              <wp:posOffset>457200</wp:posOffset>
            </wp:positionV>
            <wp:extent cx="6193790" cy="2316480"/>
            <wp:wrapTight wrapText="bothSides">
              <wp:wrapPolygon>
                <wp:start x="0" y="0"/>
                <wp:lineTo x="21600" y="0"/>
                <wp:lineTo x="21600" y="21600"/>
                <wp:lineTo x="0" y="21600"/>
                <wp:lineTo x="0" y="0"/>
              </wp:wrapPolygon>
            </wp:wrapTight>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183"/>
                    <a:stretch/>
                  </pic:blipFill>
                  <pic:spPr>
                    <a:xfrm>
                      <a:ext cx="6193790" cy="231648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margin">
                  <wp:posOffset>577850</wp:posOffset>
                </wp:positionH>
                <wp:positionV relativeFrom="paragraph">
                  <wp:posOffset>3008630</wp:posOffset>
                </wp:positionV>
                <wp:extent cx="1408430" cy="478790"/>
                <wp:wrapNone/>
                <wp:docPr id="244" name="Shape 244"/>
                <a:graphic xmlns:a="http://schemas.openxmlformats.org/drawingml/2006/main">
                  <a:graphicData uri="http://schemas.microsoft.com/office/word/2010/wordprocessingShape">
                    <wps:wsp>
                      <wps:cNvSpPr txBox="1"/>
                      <wps:spPr>
                        <a:xfrm>
                          <a:ext cx="140843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wps:txbx>
                      <wps:bodyPr lIns="0" tIns="0" rIns="0" bIns="0">
                        <a:noAutoFit/>
                      </wps:bodyPr>
                    </wps:wsp>
                  </a:graphicData>
                </a:graphic>
              </wp:anchor>
            </w:drawing>
          </mc:Choice>
          <mc:Fallback>
            <w:pict>
              <v:shape id="_x0000_s1270" type="#_x0000_t202" style="position:absolute;margin-left:45.5pt;margin-top:236.90000000000001pt;width:110.90000000000001pt;height:37.700000000000003pt;z-index:251657763;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EE7E32"/>
                          <w:sz w:val="16"/>
                          <w:szCs w:val="16"/>
                        </w:rPr>
                        <w:t xml:space="preserve">| </w:t>
                      </w:r>
                      <w:r>
                        <w:rPr>
                          <w:rStyle w:val="CharStyle3"/>
                          <w:color w:val="000000"/>
                          <w:sz w:val="16"/>
                          <w:szCs w:val="16"/>
                        </w:rPr>
                        <w:t>Palivové články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sz w:val="16"/>
                          <w:szCs w:val="16"/>
                        </w:rPr>
                        <w:t xml:space="preserve">| </w:t>
                      </w:r>
                      <w:r>
                        <w:rPr>
                          <w:rStyle w:val="CharStyle3"/>
                          <w:color w:val="000000"/>
                          <w:sz w:val="16"/>
                          <w:szCs w:val="16"/>
                        </w:rPr>
                        <w:t>Bateriová akumulace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FED851"/>
                          <w:sz w:val="16"/>
                          <w:szCs w:val="16"/>
                        </w:rPr>
                        <w:t xml:space="preserve">| </w:t>
                      </w:r>
                      <w:r>
                        <w:rPr>
                          <w:rStyle w:val="CharStyle3"/>
                          <w:color w:val="000000"/>
                          <w:sz w:val="16"/>
                          <w:szCs w:val="16"/>
                        </w:rPr>
                        <w:t>Fotovoltaické elektrárny</w:t>
                      </w:r>
                    </w:p>
                  </w:txbxContent>
                </v:textbox>
                <w10:wrap anchorx="margin"/>
              </v:shape>
            </w:pict>
          </mc:Fallback>
        </mc:AlternateContent>
      </w:r>
      <w:r>
        <mc:AlternateContent>
          <mc:Choice Requires="wps">
            <w:drawing>
              <wp:anchor distT="0" distB="0" distL="0" distR="0" simplePos="0" relativeHeight="503316518" behindDoc="0" locked="0" layoutInCell="1" allowOverlap="1">
                <wp:simplePos x="0" y="0"/>
                <wp:positionH relativeFrom="margin">
                  <wp:posOffset>2281555</wp:posOffset>
                </wp:positionH>
                <wp:positionV relativeFrom="paragraph">
                  <wp:posOffset>3008630</wp:posOffset>
                </wp:positionV>
                <wp:extent cx="1761490" cy="478790"/>
                <wp:wrapNone/>
                <wp:docPr id="246" name="Shape 246"/>
                <a:graphic xmlns:a="http://schemas.openxmlformats.org/drawingml/2006/main">
                  <a:graphicData uri="http://schemas.microsoft.com/office/word/2010/wordprocessingShape">
                    <wps:wsp>
                      <wps:cNvSpPr txBox="1"/>
                      <wps:spPr>
                        <a:xfrm>
                          <a:ext cx="1761490" cy="47879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wps:txbx>
                      <wps:bodyPr lIns="0" tIns="0" rIns="0" bIns="0">
                        <a:noAutoFit/>
                      </wps:bodyPr>
                    </wps:wsp>
                  </a:graphicData>
                </a:graphic>
              </wp:anchor>
            </w:drawing>
          </mc:Choice>
          <mc:Fallback>
            <w:pict>
              <v:shape id="_x0000_s1272" type="#_x0000_t202" style="position:absolute;margin-left:179.65000000000001pt;margin-top:236.90000000000001pt;width:138.70000000000002pt;height:37.700000000000003pt;z-index:251657765;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84539C"/>
                          <w:sz w:val="16"/>
                          <w:szCs w:val="16"/>
                        </w:rPr>
                        <w:t xml:space="preserve">| </w:t>
                      </w:r>
                      <w:r>
                        <w:rPr>
                          <w:rStyle w:val="CharStyle3"/>
                          <w:color w:val="000000"/>
                          <w:sz w:val="16"/>
                          <w:szCs w:val="16"/>
                        </w:rPr>
                        <w:t>Větrné elektrárny</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Ostatní OZE</w:t>
                      </w:r>
                    </w:p>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1BB8ED"/>
                          <w:sz w:val="16"/>
                          <w:szCs w:val="16"/>
                        </w:rPr>
                        <w:t xml:space="preserve">| </w:t>
                      </w:r>
                      <w:r>
                        <w:rPr>
                          <w:rStyle w:val="CharStyle3"/>
                          <w:color w:val="000000"/>
                          <w:sz w:val="16"/>
                          <w:szCs w:val="16"/>
                        </w:rPr>
                        <w:t>Vodní a přečerpávací elektrárny</w:t>
                      </w:r>
                    </w:p>
                  </w:txbxContent>
                </v:textbox>
                <w10:wrap anchorx="margin"/>
              </v:shape>
            </w:pict>
          </mc:Fallback>
        </mc:AlternateContent>
      </w:r>
      <w:bookmarkStart w:id="174" w:name="bookmark174"/>
      <w:r>
        <w:rPr>
          <w:rStyle w:val="CharStyle16"/>
          <w:b/>
          <w:bCs/>
        </w:rPr>
        <w:t>Obr. 6.6 Netto instalovaný výkon v Progresivním scénáři pro jednotlivé roky a kategorie zdrojů</w:t>
      </w:r>
      <w:bookmarkEnd w:id="174"/>
    </w:p>
    <w:tbl>
      <w:tblPr>
        <w:tblOverlap w:val="never"/>
        <w:jc w:val="left"/>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2025</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2030</w:t>
            </w:r>
          </w:p>
        </w:tc>
        <w:tc>
          <w:tcPr>
            <w:tcBorders>
              <w:top w:val="single" w:sz="4"/>
              <w:lef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2035</w:t>
            </w:r>
          </w:p>
        </w:tc>
        <w:tc>
          <w:tcPr>
            <w:tcBorders>
              <w:top w:val="single" w:sz="4"/>
              <w:left w:val="single" w:sz="4"/>
              <w:right w:val="single" w:sz="4"/>
            </w:tcBorders>
            <w:shd w:val="clear" w:color="auto" w:fill="auto"/>
            <w:vAlign w:val="bottom"/>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2040</w:t>
            </w:r>
          </w:p>
        </w:tc>
      </w:tr>
      <w:tr>
        <w:trPr>
          <w:trHeight w:val="274"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29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220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637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1 491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2 585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5 159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11 406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12 567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13 238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617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958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1 959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2 500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688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655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558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584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2 241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2 071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3 381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3 811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3 790 MW</w:t>
            </w:r>
          </w:p>
        </w:tc>
      </w:tr>
      <w:tr>
        <w:trPr>
          <w:trHeight w:val="278" w:hRule="exact"/>
        </w:trPr>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5 891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4 746 MW</w:t>
            </w:r>
          </w:p>
        </w:tc>
        <w:tc>
          <w:tcPr>
            <w:tcBorders>
              <w:top w:val="single" w:sz="4"/>
              <w:lef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0" w:right="0" w:firstLine="0"/>
              <w:jc w:val="left"/>
              <w:rPr>
                <w:sz w:val="15"/>
                <w:szCs w:val="15"/>
              </w:rPr>
            </w:pPr>
            <w:bookmarkStart w:id="176" w:name="bookmark176"/>
            <w:r>
              <w:rPr>
                <w:rStyle w:val="CharStyle6"/>
                <w:rFonts w:ascii="Calibri" w:eastAsia="Calibri" w:hAnsi="Calibri" w:cs="Calibri"/>
                <w:b/>
                <w:bCs/>
                <w:color w:val="006AB4"/>
                <w:sz w:val="15"/>
                <w:szCs w:val="15"/>
              </w:rPr>
              <w:t>Jaderné elektrárny</w:t>
            </w:r>
            <w:bookmarkEnd w:id="176"/>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4 047 MW</w:t>
            </w:r>
          </w:p>
        </w:tc>
        <w:tc>
          <w:tcPr>
            <w:tcBorders>
              <w:top w:val="single" w:sz="4"/>
              <w:left w:val="single" w:sz="4"/>
              <w:bottom w:val="single" w:sz="4"/>
              <w:right w:val="single" w:sz="4"/>
            </w:tcBorders>
            <w:shd w:val="clear" w:color="auto" w:fill="auto"/>
            <w:vAlign w:val="center"/>
          </w:tcPr>
          <w:p>
            <w:pPr>
              <w:pStyle w:val="Style5"/>
              <w:keepNext w:val="0"/>
              <w:keepLines w:val="0"/>
              <w:framePr w:w="9768" w:h="2789" w:vSpace="1248" w:wrap="notBeside" w:vAnchor="text" w:hAnchor="text" w:x="22" w:y="1249"/>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5 187 MW</w:t>
            </w:r>
          </w:p>
        </w:tc>
      </w:tr>
    </w:tbl>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B7B8B8"/>
          <w:sz w:val="16"/>
          <w:szCs w:val="16"/>
        </w:rPr>
        <w:t xml:space="preserve">| </w:t>
      </w:r>
      <w:r>
        <w:rPr>
          <w:rStyle w:val="CharStyle45"/>
          <w:color w:val="000000"/>
          <w:sz w:val="16"/>
          <w:szCs w:val="16"/>
        </w:rPr>
        <w:t>Plynové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6B3B0A"/>
          <w:sz w:val="16"/>
          <w:szCs w:val="16"/>
        </w:rPr>
        <w:t xml:space="preserve">| </w:t>
      </w:r>
      <w:r>
        <w:rPr>
          <w:rStyle w:val="CharStyle45"/>
          <w:color w:val="000000"/>
          <w:sz w:val="16"/>
          <w:szCs w:val="16"/>
        </w:rPr>
        <w:t>Uhelné zdroje</w:t>
      </w:r>
    </w:p>
    <w:p>
      <w:pPr>
        <w:pStyle w:val="Style44"/>
        <w:keepNext w:val="0"/>
        <w:keepLines w:val="0"/>
        <w:framePr w:w="1795" w:h="754" w:hSpace="21" w:wrap="notBeside" w:vAnchor="text" w:hAnchor="text" w:x="6881" w:y="1"/>
        <w:widowControl w:val="0"/>
        <w:shd w:val="clear" w:color="auto" w:fill="auto"/>
        <w:bidi w:val="0"/>
        <w:spacing w:before="0" w:after="60" w:line="240" w:lineRule="auto"/>
        <w:ind w:left="0" w:right="0" w:firstLine="0"/>
        <w:jc w:val="left"/>
        <w:rPr>
          <w:sz w:val="16"/>
          <w:szCs w:val="16"/>
        </w:rPr>
      </w:pPr>
      <w:r>
        <w:rPr>
          <w:rStyle w:val="CharStyle45"/>
          <w:color w:val="E30613"/>
          <w:sz w:val="16"/>
          <w:szCs w:val="16"/>
        </w:rPr>
        <w:t xml:space="preserve">| </w:t>
      </w:r>
      <w:r>
        <w:rPr>
          <w:rStyle w:val="CharStyle45"/>
          <w:color w:val="000000"/>
          <w:sz w:val="16"/>
          <w:szCs w:val="16"/>
        </w:rPr>
        <w:t>Jaderné elektrárny</w:t>
      </w:r>
    </w:p>
    <w:p>
      <w:pPr>
        <w:widowControl w:val="0"/>
        <w:spacing w:line="1" w:lineRule="exact"/>
      </w:pPr>
    </w:p>
    <w:p>
      <w:pPr>
        <w:pStyle w:val="Style27"/>
        <w:keepNext/>
        <w:keepLines/>
        <w:widowControl w:val="0"/>
        <w:numPr>
          <w:ilvl w:val="2"/>
          <w:numId w:val="29"/>
        </w:numPr>
        <w:shd w:val="clear" w:color="auto" w:fill="auto"/>
        <w:tabs>
          <w:tab w:pos="617" w:val="left"/>
        </w:tabs>
        <w:bidi w:val="0"/>
        <w:spacing w:before="0" w:after="0"/>
        <w:ind w:left="0" w:right="0" w:firstLine="0"/>
        <w:jc w:val="left"/>
      </w:pPr>
      <w:bookmarkStart w:id="177" w:name="bookmark177"/>
      <w:r>
        <w:rPr>
          <w:rStyle w:val="CharStyle28"/>
          <w:b/>
          <w:bCs/>
        </w:rPr>
        <w:t>DEKARBONIZAČNÍ SCÉNÁŘ</w:t>
      </w:r>
      <w:bookmarkEnd w:id="177"/>
    </w:p>
    <w:p>
      <w:pPr>
        <w:pStyle w:val="Style19"/>
        <w:keepNext w:val="0"/>
        <w:keepLines w:val="0"/>
        <w:widowControl w:val="0"/>
        <w:shd w:val="clear" w:color="auto" w:fill="auto"/>
        <w:bidi w:val="0"/>
        <w:spacing w:before="0"/>
        <w:ind w:left="0" w:right="0" w:firstLine="0"/>
        <w:jc w:val="left"/>
      </w:pPr>
      <w:r>
        <w:rPr>
          <w:rStyle w:val="CharStyle20"/>
        </w:rPr>
        <w:t>Tento scénář ze všech zde uvedených reprezentuje nejrychlejší útlum uhelných zdrojů a nejvyšší úroveň penetrace obnovitelných zdrojů. V porovnání s Progresivním scénářem je kompletní odklon od uhlí stanoven o tři roky dříve, a to již v roce 2030. V případě provozu tepláren a závodních energetik se předpokládá o něco dřívější transformace než v případě Progresivního scénáře.</w:t>
      </w:r>
    </w:p>
    <w:p>
      <w:pPr>
        <w:pStyle w:val="Style19"/>
        <w:keepNext w:val="0"/>
        <w:keepLines w:val="0"/>
        <w:widowControl w:val="0"/>
        <w:shd w:val="clear" w:color="auto" w:fill="auto"/>
        <w:bidi w:val="0"/>
        <w:spacing w:before="0" w:after="200"/>
        <w:ind w:left="0" w:right="0" w:firstLine="0"/>
        <w:jc w:val="left"/>
      </w:pPr>
      <w:r>
        <w:rPr>
          <w:rStyle w:val="CharStyle20"/>
        </w:rPr>
        <w:t>Vstupní předpoklady:</w:t>
      </w:r>
    </w:p>
    <w:p>
      <w:pPr>
        <w:pStyle w:val="Style19"/>
        <w:keepNext w:val="0"/>
        <w:keepLines w:val="0"/>
        <w:widowControl w:val="0"/>
        <w:shd w:val="clear" w:color="auto" w:fill="auto"/>
        <w:bidi w:val="0"/>
        <w:spacing w:before="0" w:after="200" w:line="271" w:lineRule="auto"/>
        <w:ind w:left="260" w:right="0" w:hanging="260"/>
        <w:jc w:val="left"/>
      </w:pPr>
      <w:r>
        <w:rPr>
          <w:rStyle w:val="CharStyle20"/>
          <w:color w:val="006AB4"/>
          <w:sz w:val="22"/>
          <w:szCs w:val="22"/>
        </w:rPr>
        <w:t xml:space="preserve">^ </w:t>
      </w:r>
      <w:r>
        <w:rPr>
          <w:rStyle w:val="CharStyle20"/>
        </w:rPr>
        <w:t>Vývoj instalovaného výkonu VTE a FVE je shodný s Dekarbonizační predikcí těchto zdrojů (Obr. 4.11)</w:t>
      </w:r>
    </w:p>
    <w:p>
      <w:pPr>
        <w:pStyle w:val="Style19"/>
        <w:keepNext w:val="0"/>
        <w:keepLines w:val="0"/>
        <w:widowControl w:val="0"/>
        <w:shd w:val="clear" w:color="auto" w:fill="auto"/>
        <w:bidi w:val="0"/>
        <w:spacing w:before="0" w:after="200" w:line="271" w:lineRule="auto"/>
        <w:ind w:left="260" w:right="0" w:hanging="260"/>
        <w:jc w:val="left"/>
      </w:pPr>
      <w:r>
        <w:rPr>
          <w:rStyle w:val="CharStyle20"/>
          <w:color w:val="006AB4"/>
          <w:sz w:val="22"/>
          <w:szCs w:val="22"/>
        </w:rPr>
        <w:t xml:space="preserve">^ </w:t>
      </w:r>
      <w:r>
        <w:rPr>
          <w:rStyle w:val="CharStyle20"/>
        </w:rPr>
        <w:t>Výhled vývoje Bioplynu odpovídá Dekarbonizační predikci vývoje segmentu (Obr. 4.13)</w:t>
      </w:r>
    </w:p>
    <w:p>
      <w:pPr>
        <w:pStyle w:val="Style19"/>
        <w:keepNext w:val="0"/>
        <w:keepLines w:val="0"/>
        <w:widowControl w:val="0"/>
        <w:shd w:val="clear" w:color="auto" w:fill="auto"/>
        <w:bidi w:val="0"/>
        <w:spacing w:before="0" w:after="200" w:line="271" w:lineRule="auto"/>
        <w:ind w:left="260" w:right="0" w:hanging="260"/>
        <w:jc w:val="left"/>
      </w:pPr>
      <w:r>
        <w:rPr>
          <w:rStyle w:val="CharStyle20"/>
          <w:color w:val="006AB4"/>
          <w:sz w:val="22"/>
          <w:szCs w:val="22"/>
        </w:rPr>
        <w:t xml:space="preserve">^ </w:t>
      </w:r>
      <w:r>
        <w:rPr>
          <w:rStyle w:val="CharStyle20"/>
        </w:rPr>
        <w:t>Rozvoj Biomasy je shodný s Dekarbonizační predikci vývoje sektoru Biomasa (Obr. 4.15)</w:t>
      </w:r>
    </w:p>
    <w:p>
      <w:pPr>
        <w:pStyle w:val="Style19"/>
        <w:keepNext w:val="0"/>
        <w:keepLines w:val="0"/>
        <w:widowControl w:val="0"/>
        <w:shd w:val="clear" w:color="auto" w:fill="auto"/>
        <w:bidi w:val="0"/>
        <w:spacing w:before="0" w:after="720" w:line="240" w:lineRule="auto"/>
        <w:ind w:left="0" w:right="0" w:firstLine="0"/>
        <w:jc w:val="left"/>
      </w:pPr>
      <w:r>
        <w:rPr>
          <w:rStyle w:val="CharStyle20"/>
          <w:color w:val="006AB4"/>
          <w:sz w:val="22"/>
          <w:szCs w:val="22"/>
        </w:rPr>
        <w:t xml:space="preserve">^ </w:t>
      </w:r>
      <w:r>
        <w:rPr>
          <w:rStyle w:val="CharStyle20"/>
        </w:rPr>
        <w:t>TKO odpovídá dekarbonizační predikci</w:t>
      </w:r>
    </w:p>
    <w:p>
      <w:pPr>
        <w:pStyle w:val="Style15"/>
        <w:keepNext/>
        <w:keepLines/>
        <w:widowControl w:val="0"/>
        <w:shd w:val="clear" w:color="auto" w:fill="auto"/>
        <w:bidi w:val="0"/>
        <w:spacing w:before="0" w:after="200" w:line="300" w:lineRule="auto"/>
        <w:ind w:left="0" w:right="0" w:firstLine="0"/>
        <w:jc w:val="left"/>
      </w:pPr>
      <w:bookmarkStart w:id="179" w:name="bookmark179"/>
      <w:r>
        <w:rPr>
          <w:rStyle w:val="CharStyle16"/>
          <w:b/>
          <w:bCs/>
        </w:rPr>
        <w:t>Obr. 6.7 Výhled netto instalovaného výkonu ČR (mimo OZE), plynových zdrojů a uhelných zdrojů v Dekarbonizačním scénáři</w:t>
      </w:r>
      <w:bookmarkEnd w:id="179"/>
    </w:p>
    <w:p>
      <w:pPr>
        <w:widowControl w:val="0"/>
        <w:jc w:val="center"/>
        <w:rPr>
          <w:sz w:val="2"/>
          <w:szCs w:val="2"/>
        </w:rPr>
      </w:pPr>
      <w:r>
        <w:drawing>
          <wp:inline>
            <wp:extent cx="7559040" cy="2225040"/>
            <wp:docPr id="248" name="Picutre 248"/>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85"/>
                    <a:stretch/>
                  </pic:blipFill>
                  <pic:spPr>
                    <a:xfrm>
                      <a:ext cx="7559040" cy="2225040"/>
                    </a:xfrm>
                    <a:prstGeom prst="rect"/>
                  </pic:spPr>
                </pic:pic>
              </a:graphicData>
            </a:graphic>
          </wp:inline>
        </w:drawing>
      </w:r>
    </w:p>
    <w:p>
      <w:pPr>
        <w:widowControl w:val="0"/>
        <w:spacing w:after="239" w:line="1" w:lineRule="exact"/>
      </w:pPr>
    </w:p>
    <w:p>
      <w:pPr>
        <w:widowControl w:val="0"/>
        <w:spacing w:line="1" w:lineRule="exact"/>
      </w:pPr>
    </w:p>
    <w:p>
      <w:pPr>
        <w:widowControl w:val="0"/>
        <w:jc w:val="center"/>
        <w:rPr>
          <w:sz w:val="2"/>
          <w:szCs w:val="2"/>
        </w:rPr>
      </w:pPr>
      <w:r>
        <w:drawing>
          <wp:inline>
            <wp:extent cx="7559040" cy="2340610"/>
            <wp:docPr id="249" name="Picutre 249"/>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87"/>
                    <a:stretch/>
                  </pic:blipFill>
                  <pic:spPr>
                    <a:xfrm>
                      <a:ext cx="7559040" cy="2340610"/>
                    </a:xfrm>
                    <a:prstGeom prst="rect"/>
                  </pic:spPr>
                </pic:pic>
              </a:graphicData>
            </a:graphic>
          </wp:inline>
        </w:drawing>
      </w:r>
    </w:p>
    <w:p>
      <w:pPr>
        <w:pStyle w:val="Style2"/>
        <w:keepNext w:val="0"/>
        <w:keepLines w:val="0"/>
        <w:widowControl w:val="0"/>
        <w:shd w:val="clear" w:color="auto" w:fill="auto"/>
        <w:tabs>
          <w:tab w:pos="6350" w:val="left"/>
        </w:tabs>
        <w:bidi w:val="0"/>
        <w:spacing w:before="0" w:after="0" w:line="240" w:lineRule="auto"/>
        <w:ind w:left="1694" w:right="0" w:firstLine="0"/>
        <w:jc w:val="left"/>
        <w:rPr>
          <w:sz w:val="12"/>
          <w:szCs w:val="12"/>
        </w:rPr>
      </w:pPr>
      <w:r>
        <w:rPr>
          <w:rStyle w:val="CharStyle3"/>
          <w:b/>
          <w:bCs/>
          <w:sz w:val="12"/>
          <w:szCs w:val="12"/>
        </w:rPr>
        <w:t>2022 2023 2024 2025 2026 2027 2028 2029 2030 2031</w:t>
        <w:tab/>
        <w:t>2032 2033 2034 2035 2036 2037 2038 2039 2040</w:t>
      </w:r>
    </w:p>
    <w:p>
      <w:pPr>
        <w:pStyle w:val="Style2"/>
        <w:keepNext w:val="0"/>
        <w:keepLines w:val="0"/>
        <w:widowControl w:val="0"/>
        <w:shd w:val="clear" w:color="auto" w:fill="auto"/>
        <w:tabs>
          <w:tab w:pos="6418" w:val="left"/>
          <w:tab w:pos="8818" w:val="left"/>
        </w:tabs>
        <w:bidi w:val="0"/>
        <w:spacing w:before="0" w:after="0" w:line="240" w:lineRule="auto"/>
        <w:ind w:left="2160" w:right="0" w:firstLine="0"/>
        <w:jc w:val="left"/>
        <w:rPr>
          <w:sz w:val="16"/>
          <w:szCs w:val="16"/>
        </w:rPr>
      </w:pPr>
      <w:r>
        <w:rPr>
          <w:rStyle w:val="CharStyle3"/>
          <w:color w:val="000000"/>
          <w:sz w:val="16"/>
          <w:szCs w:val="16"/>
        </w:rPr>
        <w:t>Netto instalovaný výkon ČR, mimo OZE</w:t>
        <w:tab/>
        <w:t>Uhelné zdroje</w:t>
        <w:tab/>
        <w:t>Plynové zdroje</w:t>
      </w:r>
    </w:p>
    <w:p>
      <w:pPr>
        <w:pStyle w:val="Style19"/>
        <w:keepNext w:val="0"/>
        <w:keepLines w:val="0"/>
        <w:widowControl w:val="0"/>
        <w:shd w:val="clear" w:color="auto" w:fill="auto"/>
        <w:bidi w:val="0"/>
        <w:spacing w:before="0" w:after="200" w:line="271" w:lineRule="auto"/>
        <w:ind w:left="2820" w:right="0" w:hanging="220"/>
        <w:jc w:val="left"/>
      </w:pPr>
      <w:r>
        <w:rPr>
          <w:rStyle w:val="CharStyle20"/>
          <w:color w:val="006AB4"/>
          <w:sz w:val="22"/>
          <w:szCs w:val="22"/>
        </w:rPr>
        <w:t xml:space="preserve">^ </w:t>
      </w:r>
      <w:r>
        <w:rPr>
          <w:rStyle w:val="CharStyle20"/>
        </w:rPr>
        <w:t>Pro výhled vývoje palivových článku a vodíkových instalací je použitá Dekarbonizační predikce vývoje těchto segmentů (Obr. 4.18, Obr. 4.21 a Obr. 4.23)</w:t>
      </w:r>
    </w:p>
    <w:p>
      <w:pPr>
        <w:pStyle w:val="Style19"/>
        <w:keepNext w:val="0"/>
        <w:keepLines w:val="0"/>
        <w:widowControl w:val="0"/>
        <w:shd w:val="clear" w:color="auto" w:fill="auto"/>
        <w:bidi w:val="0"/>
        <w:spacing w:before="0" w:after="200" w:line="271" w:lineRule="auto"/>
        <w:ind w:left="2820" w:right="0" w:hanging="220"/>
        <w:jc w:val="left"/>
      </w:pPr>
      <w:r>
        <w:rPr>
          <w:rStyle w:val="CharStyle20"/>
          <w:color w:val="006AB4"/>
          <w:sz w:val="22"/>
          <w:szCs w:val="22"/>
        </w:rPr>
        <w:t xml:space="preserve">^ </w:t>
      </w:r>
      <w:r>
        <w:rPr>
          <w:rStyle w:val="CharStyle20"/>
        </w:rPr>
        <w:t>Vývoj bateriových instalací odpovídá stejně jako v případě Progresivního scénáře Progresivní predikci (Obr. 4.18)</w:t>
      </w:r>
    </w:p>
    <w:p>
      <w:pPr>
        <w:pStyle w:val="Style19"/>
        <w:keepNext w:val="0"/>
        <w:keepLines w:val="0"/>
        <w:widowControl w:val="0"/>
        <w:shd w:val="clear" w:color="auto" w:fill="auto"/>
        <w:bidi w:val="0"/>
        <w:spacing w:before="0" w:after="200" w:line="288" w:lineRule="auto"/>
        <w:ind w:left="2820" w:right="0" w:hanging="220"/>
        <w:jc w:val="left"/>
      </w:pPr>
      <w:r>
        <w:rPr>
          <w:rStyle w:val="CharStyle20"/>
          <w:color w:val="006AB4"/>
          <w:sz w:val="22"/>
          <w:szCs w:val="22"/>
        </w:rPr>
        <w:t xml:space="preserve">^ </w:t>
      </w:r>
      <w:r>
        <w:rPr>
          <w:rStyle w:val="CharStyle20"/>
        </w:rPr>
        <w:t>Scénář je založen na Dekarbonizačním scénáři spotřeby, který bere do úvahy nejprogresivnější předpoklad útlumu fosilních paliv a nejvyšší míru elektrifikace konečné spotřeby, což by mělo umožnit dekarbonizaci české ekonomiky k roku 2050 a také zohledňuje strategické cíle Evropské unie</w:t>
      </w:r>
    </w:p>
    <w:p>
      <w:pPr>
        <w:pStyle w:val="Style19"/>
        <w:keepNext w:val="0"/>
        <w:keepLines w:val="0"/>
        <w:widowControl w:val="0"/>
        <w:shd w:val="clear" w:color="auto" w:fill="auto"/>
        <w:bidi w:val="0"/>
        <w:spacing w:before="0" w:after="200" w:line="271" w:lineRule="auto"/>
        <w:ind w:left="2820" w:right="0" w:hanging="220"/>
        <w:jc w:val="left"/>
      </w:pPr>
      <w:r>
        <w:rPr>
          <w:rStyle w:val="CharStyle20"/>
          <w:color w:val="006AB4"/>
          <w:sz w:val="22"/>
          <w:szCs w:val="22"/>
        </w:rPr>
        <w:t xml:space="preserve">^ </w:t>
      </w:r>
      <w:r>
        <w:rPr>
          <w:rStyle w:val="CharStyle20"/>
        </w:rPr>
        <w:t>Predikce vývoje geotermálních zdrojů vychází z Vnitrostátního plánu České republiky v oblasti energetiky a klimatu</w:t>
      </w:r>
    </w:p>
    <w:p>
      <w:pPr>
        <w:pStyle w:val="Style19"/>
        <w:keepNext w:val="0"/>
        <w:keepLines w:val="0"/>
        <w:widowControl w:val="0"/>
        <w:shd w:val="clear" w:color="auto" w:fill="auto"/>
        <w:bidi w:val="0"/>
        <w:spacing w:before="0" w:after="1160" w:line="276" w:lineRule="auto"/>
        <w:ind w:left="2820" w:right="0" w:hanging="220"/>
        <w:jc w:val="left"/>
      </w:pPr>
      <w:r>
        <w:rPr>
          <w:rStyle w:val="CharStyle20"/>
          <w:color w:val="006AB4"/>
          <w:sz w:val="22"/>
          <w:szCs w:val="22"/>
        </w:rPr>
        <w:t xml:space="preserve">^ </w:t>
      </w:r>
      <w:r>
        <w:rPr>
          <w:rStyle w:val="CharStyle20"/>
        </w:rPr>
        <w:t>Kompletní dokončení transformace teplárenství (CZT) a závodních energetik z uhlí na zemní plyn, biomasu, odpad, popřípadě jiná alternativní paliva je uvažováno do konce roku 2028</w:t>
      </w:r>
    </w:p>
    <w:p>
      <w:pPr>
        <w:pStyle w:val="Style15"/>
        <w:keepNext/>
        <w:keepLines/>
        <w:widowControl w:val="0"/>
        <w:shd w:val="clear" w:color="auto" w:fill="auto"/>
        <w:bidi w:val="0"/>
        <w:spacing w:before="0" w:after="480" w:line="240" w:lineRule="auto"/>
        <w:ind w:left="0" w:right="0" w:firstLine="0"/>
        <w:jc w:val="left"/>
      </w:pPr>
      <w:bookmarkStart w:id="181" w:name="bookmark181"/>
      <w:r>
        <w:rPr>
          <w:rStyle w:val="CharStyle16"/>
          <w:b/>
          <w:bCs/>
        </w:rPr>
        <w:t>Obr. 6.8 Netto instalovaný výkon v Dekarbonizačním scénáři pro jednotlivé roky a kategorie zdrojů</w:t>
      </w:r>
      <w:bookmarkEnd w:id="181"/>
    </w:p>
    <w:p>
      <w:pPr>
        <w:widowControl w:val="0"/>
        <w:jc w:val="center"/>
        <w:rPr>
          <w:sz w:val="2"/>
          <w:szCs w:val="2"/>
        </w:rPr>
      </w:pPr>
      <w:r>
        <w:drawing>
          <wp:inline>
            <wp:extent cx="6193790" cy="2316480"/>
            <wp:docPr id="250" name="Picutre 250"/>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89"/>
                    <a:stretch/>
                  </pic:blipFill>
                  <pic:spPr>
                    <a:xfrm>
                      <a:ext cx="6193790" cy="2316480"/>
                    </a:xfrm>
                    <a:prstGeom prst="rect"/>
                  </pic:spPr>
                </pic:pic>
              </a:graphicData>
            </a:graphic>
          </wp:inline>
        </w:drawing>
      </w:r>
    </w:p>
    <w:p>
      <w:pPr>
        <w:pStyle w:val="Style2"/>
        <w:keepNext w:val="0"/>
        <w:keepLines w:val="0"/>
        <w:widowControl w:val="0"/>
        <w:shd w:val="clear" w:color="auto" w:fill="auto"/>
        <w:tabs>
          <w:tab w:pos="1200" w:val="left"/>
          <w:tab w:pos="3787" w:val="right"/>
          <w:tab w:pos="3869" w:val="left"/>
          <w:tab w:pos="7066" w:val="right"/>
          <w:tab w:pos="8290" w:val="right"/>
        </w:tabs>
        <w:bidi w:val="0"/>
        <w:spacing w:before="0" w:after="60" w:line="240" w:lineRule="auto"/>
        <w:ind w:left="874" w:right="0" w:firstLine="0"/>
        <w:jc w:val="left"/>
        <w:rPr>
          <w:sz w:val="16"/>
          <w:szCs w:val="16"/>
        </w:rPr>
      </w:pPr>
      <w:r>
        <w:rPr>
          <w:rStyle w:val="CharStyle3"/>
          <w:color w:val="EE7E32"/>
          <w:sz w:val="16"/>
          <w:szCs w:val="16"/>
        </w:rPr>
        <w:t>|</w:t>
        <w:tab/>
      </w:r>
      <w:r>
        <w:rPr>
          <w:rStyle w:val="CharStyle3"/>
          <w:color w:val="000000"/>
          <w:sz w:val="16"/>
          <w:szCs w:val="16"/>
        </w:rPr>
        <w:t>Palivové články</w:t>
        <w:tab/>
      </w:r>
      <w:r>
        <w:rPr>
          <w:rStyle w:val="CharStyle3"/>
          <w:color w:val="84539C"/>
          <w:sz w:val="16"/>
          <w:szCs w:val="16"/>
        </w:rPr>
        <w:t>|</w:t>
        <w:tab/>
      </w:r>
      <w:r>
        <w:rPr>
          <w:rStyle w:val="CharStyle3"/>
          <w:color w:val="000000"/>
          <w:sz w:val="16"/>
          <w:szCs w:val="16"/>
        </w:rPr>
        <w:t>Větrné elektrárny</w:t>
        <w:tab/>
      </w:r>
      <w:r>
        <w:rPr>
          <w:rStyle w:val="CharStyle3"/>
          <w:color w:val="B7B8B8"/>
          <w:sz w:val="16"/>
          <w:szCs w:val="16"/>
        </w:rPr>
        <w:t>|</w:t>
        <w:tab/>
      </w:r>
      <w:r>
        <w:rPr>
          <w:rStyle w:val="CharStyle3"/>
          <w:color w:val="000000"/>
          <w:sz w:val="16"/>
          <w:szCs w:val="16"/>
        </w:rPr>
        <w:t>Plynové zdroje</w:t>
      </w:r>
    </w:p>
    <w:p>
      <w:pPr>
        <w:pStyle w:val="Style2"/>
        <w:keepNext w:val="0"/>
        <w:keepLines w:val="0"/>
        <w:widowControl w:val="0"/>
        <w:shd w:val="clear" w:color="auto" w:fill="auto"/>
        <w:tabs>
          <w:tab w:pos="1200" w:val="left"/>
          <w:tab w:pos="3787" w:val="right"/>
          <w:tab w:pos="3869" w:val="left"/>
          <w:tab w:pos="7066" w:val="right"/>
          <w:tab w:pos="8242" w:val="right"/>
        </w:tabs>
        <w:bidi w:val="0"/>
        <w:spacing w:before="0" w:after="60" w:line="240" w:lineRule="auto"/>
        <w:ind w:left="874" w:right="0" w:firstLine="0"/>
        <w:jc w:val="left"/>
        <w:rPr>
          <w:sz w:val="16"/>
          <w:szCs w:val="16"/>
        </w:rPr>
      </w:pPr>
      <w:r>
        <w:rPr>
          <w:rStyle w:val="CharStyle3"/>
          <w:sz w:val="16"/>
          <w:szCs w:val="16"/>
        </w:rPr>
        <w:t>|</w:t>
        <w:tab/>
      </w:r>
      <w:r>
        <w:rPr>
          <w:rStyle w:val="CharStyle3"/>
          <w:color w:val="000000"/>
          <w:sz w:val="16"/>
          <w:szCs w:val="16"/>
        </w:rPr>
        <w:t>Bateriová akumulace</w:t>
        <w:tab/>
      </w:r>
      <w:r>
        <w:rPr>
          <w:rStyle w:val="CharStyle3"/>
          <w:color w:val="27A851"/>
          <w:sz w:val="16"/>
          <w:szCs w:val="16"/>
        </w:rPr>
        <w:t>|</w:t>
        <w:tab/>
      </w:r>
      <w:r>
        <w:rPr>
          <w:rStyle w:val="CharStyle3"/>
          <w:color w:val="000000"/>
          <w:sz w:val="16"/>
          <w:szCs w:val="16"/>
        </w:rPr>
        <w:t>Ostatní OZE</w:t>
        <w:tab/>
      </w:r>
      <w:r>
        <w:rPr>
          <w:rStyle w:val="CharStyle3"/>
          <w:color w:val="6B3B0A"/>
          <w:sz w:val="16"/>
          <w:szCs w:val="16"/>
        </w:rPr>
        <w:t>|</w:t>
        <w:tab/>
      </w:r>
      <w:r>
        <w:rPr>
          <w:rStyle w:val="CharStyle3"/>
          <w:color w:val="000000"/>
          <w:sz w:val="16"/>
          <w:szCs w:val="16"/>
        </w:rPr>
        <w:t>Uhelné zdroje</w:t>
      </w:r>
    </w:p>
    <w:p>
      <w:pPr>
        <w:pStyle w:val="Style2"/>
        <w:keepNext w:val="0"/>
        <w:keepLines w:val="0"/>
        <w:widowControl w:val="0"/>
        <w:shd w:val="clear" w:color="auto" w:fill="auto"/>
        <w:tabs>
          <w:tab w:pos="1200" w:val="left"/>
          <w:tab w:pos="3787" w:val="right"/>
          <w:tab w:pos="3869" w:val="left"/>
          <w:tab w:pos="7066" w:val="right"/>
          <w:tab w:pos="8592" w:val="right"/>
        </w:tabs>
        <w:bidi w:val="0"/>
        <w:spacing w:before="0" w:after="60" w:line="240" w:lineRule="auto"/>
        <w:ind w:left="874" w:right="0" w:firstLine="0"/>
        <w:jc w:val="left"/>
        <w:rPr>
          <w:sz w:val="16"/>
          <w:szCs w:val="16"/>
        </w:rPr>
      </w:pPr>
      <w:r>
        <w:rPr>
          <w:rStyle w:val="CharStyle3"/>
          <w:color w:val="FED851"/>
          <w:sz w:val="16"/>
          <w:szCs w:val="16"/>
        </w:rPr>
        <w:t>|</w:t>
        <w:tab/>
      </w:r>
      <w:r>
        <w:rPr>
          <w:rStyle w:val="CharStyle3"/>
          <w:color w:val="000000"/>
          <w:sz w:val="16"/>
          <w:szCs w:val="16"/>
        </w:rPr>
        <w:t>Fotovoltaické elektrárny</w:t>
        <w:tab/>
      </w:r>
      <w:r>
        <w:rPr>
          <w:rStyle w:val="CharStyle3"/>
          <w:color w:val="1BB8ED"/>
          <w:sz w:val="16"/>
          <w:szCs w:val="16"/>
        </w:rPr>
        <w:t>|</w:t>
        <w:tab/>
      </w:r>
      <w:r>
        <w:rPr>
          <w:rStyle w:val="CharStyle3"/>
          <w:color w:val="000000"/>
          <w:sz w:val="16"/>
          <w:szCs w:val="16"/>
        </w:rPr>
        <w:t>Vodní a přečerpávací elektrárny</w:t>
        <w:tab/>
      </w:r>
      <w:r>
        <w:rPr>
          <w:rStyle w:val="CharStyle3"/>
          <w:color w:val="E30613"/>
          <w:sz w:val="16"/>
          <w:szCs w:val="16"/>
        </w:rPr>
        <w:t>|</w:t>
        <w:tab/>
      </w:r>
      <w:r>
        <w:rPr>
          <w:rStyle w:val="CharStyle3"/>
          <w:color w:val="000000"/>
          <w:sz w:val="16"/>
          <w:szCs w:val="16"/>
        </w:rPr>
        <w:t>Jaderné elektrárny</w:t>
      </w:r>
    </w:p>
    <w:p>
      <w:pPr>
        <w:widowControl w:val="0"/>
        <w:spacing w:after="479" w:line="1" w:lineRule="exact"/>
      </w:pPr>
    </w:p>
    <w:p>
      <w:pPr>
        <w:widowControl w:val="0"/>
        <w:spacing w:line="1" w:lineRule="exact"/>
      </w:pPr>
    </w:p>
    <w:tbl>
      <w:tblPr>
        <w:tblOverlap w:val="never"/>
        <w:jc w:val="center"/>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54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144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220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637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1 491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2 585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6 717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14 850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17 325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19 800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617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958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1 959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2 500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688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80" w:right="0" w:firstLine="0"/>
              <w:jc w:val="left"/>
              <w:rPr>
                <w:sz w:val="12"/>
                <w:szCs w:val="12"/>
              </w:rPr>
            </w:pPr>
            <w:r>
              <w:rPr>
                <w:rStyle w:val="CharStyle6"/>
                <w:b/>
                <w:bCs/>
                <w:color w:val="006AB4"/>
                <w:sz w:val="12"/>
                <w:szCs w:val="12"/>
              </w:rPr>
              <w:t>746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558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583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2 241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2 241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2 241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2 071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3 797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3 811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3 790 MW</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7 222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bookmarkStart w:id="183" w:name="bookmark183"/>
            <w:r>
              <w:rPr>
                <w:rStyle w:val="CharStyle6"/>
                <w:rFonts w:ascii="Calibri" w:eastAsia="Calibri" w:hAnsi="Calibri" w:cs="Calibri"/>
                <w:b/>
                <w:bCs/>
                <w:color w:val="006AB4"/>
                <w:sz w:val="15"/>
                <w:szCs w:val="15"/>
              </w:rPr>
              <w:t>Jaderné elektrárny</w:t>
            </w:r>
            <w:bookmarkEnd w:id="183"/>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4 047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both"/>
              <w:rPr>
                <w:sz w:val="12"/>
                <w:szCs w:val="12"/>
              </w:rPr>
            </w:pPr>
            <w:r>
              <w:rPr>
                <w:rStyle w:val="CharStyle6"/>
                <w:b/>
                <w:bCs/>
                <w:color w:val="006AB4"/>
                <w:sz w:val="12"/>
                <w:szCs w:val="12"/>
              </w:rPr>
              <w:t>4 047 MW</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5 187 MW</w:t>
            </w:r>
          </w:p>
        </w:tc>
      </w:tr>
    </w:tbl>
    <w:p>
      <w:pPr>
        <w:spacing w:lineRule="exact" w:line="1"/>
        <w:rPr>
          <w:sz w:val="2"/>
          <w:szCs w:val="2"/>
        </w:rPr>
      </w:pPr>
      <w:r>
        <w:br w:type="page"/>
      </w:r>
    </w:p>
    <w:p>
      <w:pPr>
        <w:pStyle w:val="Style27"/>
        <w:keepNext/>
        <w:keepLines/>
        <w:widowControl w:val="0"/>
        <w:numPr>
          <w:ilvl w:val="1"/>
          <w:numId w:val="29"/>
        </w:numPr>
        <w:shd w:val="clear" w:color="auto" w:fill="auto"/>
        <w:tabs>
          <w:tab w:pos="394" w:val="left"/>
        </w:tabs>
        <w:bidi w:val="0"/>
        <w:spacing w:before="0" w:after="0"/>
        <w:ind w:left="0" w:right="0" w:firstLine="0"/>
        <w:jc w:val="left"/>
      </w:pPr>
      <w:bookmarkStart w:id="184" w:name="bookmark184"/>
      <w:r>
        <w:rPr>
          <w:rStyle w:val="CharStyle28"/>
          <w:b/>
          <w:bCs/>
        </w:rPr>
        <w:t>PODPŮRNÉ SLUŽBY (PpS)</w:t>
      </w:r>
      <w:bookmarkEnd w:id="184"/>
    </w:p>
    <w:p>
      <w:pPr>
        <w:pStyle w:val="Style19"/>
        <w:keepNext w:val="0"/>
        <w:keepLines w:val="0"/>
        <w:widowControl w:val="0"/>
        <w:shd w:val="clear" w:color="auto" w:fill="auto"/>
        <w:bidi w:val="0"/>
        <w:spacing w:before="0" w:after="220"/>
        <w:ind w:left="0" w:right="0" w:firstLine="0"/>
        <w:jc w:val="left"/>
      </w:pPr>
      <w:r>
        <w:rPr>
          <w:rStyle w:val="CharStyle20"/>
        </w:rPr>
        <w:t>Do výpočtu bylo zahrnuto modelování podpůrných služeb pomocí vyčlenění kladného regulačního výkonu alokovaného na zdrojích pro potřeby služeb výkonové rovnováhy (SVR). Tento regulační výkon se nepodílí na pokrývání predikované spotřeby. SVR rozdělujeme na:</w:t>
      </w:r>
    </w:p>
    <w:p>
      <w:pPr>
        <w:pStyle w:val="Style19"/>
        <w:keepNext w:val="0"/>
        <w:keepLines w:val="0"/>
        <w:widowControl w:val="0"/>
        <w:shd w:val="clear" w:color="auto" w:fill="auto"/>
        <w:bidi w:val="0"/>
        <w:spacing w:before="0" w:after="220" w:line="271" w:lineRule="auto"/>
        <w:ind w:left="240" w:right="0" w:hanging="240"/>
        <w:jc w:val="left"/>
      </w:pPr>
      <w:r>
        <w:rPr>
          <w:rStyle w:val="CharStyle20"/>
          <w:color w:val="006AB4"/>
          <w:sz w:val="22"/>
          <w:szCs w:val="22"/>
        </w:rPr>
        <w:t xml:space="preserve">^ </w:t>
      </w:r>
      <w:r>
        <w:rPr>
          <w:rStyle w:val="CharStyle20"/>
        </w:rPr>
        <w:t>FCR ČR (</w:t>
      </w:r>
      <w:r>
        <w:rPr>
          <w:rStyle w:val="CharStyle20"/>
          <w:i/>
          <w:iCs/>
        </w:rPr>
        <w:t>Frequency Containment Reserve</w:t>
      </w:r>
      <w:r>
        <w:rPr>
          <w:rStyle w:val="CharStyle20"/>
        </w:rPr>
        <w:t>): Zálohy pro automatickou regulaci frekvence v České republice</w:t>
      </w:r>
    </w:p>
    <w:p>
      <w:pPr>
        <w:pStyle w:val="Style19"/>
        <w:keepNext w:val="0"/>
        <w:keepLines w:val="0"/>
        <w:widowControl w:val="0"/>
        <w:shd w:val="clear" w:color="auto" w:fill="auto"/>
        <w:bidi w:val="0"/>
        <w:spacing w:before="0" w:after="220" w:line="276" w:lineRule="auto"/>
        <w:ind w:left="240" w:right="0" w:hanging="240"/>
        <w:jc w:val="left"/>
      </w:pPr>
      <w:r>
        <w:rPr>
          <w:rStyle w:val="CharStyle20"/>
          <w:color w:val="006AB4"/>
          <w:sz w:val="22"/>
          <w:szCs w:val="22"/>
        </w:rPr>
        <w:t xml:space="preserve">^ </w:t>
      </w:r>
      <w:r>
        <w:rPr>
          <w:rStyle w:val="CharStyle20"/>
        </w:rPr>
        <w:t>FRR ČR (</w:t>
      </w:r>
      <w:r>
        <w:rPr>
          <w:rStyle w:val="CharStyle20"/>
          <w:i/>
          <w:iCs/>
        </w:rPr>
        <w:t>Frequency Restoration Reserve</w:t>
      </w:r>
      <w:r>
        <w:rPr>
          <w:rStyle w:val="CharStyle20"/>
        </w:rPr>
        <w:t>): Zálohy pro regulaci výkonové rovnováhy v České republice (s automatickou aktivací - aFRR, s manuální aktivací - mFRR)</w:t>
      </w:r>
    </w:p>
    <w:p>
      <w:pPr>
        <w:pStyle w:val="Style19"/>
        <w:keepNext w:val="0"/>
        <w:keepLines w:val="0"/>
        <w:widowControl w:val="0"/>
        <w:shd w:val="clear" w:color="auto" w:fill="auto"/>
        <w:bidi w:val="0"/>
        <w:spacing w:before="0" w:after="340" w:line="240" w:lineRule="auto"/>
        <w:ind w:left="0" w:right="0" w:firstLine="0"/>
        <w:jc w:val="both"/>
      </w:pPr>
      <w:r>
        <w:rPr>
          <w:rStyle w:val="CharStyle20"/>
          <w:color w:val="006AB4"/>
          <w:sz w:val="22"/>
          <w:szCs w:val="22"/>
        </w:rPr>
        <w:t xml:space="preserve">^ </w:t>
      </w:r>
      <w:r>
        <w:rPr>
          <w:rStyle w:val="CharStyle20"/>
        </w:rPr>
        <w:t>FRR alokované v zahraničních státech</w:t>
      </w:r>
    </w:p>
    <w:p>
      <w:pPr>
        <w:pStyle w:val="Style19"/>
        <w:keepNext w:val="0"/>
        <w:keepLines w:val="0"/>
        <w:widowControl w:val="0"/>
        <w:shd w:val="clear" w:color="auto" w:fill="auto"/>
        <w:bidi w:val="0"/>
        <w:spacing w:before="0" w:after="220" w:line="300" w:lineRule="auto"/>
        <w:ind w:left="0" w:right="0" w:firstLine="0"/>
        <w:jc w:val="both"/>
      </w:pPr>
      <w:r>
        <w:rPr>
          <w:rStyle w:val="CharStyle20"/>
        </w:rPr>
        <w:t>Pro období 2022-2040 se ve výpočtech předpokládá neměnný výkon FCR na úrovni 74 MW. Přestože je od roku 2023 umožněn společný nákup FCR se zahraničními partnery, pro výpočty MAF CZ 2022 byla z hlediska zajištění bezpečnosti dodávek uvažována FCR pouze na území ČR.</w:t>
      </w:r>
    </w:p>
    <w:p>
      <w:pPr>
        <w:pStyle w:val="Style19"/>
        <w:keepNext w:val="0"/>
        <w:keepLines w:val="0"/>
        <w:widowControl w:val="0"/>
        <w:shd w:val="clear" w:color="auto" w:fill="auto"/>
        <w:bidi w:val="0"/>
        <w:spacing w:before="0" w:after="220"/>
        <w:ind w:left="0" w:right="0" w:firstLine="0"/>
        <w:jc w:val="both"/>
      </w:pPr>
      <w:r>
        <w:rPr>
          <w:rStyle w:val="CharStyle20"/>
        </w:rPr>
        <w:t>Dle Nařízení Komise 2017/1785 (SO GL) je možné část nároků na FRR v rámci propojené soustavy pokrývat z jiného regulačního bloku, tedy ze zahraničí. Výše poměru sdílené FRR je legislativně omezena na maximálně 50 % (pro výpočty MAF CZ prozatím nepředpokládáme, že by se do roku 2030 sdílení FRR v rámci ČR uplatnilo). Ve výpočtech po roce 2030 se předpokládá postupný rozvoj přeshraničního sdílení SVR. Pro výpočty v MAF CZ dimenzujeme velikost FRR podle největšího bloku v soustavě. Celková výše potřebného výkonu pro kladnou část FRR v České republice v roce 2036 vzroste spolu se zprovozněním NJZ z 1 069 MW na 1 140 MW. Maximální využití potenciálu sdílení podpůrných služeb předpokládáme ve výpočtech až za hranicí analyzované periody této studie, tedy v dekádě následující po roce 2040.</w:t>
      </w:r>
    </w:p>
    <w:p>
      <w:pPr>
        <w:pStyle w:val="Style19"/>
        <w:keepNext w:val="0"/>
        <w:keepLines w:val="0"/>
        <w:widowControl w:val="0"/>
        <w:shd w:val="clear" w:color="auto" w:fill="auto"/>
        <w:bidi w:val="0"/>
        <w:spacing w:before="0" w:after="480" w:line="300" w:lineRule="auto"/>
        <w:ind w:left="0" w:right="0" w:firstLine="0"/>
        <w:jc w:val="both"/>
      </w:pPr>
      <w:r>
        <w:rPr>
          <w:rStyle w:val="CharStyle20"/>
        </w:rPr>
        <w:t>Postupně se také bude rozvíjet využívání flexibility spotřeby elektrické energie. Odezva strany spotřeby (DSR) se zvýší z počátečních 50 MW v roce 2025 na 200 MW v 2040.</w:t>
      </w:r>
    </w:p>
    <w:p>
      <w:pPr>
        <w:pStyle w:val="Style68"/>
        <w:keepNext w:val="0"/>
        <w:keepLines w:val="0"/>
        <w:widowControl w:val="0"/>
        <w:shd w:val="clear" w:color="auto" w:fill="auto"/>
        <w:tabs>
          <w:tab w:pos="4851" w:val="left"/>
        </w:tabs>
        <w:bidi w:val="0"/>
        <w:spacing w:before="0" w:line="240" w:lineRule="auto"/>
        <w:ind w:right="0" w:firstLine="0"/>
        <w:jc w:val="left"/>
      </w:pPr>
      <w:r>
        <w:rPr>
          <w:rStyle w:val="CharStyle69"/>
        </w:rPr>
        <w:t>I</w:t>
        <w:tab/>
        <w:t>I</w:t>
      </w:r>
    </w:p>
    <w:p>
      <w:pPr>
        <w:pStyle w:val="Style15"/>
        <w:keepNext/>
        <w:keepLines/>
        <w:widowControl w:val="0"/>
        <w:shd w:val="clear" w:color="auto" w:fill="auto"/>
        <w:bidi w:val="0"/>
        <w:spacing w:before="0" w:after="480" w:line="240" w:lineRule="auto"/>
        <w:ind w:left="0" w:right="0" w:firstLine="0"/>
        <w:jc w:val="left"/>
      </w:pPr>
      <w:bookmarkStart w:id="186" w:name="bookmark186"/>
      <w:r>
        <w:rPr>
          <w:rStyle w:val="CharStyle16"/>
          <w:b/>
          <w:bCs/>
        </w:rPr>
        <w:t>Obr. 6.9 Skladba služeb výkonové rovnováhy a DSR v rozmezí let 2025-2040</w:t>
      </w:r>
      <w:bookmarkEnd w:id="186"/>
    </w:p>
    <w:p>
      <w:pPr>
        <w:pStyle w:val="Style37"/>
        <w:keepNext w:val="0"/>
        <w:keepLines w:val="0"/>
        <w:widowControl w:val="0"/>
        <w:shd w:val="clear" w:color="auto" w:fill="auto"/>
        <w:bidi w:val="0"/>
        <w:spacing w:before="0" w:after="220" w:line="240" w:lineRule="auto"/>
        <w:ind w:left="0" w:right="0" w:firstLine="460"/>
        <w:jc w:val="left"/>
        <w:rPr>
          <w:sz w:val="12"/>
          <w:szCs w:val="12"/>
        </w:rPr>
      </w:pPr>
      <w:r>
        <w:rPr>
          <w:rStyle w:val="CharStyle38"/>
          <w:b/>
          <w:bCs/>
          <w:color w:val="006AB4"/>
          <w:sz w:val="12"/>
          <w:szCs w:val="12"/>
        </w:rPr>
        <w:t>1 400</w:t>
      </w:r>
    </w:p>
    <w:p>
      <w:pPr>
        <w:widowControl w:val="0"/>
        <w:spacing w:line="1" w:lineRule="exact"/>
      </w:pPr>
      <w:r>
        <w:drawing>
          <wp:anchor distT="235585" distB="902335" distL="0" distR="0" simplePos="0" relativeHeight="125829456" behindDoc="0" locked="0" layoutInCell="1" allowOverlap="1">
            <wp:simplePos x="0" y="0"/>
            <wp:positionH relativeFrom="margin">
              <wp:posOffset>12065</wp:posOffset>
            </wp:positionH>
            <wp:positionV relativeFrom="paragraph">
              <wp:posOffset>235585</wp:posOffset>
            </wp:positionV>
            <wp:extent cx="103505" cy="944880"/>
            <wp:wrapTopAndBottom/>
            <wp:docPr id="251" name="Shape 251"/>
            <a:graphic xmlns:a="http://schemas.openxmlformats.org/drawingml/2006/main">
              <a:graphicData uri="http://schemas.openxmlformats.org/drawingml/2006/picture">
                <pic:pic xmlns:pic="http://schemas.openxmlformats.org/drawingml/2006/picture">
                  <pic:nvPicPr>
                    <pic:cNvPr id="252" name="Picture box 252"/>
                    <pic:cNvPicPr/>
                  </pic:nvPicPr>
                  <pic:blipFill>
                    <a:blip r:embed="rId191"/>
                    <a:stretch/>
                  </pic:blipFill>
                  <pic:spPr>
                    <a:xfrm>
                      <a:ext cx="103505" cy="944880"/>
                    </a:xfrm>
                    <a:prstGeom prst="rect"/>
                  </pic:spPr>
                </pic:pic>
              </a:graphicData>
            </a:graphic>
          </wp:anchor>
        </w:drawing>
      </w:r>
      <w:r>
        <w:drawing>
          <wp:anchor distT="1195705" distB="582295" distL="0" distR="0" simplePos="0" relativeHeight="125829457" behindDoc="0" locked="0" layoutInCell="1" allowOverlap="1">
            <wp:simplePos x="0" y="0"/>
            <wp:positionH relativeFrom="margin">
              <wp:posOffset>12065</wp:posOffset>
            </wp:positionH>
            <wp:positionV relativeFrom="paragraph">
              <wp:posOffset>1195705</wp:posOffset>
            </wp:positionV>
            <wp:extent cx="103505" cy="304800"/>
            <wp:wrapTopAndBottom/>
            <wp:docPr id="253" name="Shape 253"/>
            <a:graphic xmlns:a="http://schemas.openxmlformats.org/drawingml/2006/main">
              <a:graphicData uri="http://schemas.openxmlformats.org/drawingml/2006/picture">
                <pic:pic xmlns:pic="http://schemas.openxmlformats.org/drawingml/2006/picture">
                  <pic:nvPicPr>
                    <pic:cNvPr id="254" name="Picture box 254"/>
                    <pic:cNvPicPr/>
                  </pic:nvPicPr>
                  <pic:blipFill>
                    <a:blip r:embed="rId193"/>
                    <a:stretch/>
                  </pic:blipFill>
                  <pic:spPr>
                    <a:xfrm>
                      <a:ext cx="103505" cy="304800"/>
                    </a:xfrm>
                    <a:prstGeom prst="rect"/>
                  </pic:spPr>
                </pic:pic>
              </a:graphicData>
            </a:graphic>
          </wp:anchor>
        </w:drawing>
      </w:r>
      <w:r>
        <w:drawing>
          <wp:anchor distT="156210" distB="326390" distL="313690" distR="0" simplePos="0" relativeHeight="125829458" behindDoc="0" locked="0" layoutInCell="1" allowOverlap="1">
            <wp:simplePos x="0" y="0"/>
            <wp:positionH relativeFrom="margin">
              <wp:posOffset>596900</wp:posOffset>
            </wp:positionH>
            <wp:positionV relativeFrom="paragraph">
              <wp:posOffset>156210</wp:posOffset>
            </wp:positionV>
            <wp:extent cx="5614670" cy="1597025"/>
            <wp:wrapTopAndBottom/>
            <wp:docPr id="255" name="Shape 255"/>
            <a:graphic xmlns:a="http://schemas.openxmlformats.org/drawingml/2006/main">
              <a:graphicData uri="http://schemas.openxmlformats.org/drawingml/2006/picture">
                <pic:pic xmlns:pic="http://schemas.openxmlformats.org/drawingml/2006/picture">
                  <pic:nvPicPr>
                    <pic:cNvPr id="256" name="Picture box 256"/>
                    <pic:cNvPicPr/>
                  </pic:nvPicPr>
                  <pic:blipFill>
                    <a:blip r:embed="rId195"/>
                    <a:stretch/>
                  </pic:blipFill>
                  <pic:spPr>
                    <a:xfrm>
                      <a:ext cx="5614670" cy="159702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margin">
                  <wp:posOffset>283210</wp:posOffset>
                </wp:positionH>
                <wp:positionV relativeFrom="paragraph">
                  <wp:posOffset>101600</wp:posOffset>
                </wp:positionV>
                <wp:extent cx="231775" cy="1551305"/>
                <wp:wrapNone/>
                <wp:docPr id="257" name="Shape 257"/>
                <a:graphic xmlns:a="http://schemas.openxmlformats.org/drawingml/2006/main">
                  <a:graphicData uri="http://schemas.microsoft.com/office/word/2010/wordprocessingShape">
                    <wps:wsp>
                      <wps:cNvSpPr txBox="1"/>
                      <wps:spPr>
                        <a:xfrm>
                          <a:ext cx="231775" cy="1551305"/>
                        </a:xfrm>
                        <a:prstGeom prst="rect"/>
                        <a:noFill/>
                      </wps:spPr>
                      <wps:txbx>
                        <w:txbxContent>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1 200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1 000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800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600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400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200</w:t>
                            </w:r>
                          </w:p>
                        </w:txbxContent>
                      </wps:txbx>
                      <wps:bodyPr lIns="0" tIns="0" rIns="0" bIns="0">
                        <a:noAutoFit/>
                      </wps:bodyPr>
                    </wps:wsp>
                  </a:graphicData>
                </a:graphic>
              </wp:anchor>
            </w:drawing>
          </mc:Choice>
          <mc:Fallback>
            <w:pict>
              <v:shape id="_x0000_s1283" type="#_x0000_t202" style="position:absolute;margin-left:22.300000000000001pt;margin-top:8.pt;width:18.25pt;height:122.15000000000001pt;z-index:251657767;mso-wrap-distance-left:0;mso-wrap-distance-right:0;mso-position-horizontal-relative:margin" filled="f" stroked="f">
                <v:textbox inset="0,0,0,0">
                  <w:txbxContent>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1 200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1 000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800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600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400</w:t>
                      </w:r>
                    </w:p>
                    <w:p>
                      <w:pPr>
                        <w:pStyle w:val="Style2"/>
                        <w:keepNext w:val="0"/>
                        <w:keepLines w:val="0"/>
                        <w:widowControl w:val="0"/>
                        <w:shd w:val="clear" w:color="auto" w:fill="auto"/>
                        <w:bidi w:val="0"/>
                        <w:spacing w:before="0" w:after="280" w:line="240" w:lineRule="auto"/>
                        <w:ind w:left="0" w:right="0" w:firstLine="0"/>
                        <w:jc w:val="left"/>
                        <w:rPr>
                          <w:sz w:val="12"/>
                          <w:szCs w:val="12"/>
                        </w:rPr>
                      </w:pPr>
                      <w:r>
                        <w:rPr>
                          <w:rStyle w:val="CharStyle3"/>
                          <w:b/>
                          <w:bCs/>
                          <w:sz w:val="12"/>
                          <w:szCs w:val="12"/>
                        </w:rPr>
                        <w:t>200</w:t>
                      </w:r>
                    </w:p>
                  </w:txbxContent>
                </v:textbox>
                <w10:wrap anchorx="margin"/>
              </v:shape>
            </w:pict>
          </mc:Fallback>
        </mc:AlternateContent>
      </w:r>
      <w:r>
        <mc:AlternateContent>
          <mc:Choice Requires="wps">
            <w:drawing>
              <wp:anchor distT="0" distB="0" distL="0" distR="0" simplePos="0" relativeHeight="503316522" behindDoc="0" locked="0" layoutInCell="1" allowOverlap="1">
                <wp:simplePos x="0" y="0"/>
                <wp:positionH relativeFrom="margin">
                  <wp:posOffset>1380490</wp:posOffset>
                </wp:positionH>
                <wp:positionV relativeFrom="paragraph">
                  <wp:posOffset>1768475</wp:posOffset>
                </wp:positionV>
                <wp:extent cx="4050665" cy="118745"/>
                <wp:wrapNone/>
                <wp:docPr id="259" name="Shape 259"/>
                <a:graphic xmlns:a="http://schemas.openxmlformats.org/drawingml/2006/main">
                  <a:graphicData uri="http://schemas.microsoft.com/office/word/2010/wordprocessingShape">
                    <wps:wsp>
                      <wps:cNvSpPr txBox="1"/>
                      <wps:spPr>
                        <a:xfrm>
                          <a:ext cx="4050665" cy="118745"/>
                        </a:xfrm>
                        <a:prstGeom prst="rect"/>
                        <a:noFill/>
                      </wps:spPr>
                      <wps:txbx>
                        <w:txbxContent>
                          <w:p>
                            <w:pPr>
                              <w:pStyle w:val="Style2"/>
                              <w:keepNext w:val="0"/>
                              <w:keepLines w:val="0"/>
                              <w:widowControl w:val="0"/>
                              <w:shd w:val="clear" w:color="auto" w:fill="auto"/>
                              <w:tabs>
                                <w:tab w:pos="1978" w:val="left"/>
                                <w:tab w:pos="3946" w:val="left"/>
                                <w:tab w:pos="5918" w:val="left"/>
                              </w:tabs>
                              <w:bidi w:val="0"/>
                              <w:spacing w:before="0" w:after="0" w:line="240" w:lineRule="auto"/>
                              <w:ind w:left="0" w:right="0" w:firstLine="0"/>
                              <w:jc w:val="left"/>
                              <w:rPr>
                                <w:sz w:val="12"/>
                                <w:szCs w:val="12"/>
                              </w:rPr>
                            </w:pPr>
                            <w:r>
                              <w:rPr>
                                <w:rStyle w:val="CharStyle3"/>
                                <w:b/>
                                <w:bCs/>
                                <w:color w:val="000000"/>
                                <w:sz w:val="12"/>
                                <w:szCs w:val="12"/>
                              </w:rPr>
                              <w:t>74 MW</w:t>
                              <w:tab/>
                              <w:t>74 MW</w:t>
                              <w:tab/>
                              <w:t>74 MW</w:t>
                              <w:tab/>
                              <w:t>74 MW</w:t>
                            </w:r>
                          </w:p>
                        </w:txbxContent>
                      </wps:txbx>
                      <wps:bodyPr lIns="0" tIns="0" rIns="0" bIns="0">
                        <a:noAutoFit/>
                      </wps:bodyPr>
                    </wps:wsp>
                  </a:graphicData>
                </a:graphic>
              </wp:anchor>
            </w:drawing>
          </mc:Choice>
          <mc:Fallback>
            <w:pict>
              <v:shape id="_x0000_s1285" type="#_x0000_t202" style="position:absolute;margin-left:108.7pt;margin-top:139.25pt;width:318.94999999999999pt;height:9.3499999999999996pt;z-index:251657769;mso-wrap-distance-left:0;mso-wrap-distance-right:0;mso-position-horizontal-relative:margin" filled="f" stroked="f">
                <v:textbox inset="0,0,0,0">
                  <w:txbxContent>
                    <w:p>
                      <w:pPr>
                        <w:pStyle w:val="Style2"/>
                        <w:keepNext w:val="0"/>
                        <w:keepLines w:val="0"/>
                        <w:widowControl w:val="0"/>
                        <w:shd w:val="clear" w:color="auto" w:fill="auto"/>
                        <w:tabs>
                          <w:tab w:pos="1978" w:val="left"/>
                          <w:tab w:pos="3946" w:val="left"/>
                          <w:tab w:pos="5918" w:val="left"/>
                        </w:tabs>
                        <w:bidi w:val="0"/>
                        <w:spacing w:before="0" w:after="0" w:line="240" w:lineRule="auto"/>
                        <w:ind w:left="0" w:right="0" w:firstLine="0"/>
                        <w:jc w:val="left"/>
                        <w:rPr>
                          <w:sz w:val="12"/>
                          <w:szCs w:val="12"/>
                        </w:rPr>
                      </w:pPr>
                      <w:r>
                        <w:rPr>
                          <w:rStyle w:val="CharStyle3"/>
                          <w:b/>
                          <w:bCs/>
                          <w:color w:val="000000"/>
                          <w:sz w:val="12"/>
                          <w:szCs w:val="12"/>
                        </w:rPr>
                        <w:t>74 MW</w:t>
                        <w:tab/>
                        <w:t>74 MW</w:t>
                        <w:tab/>
                        <w:t>74 MW</w:t>
                        <w:tab/>
                        <w:t>74 MW</w:t>
                      </w:r>
                    </w:p>
                  </w:txbxContent>
                </v:textbox>
                <w10:wrap anchorx="margin"/>
              </v:shape>
            </w:pict>
          </mc:Fallback>
        </mc:AlternateContent>
      </w:r>
      <w:r>
        <mc:AlternateContent>
          <mc:Choice Requires="wps">
            <w:drawing>
              <wp:anchor distT="0" distB="0" distL="0" distR="0" simplePos="0" relativeHeight="503316524" behindDoc="0" locked="0" layoutInCell="1" allowOverlap="1">
                <wp:simplePos x="0" y="0"/>
                <wp:positionH relativeFrom="margin">
                  <wp:posOffset>1419860</wp:posOffset>
                </wp:positionH>
                <wp:positionV relativeFrom="paragraph">
                  <wp:posOffset>1963420</wp:posOffset>
                </wp:positionV>
                <wp:extent cx="3971290" cy="115570"/>
                <wp:wrapNone/>
                <wp:docPr id="261" name="Shape 261"/>
                <a:graphic xmlns:a="http://schemas.openxmlformats.org/drawingml/2006/main">
                  <a:graphicData uri="http://schemas.microsoft.com/office/word/2010/wordprocessingShape">
                    <wps:wsp>
                      <wps:cNvSpPr txBox="1"/>
                      <wps:spPr>
                        <a:xfrm>
                          <a:ext cx="3971290" cy="115570"/>
                        </a:xfrm>
                        <a:prstGeom prst="rect"/>
                        <a:noFill/>
                      </wps:spPr>
                      <wps:txbx>
                        <w:txbxContent>
                          <w:p>
                            <w:pPr>
                              <w:pStyle w:val="Style2"/>
                              <w:keepNext w:val="0"/>
                              <w:keepLines w:val="0"/>
                              <w:widowControl w:val="0"/>
                              <w:shd w:val="clear" w:color="auto" w:fill="auto"/>
                              <w:tabs>
                                <w:tab w:pos="1968" w:val="left"/>
                                <w:tab w:pos="3946" w:val="left"/>
                                <w:tab w:pos="5914" w:val="left"/>
                              </w:tabs>
                              <w:bidi w:val="0"/>
                              <w:spacing w:before="0" w:after="0" w:line="240" w:lineRule="auto"/>
                              <w:ind w:left="0" w:right="0" w:firstLine="0"/>
                              <w:jc w:val="left"/>
                              <w:rPr>
                                <w:sz w:val="12"/>
                                <w:szCs w:val="12"/>
                              </w:rPr>
                            </w:pPr>
                            <w:r>
                              <w:rPr>
                                <w:rStyle w:val="CharStyle3"/>
                                <w:b/>
                                <w:bCs/>
                                <w:sz w:val="12"/>
                                <w:szCs w:val="12"/>
                              </w:rPr>
                              <w:t>2025</w:t>
                              <w:tab/>
                              <w:t>2030</w:t>
                              <w:tab/>
                              <w:t>2035</w:t>
                              <w:tab/>
                              <w:t>2040</w:t>
                            </w:r>
                          </w:p>
                        </w:txbxContent>
                      </wps:txbx>
                      <wps:bodyPr lIns="0" tIns="0" rIns="0" bIns="0">
                        <a:noAutoFit/>
                      </wps:bodyPr>
                    </wps:wsp>
                  </a:graphicData>
                </a:graphic>
              </wp:anchor>
            </w:drawing>
          </mc:Choice>
          <mc:Fallback>
            <w:pict>
              <v:shape id="_x0000_s1287" type="#_x0000_t202" style="position:absolute;margin-left:111.8pt;margin-top:154.59999999999999pt;width:312.69999999999999pt;height:9.0999999999999996pt;z-index:251657771;mso-wrap-distance-left:0;mso-wrap-distance-right:0;mso-position-horizontal-relative:margin" filled="f" stroked="f">
                <v:textbox inset="0,0,0,0">
                  <w:txbxContent>
                    <w:p>
                      <w:pPr>
                        <w:pStyle w:val="Style2"/>
                        <w:keepNext w:val="0"/>
                        <w:keepLines w:val="0"/>
                        <w:widowControl w:val="0"/>
                        <w:shd w:val="clear" w:color="auto" w:fill="auto"/>
                        <w:tabs>
                          <w:tab w:pos="1968" w:val="left"/>
                          <w:tab w:pos="3946" w:val="left"/>
                          <w:tab w:pos="5914" w:val="left"/>
                        </w:tabs>
                        <w:bidi w:val="0"/>
                        <w:spacing w:before="0" w:after="0" w:line="240" w:lineRule="auto"/>
                        <w:ind w:left="0" w:right="0" w:firstLine="0"/>
                        <w:jc w:val="left"/>
                        <w:rPr>
                          <w:sz w:val="12"/>
                          <w:szCs w:val="12"/>
                        </w:rPr>
                      </w:pPr>
                      <w:r>
                        <w:rPr>
                          <w:rStyle w:val="CharStyle3"/>
                          <w:b/>
                          <w:bCs/>
                          <w:sz w:val="12"/>
                          <w:szCs w:val="12"/>
                        </w:rPr>
                        <w:t>2025</w:t>
                        <w:tab/>
                        <w:t>2030</w:t>
                        <w:tab/>
                        <w:t>2035</w:t>
                        <w:tab/>
                        <w:t>2040</w:t>
                      </w:r>
                    </w:p>
                  </w:txbxContent>
                </v:textbox>
                <w10:wrap anchorx="margin"/>
              </v:shape>
            </w:pict>
          </mc:Fallback>
        </mc:AlternateContent>
      </w:r>
    </w:p>
    <w:p>
      <w:pPr>
        <w:widowControl w:val="0"/>
        <w:spacing w:line="1" w:lineRule="exact"/>
      </w:pPr>
      <w:r>
        <mc:AlternateContent>
          <mc:Choice Requires="wps">
            <w:drawing>
              <wp:anchor distT="190500" distB="0" distL="0" distR="0" simplePos="0" relativeHeight="125829459" behindDoc="0" locked="0" layoutInCell="1" allowOverlap="1">
                <wp:simplePos x="0" y="0"/>
                <wp:positionH relativeFrom="margin">
                  <wp:posOffset>798830</wp:posOffset>
                </wp:positionH>
                <wp:positionV relativeFrom="paragraph">
                  <wp:posOffset>190500</wp:posOffset>
                </wp:positionV>
                <wp:extent cx="3999230" cy="152400"/>
                <wp:wrapTopAndBottom/>
                <wp:docPr id="263" name="Shape 263"/>
                <a:graphic xmlns:a="http://schemas.openxmlformats.org/drawingml/2006/main">
                  <a:graphicData uri="http://schemas.microsoft.com/office/word/2010/wordprocessingShape">
                    <wps:wsp>
                      <wps:cNvSpPr txBox="1"/>
                      <wps:spPr>
                        <a:xfrm>
                          <a:ext cx="3999230" cy="152400"/>
                        </a:xfrm>
                        <a:prstGeom prst="rect"/>
                        <a:noFill/>
                      </wps:spPr>
                      <wps:txbx>
                        <w:txbxContent>
                          <w:p>
                            <w:pPr>
                              <w:pStyle w:val="Style75"/>
                              <w:keepNext w:val="0"/>
                              <w:keepLines w:val="0"/>
                              <w:widowControl w:val="0"/>
                              <w:shd w:val="clear" w:color="auto" w:fill="auto"/>
                              <w:tabs>
                                <w:tab w:pos="1402" w:val="left"/>
                                <w:tab w:pos="3250" w:val="left"/>
                                <w:tab w:pos="4872" w:val="left"/>
                              </w:tabs>
                              <w:bidi w:val="0"/>
                              <w:spacing w:before="0" w:after="0" w:line="240" w:lineRule="auto"/>
                              <w:ind w:left="0" w:right="0" w:firstLine="0"/>
                              <w:jc w:val="left"/>
                            </w:pPr>
                            <w:r>
                              <w:rPr>
                                <w:rStyle w:val="CharStyle76"/>
                              </w:rPr>
                              <w:t>FCR ČR</w:t>
                              <w:tab/>
                            </w:r>
                            <w:r>
                              <w:rPr>
                                <w:rStyle w:val="CharStyle76"/>
                                <w:color w:val="27A851"/>
                              </w:rPr>
                              <w:t xml:space="preserve">■ </w:t>
                            </w:r>
                            <w:r>
                              <w:rPr>
                                <w:rStyle w:val="CharStyle76"/>
                              </w:rPr>
                              <w:t>FRR ČR</w:t>
                              <w:tab/>
                            </w:r>
                            <w:r>
                              <w:rPr>
                                <w:rStyle w:val="CharStyle76"/>
                                <w:color w:val="ED6B5E"/>
                              </w:rPr>
                              <w:t xml:space="preserve">■ </w:t>
                            </w:r>
                            <w:r>
                              <w:rPr>
                                <w:rStyle w:val="CharStyle76"/>
                              </w:rPr>
                              <w:t>DSR</w:t>
                              <w:tab/>
                            </w:r>
                            <w:r>
                              <w:rPr>
                                <w:rStyle w:val="CharStyle76"/>
                                <w:color w:val="006AB4"/>
                              </w:rPr>
                              <w:t xml:space="preserve">■ </w:t>
                            </w:r>
                            <w:r>
                              <w:rPr>
                                <w:rStyle w:val="CharStyle76"/>
                              </w:rPr>
                              <w:t>FRR Zahraničí</w:t>
                            </w:r>
                          </w:p>
                        </w:txbxContent>
                      </wps:txbx>
                      <wps:bodyPr wrap="none" lIns="0" tIns="0" rIns="0" bIns="0">
                        <a:noAutoFit/>
                      </wps:bodyPr>
                    </wps:wsp>
                  </a:graphicData>
                </a:graphic>
              </wp:anchor>
            </w:drawing>
          </mc:Choice>
          <mc:Fallback>
            <w:pict>
              <v:shape id="_x0000_s1289" type="#_x0000_t202" style="position:absolute;margin-left:62.899999999999999pt;margin-top:15.pt;width:314.90000000000003pt;height:12.pt;z-index:-125829294;mso-wrap-distance-left:0;mso-wrap-distance-top:15.pt;mso-wrap-distance-right:0;mso-position-horizontal-relative:margin" filled="f" stroked="f">
                <v:textbox inset="0,0,0,0">
                  <w:txbxContent>
                    <w:p>
                      <w:pPr>
                        <w:pStyle w:val="Style75"/>
                        <w:keepNext w:val="0"/>
                        <w:keepLines w:val="0"/>
                        <w:widowControl w:val="0"/>
                        <w:shd w:val="clear" w:color="auto" w:fill="auto"/>
                        <w:tabs>
                          <w:tab w:pos="1402" w:val="left"/>
                          <w:tab w:pos="3250" w:val="left"/>
                          <w:tab w:pos="4872" w:val="left"/>
                        </w:tabs>
                        <w:bidi w:val="0"/>
                        <w:spacing w:before="0" w:after="0" w:line="240" w:lineRule="auto"/>
                        <w:ind w:left="0" w:right="0" w:firstLine="0"/>
                        <w:jc w:val="left"/>
                      </w:pPr>
                      <w:r>
                        <w:rPr>
                          <w:rStyle w:val="CharStyle76"/>
                        </w:rPr>
                        <w:t>FCR ČR</w:t>
                        <w:tab/>
                      </w:r>
                      <w:r>
                        <w:rPr>
                          <w:rStyle w:val="CharStyle76"/>
                          <w:color w:val="27A851"/>
                        </w:rPr>
                        <w:t xml:space="preserve">■ </w:t>
                      </w:r>
                      <w:r>
                        <w:rPr>
                          <w:rStyle w:val="CharStyle76"/>
                        </w:rPr>
                        <w:t>FRR ČR</w:t>
                        <w:tab/>
                      </w:r>
                      <w:r>
                        <w:rPr>
                          <w:rStyle w:val="CharStyle76"/>
                          <w:color w:val="ED6B5E"/>
                        </w:rPr>
                        <w:t xml:space="preserve">■ </w:t>
                      </w:r>
                      <w:r>
                        <w:rPr>
                          <w:rStyle w:val="CharStyle76"/>
                        </w:rPr>
                        <w:t>DSR</w:t>
                        <w:tab/>
                      </w:r>
                      <w:r>
                        <w:rPr>
                          <w:rStyle w:val="CharStyle76"/>
                          <w:color w:val="006AB4"/>
                        </w:rPr>
                        <w:t xml:space="preserve">■ </w:t>
                      </w:r>
                      <w:r>
                        <w:rPr>
                          <w:rStyle w:val="CharStyle76"/>
                        </w:rPr>
                        <w:t>FRR Zahraničí</w:t>
                      </w:r>
                    </w:p>
                  </w:txbxContent>
                </v:textbox>
                <w10:wrap type="topAndBottom" anchorx="margin"/>
              </v:shape>
            </w:pict>
          </mc:Fallback>
        </mc:AlternateContent>
      </w:r>
    </w:p>
    <w:p>
      <w:pPr>
        <w:pStyle w:val="Style27"/>
        <w:keepNext/>
        <w:keepLines/>
        <w:widowControl w:val="0"/>
        <w:numPr>
          <w:ilvl w:val="1"/>
          <w:numId w:val="29"/>
        </w:numPr>
        <w:shd w:val="clear" w:color="auto" w:fill="auto"/>
        <w:tabs>
          <w:tab w:pos="3132" w:val="left"/>
        </w:tabs>
        <w:bidi w:val="0"/>
        <w:spacing w:before="0" w:after="0"/>
        <w:ind w:left="2720" w:right="0" w:firstLine="0"/>
        <w:jc w:val="left"/>
      </w:pPr>
      <w:bookmarkStart w:id="188" w:name="bookmark188"/>
      <w:r>
        <w:rPr>
          <w:rStyle w:val="CharStyle28"/>
          <w:b/>
          <w:bCs/>
        </w:rPr>
        <w:t>ANALÝZA VÝSLEDKŮ SIMULACÍ NASAZENÍ ZDROJŮ</w:t>
      </w:r>
      <w:bookmarkEnd w:id="188"/>
    </w:p>
    <w:p>
      <w:pPr>
        <w:pStyle w:val="Style19"/>
        <w:keepNext w:val="0"/>
        <w:keepLines w:val="0"/>
        <w:widowControl w:val="0"/>
        <w:shd w:val="clear" w:color="auto" w:fill="auto"/>
        <w:bidi w:val="0"/>
        <w:spacing w:before="0" w:after="260"/>
        <w:ind w:left="2720" w:right="0" w:firstLine="0"/>
        <w:jc w:val="left"/>
      </w:pPr>
      <w:r>
        <w:rPr>
          <w:rStyle w:val="CharStyle20"/>
        </w:rPr>
        <w:t>Tato kapitola představuje souhrn výsledků simulací nasazení zdrojů pro jednotlivé scénáře. Prezentovanými výsledky jsou stav bilance - saldo, nedodávka EENS, LOLE, výroba jednotlivých typů zdrojů, ekonomické ukazatele a emisní stopa jednotlivých scénářů.</w:t>
      </w:r>
    </w:p>
    <w:p>
      <w:pPr>
        <w:pStyle w:val="Style19"/>
        <w:keepNext w:val="0"/>
        <w:keepLines w:val="0"/>
        <w:widowControl w:val="0"/>
        <w:shd w:val="clear" w:color="auto" w:fill="auto"/>
        <w:bidi w:val="0"/>
        <w:spacing w:before="0" w:after="220" w:line="300" w:lineRule="auto"/>
        <w:ind w:left="2720" w:right="0" w:firstLine="0"/>
        <w:jc w:val="left"/>
      </w:pPr>
      <w:r>
        <w:rPr>
          <w:rStyle w:val="CharStyle20"/>
        </w:rPr>
        <w:t>Pro modelování nasazení zdrojů byly použité následující principy:</w:t>
      </w:r>
    </w:p>
    <w:p>
      <w:pPr>
        <w:pStyle w:val="Style19"/>
        <w:keepNext w:val="0"/>
        <w:keepLines w:val="0"/>
        <w:widowControl w:val="0"/>
        <w:shd w:val="clear" w:color="auto" w:fill="auto"/>
        <w:bidi w:val="0"/>
        <w:spacing w:before="0" w:after="220" w:line="276" w:lineRule="auto"/>
        <w:ind w:left="2940" w:right="0" w:hanging="220"/>
        <w:jc w:val="left"/>
      </w:pPr>
      <w:r>
        <w:rPr>
          <w:rStyle w:val="CharStyle20"/>
          <w:color w:val="006AB4"/>
          <w:sz w:val="22"/>
          <w:szCs w:val="22"/>
        </w:rPr>
        <w:t xml:space="preserve">^ </w:t>
      </w:r>
      <w:r>
        <w:rPr>
          <w:rStyle w:val="CharStyle20"/>
        </w:rPr>
        <w:t>Výpočet ekonomického nasazení zdrojů (tzv. Unit Commitment) byl proveden v souladu s metodikou ENTSO-E, tedy s netto výkonem zdrojů (příslušné veličiny byly sníženy o vlastní spotřebu)</w:t>
      </w:r>
    </w:p>
    <w:p>
      <w:pPr>
        <w:pStyle w:val="Style19"/>
        <w:keepNext w:val="0"/>
        <w:keepLines w:val="0"/>
        <w:widowControl w:val="0"/>
        <w:shd w:val="clear" w:color="auto" w:fill="auto"/>
        <w:bidi w:val="0"/>
        <w:spacing w:before="0" w:after="220" w:line="271" w:lineRule="auto"/>
        <w:ind w:left="2940" w:right="0" w:hanging="220"/>
        <w:jc w:val="left"/>
      </w:pPr>
      <w:r>
        <w:rPr>
          <w:rStyle w:val="CharStyle20"/>
          <w:color w:val="006AB4"/>
          <w:sz w:val="22"/>
          <w:szCs w:val="22"/>
        </w:rPr>
        <w:t xml:space="preserve">^ </w:t>
      </w:r>
      <w:r>
        <w:rPr>
          <w:rStyle w:val="CharStyle20"/>
        </w:rPr>
        <w:t>Započítány byly také výpadky, odstávky a klimatické podmínky na základě typových dat ENTSO-E a klimatické databáze PECD</w:t>
      </w:r>
    </w:p>
    <w:p>
      <w:pPr>
        <w:pStyle w:val="Style19"/>
        <w:keepNext w:val="0"/>
        <w:keepLines w:val="0"/>
        <w:widowControl w:val="0"/>
        <w:shd w:val="clear" w:color="auto" w:fill="auto"/>
        <w:bidi w:val="0"/>
        <w:spacing w:before="0" w:after="220" w:line="288" w:lineRule="auto"/>
        <w:ind w:left="2940" w:right="0" w:hanging="220"/>
        <w:jc w:val="left"/>
      </w:pPr>
      <w:r>
        <w:rPr>
          <w:rStyle w:val="CharStyle20"/>
          <w:color w:val="006AB4"/>
          <w:sz w:val="22"/>
          <w:szCs w:val="22"/>
        </w:rPr>
        <w:t xml:space="preserve">^ </w:t>
      </w:r>
      <w:r>
        <w:rPr>
          <w:rStyle w:val="CharStyle20"/>
        </w:rPr>
        <w:t>Výsledky jsou prezentovány v průměrných hodnotách (výpočet pro každý časový řez je proveden na 3 klimatických letech (v souladu s metodikou uvedou v dokumentu Bidding Zone Review, rok vydání 2022) - to například způsobuje, že se potenciál výroby VTE v případě ČR v jednotlivých klimatických letech se může pohybovat v pásmu ± 14 % od průměrné hodnoty)</w:t>
      </w:r>
    </w:p>
    <w:p>
      <w:pPr>
        <w:pStyle w:val="Style19"/>
        <w:keepNext w:val="0"/>
        <w:keepLines w:val="0"/>
        <w:widowControl w:val="0"/>
        <w:shd w:val="clear" w:color="auto" w:fill="auto"/>
        <w:bidi w:val="0"/>
        <w:spacing w:before="0" w:after="220" w:line="271" w:lineRule="auto"/>
        <w:ind w:left="2940" w:right="0" w:hanging="220"/>
        <w:jc w:val="left"/>
      </w:pPr>
      <w:r>
        <w:rPr>
          <w:rStyle w:val="CharStyle20"/>
          <w:color w:val="006AB4"/>
          <w:sz w:val="22"/>
          <w:szCs w:val="22"/>
        </w:rPr>
        <w:t xml:space="preserve">^ </w:t>
      </w:r>
      <w:r>
        <w:rPr>
          <w:rStyle w:val="CharStyle20"/>
        </w:rPr>
        <w:t>Modelování bere v potaz disponibilitu regulačního výkonu ve výši nutné k pokrytí výpadku největšího bloku v soustavě</w:t>
      </w:r>
    </w:p>
    <w:p>
      <w:pPr>
        <w:pStyle w:val="Style19"/>
        <w:keepNext w:val="0"/>
        <w:keepLines w:val="0"/>
        <w:widowControl w:val="0"/>
        <w:shd w:val="clear" w:color="auto" w:fill="auto"/>
        <w:bidi w:val="0"/>
        <w:spacing w:before="0" w:after="220" w:line="283" w:lineRule="auto"/>
        <w:ind w:left="2940" w:right="0" w:hanging="220"/>
        <w:jc w:val="left"/>
      </w:pPr>
      <w:r>
        <w:rPr>
          <w:rStyle w:val="CharStyle20"/>
          <w:color w:val="006AB4"/>
          <w:sz w:val="22"/>
          <w:szCs w:val="22"/>
        </w:rPr>
        <w:t xml:space="preserve">^ </w:t>
      </w:r>
      <w:r>
        <w:rPr>
          <w:rStyle w:val="CharStyle20"/>
        </w:rPr>
        <w:t>Mimo stanovených scénářů vývoje FVE, VTE a výstavby NJZ se neuvažuje jakékoliv další teoretické dozdrojování (výstavba nových elektráren pro nahrazení chybějícího výkonu)</w:t>
      </w:r>
    </w:p>
    <w:p>
      <w:pPr>
        <w:pStyle w:val="Style19"/>
        <w:keepNext w:val="0"/>
        <w:keepLines w:val="0"/>
        <w:widowControl w:val="0"/>
        <w:shd w:val="clear" w:color="auto" w:fill="auto"/>
        <w:bidi w:val="0"/>
        <w:spacing w:before="0" w:after="220" w:line="271" w:lineRule="auto"/>
        <w:ind w:left="2940" w:right="0" w:hanging="220"/>
        <w:jc w:val="left"/>
      </w:pPr>
      <w:r>
        <w:rPr>
          <w:rStyle w:val="CharStyle20"/>
          <w:color w:val="006AB4"/>
          <w:sz w:val="22"/>
          <w:szCs w:val="22"/>
        </w:rPr>
        <w:t xml:space="preserve">^ </w:t>
      </w:r>
      <w:r>
        <w:rPr>
          <w:rStyle w:val="CharStyle20"/>
        </w:rPr>
        <w:t>Modelování respektuje informace poskytnuté provozovateli zdrojů v rámci dotazníkového šetření</w:t>
      </w:r>
    </w:p>
    <w:p>
      <w:pPr>
        <w:pStyle w:val="Style19"/>
        <w:keepNext w:val="0"/>
        <w:keepLines w:val="0"/>
        <w:widowControl w:val="0"/>
        <w:shd w:val="clear" w:color="auto" w:fill="auto"/>
        <w:bidi w:val="0"/>
        <w:spacing w:before="0" w:after="260" w:line="276" w:lineRule="auto"/>
        <w:ind w:left="2940" w:right="0" w:hanging="220"/>
        <w:jc w:val="left"/>
      </w:pPr>
      <w:r>
        <w:rPr>
          <w:rStyle w:val="CharStyle20"/>
          <w:color w:val="006AB4"/>
          <w:sz w:val="22"/>
          <w:szCs w:val="22"/>
        </w:rPr>
        <w:t xml:space="preserve">^ </w:t>
      </w:r>
      <w:r>
        <w:rPr>
          <w:rStyle w:val="CharStyle20"/>
        </w:rPr>
        <w:t>Ke zmaření energie dochází v případě, že pro ni v danou hodinu není možnost využití v rámci spotřeby, exportu či akumulace</w:t>
      </w:r>
    </w:p>
    <w:p>
      <w:pPr>
        <w:pStyle w:val="Style19"/>
        <w:keepNext w:val="0"/>
        <w:keepLines w:val="0"/>
        <w:widowControl w:val="0"/>
        <w:shd w:val="clear" w:color="auto" w:fill="auto"/>
        <w:bidi w:val="0"/>
        <w:spacing w:before="0" w:after="220" w:line="300" w:lineRule="auto"/>
        <w:ind w:left="2720" w:right="0" w:firstLine="0"/>
        <w:jc w:val="left"/>
        <w:sectPr>
          <w:footnotePr>
            <w:pos w:val="pageBottom"/>
            <w:numFmt w:val="decimal"/>
            <w:numRestart w:val="continuous"/>
          </w:footnotePr>
          <w:pgSz w:w="12142" w:h="17375"/>
          <w:pgMar w:top="1161" w:right="731" w:bottom="1698" w:left="731" w:header="0" w:footer="3" w:gutter="869"/>
          <w:cols w:space="720"/>
          <w:noEndnote/>
          <w:rtlGutter w:val="0"/>
          <w:docGrid w:linePitch="360"/>
        </w:sectPr>
      </w:pPr>
      <w:bookmarkStart w:id="190" w:name="bookmark190"/>
      <w:r>
        <w:rPr>
          <w:rStyle w:val="CharStyle20"/>
        </w:rPr>
        <w:t xml:space="preserve">Detailnější rozbor přístupu k modelování je součástí dokumentu </w:t>
      </w:r>
      <w:r>
        <w:rPr>
          <w:rStyle w:val="CharStyle20"/>
          <w:b/>
          <w:bCs/>
        </w:rPr>
        <w:t>Metodika pro hodnocení zdrojové přiměřenosti (MAF CZ) 2022</w:t>
      </w:r>
      <w:r>
        <w:rPr>
          <w:rStyle w:val="CharStyle20"/>
        </w:rPr>
        <w:t>.</w:t>
      </w:r>
      <w:bookmarkEnd w:id="190"/>
    </w:p>
    <w:p>
      <w:pPr>
        <w:pStyle w:val="Style27"/>
        <w:keepNext/>
        <w:keepLines/>
        <w:widowControl w:val="0"/>
        <w:numPr>
          <w:ilvl w:val="2"/>
          <w:numId w:val="29"/>
        </w:numPr>
        <w:shd w:val="clear" w:color="auto" w:fill="auto"/>
        <w:tabs>
          <w:tab w:pos="608" w:val="left"/>
        </w:tabs>
        <w:bidi w:val="0"/>
        <w:spacing w:before="0" w:after="640" w:line="240" w:lineRule="auto"/>
        <w:ind w:left="0" w:right="0" w:firstLine="0"/>
        <w:jc w:val="left"/>
      </w:pPr>
      <w:bookmarkStart w:id="191" w:name="bookmark191"/>
      <w:r>
        <w:rPr>
          <w:rStyle w:val="CharStyle28"/>
          <w:b/>
          <w:bCs/>
        </w:rPr>
        <w:t>RESPONDENTNÍ SCÉNÁŘ</w:t>
      </w:r>
      <w:bookmarkEnd w:id="191"/>
    </w:p>
    <w:p>
      <w:pPr>
        <w:pStyle w:val="Style15"/>
        <w:keepNext/>
        <w:keepLines/>
        <w:widowControl w:val="0"/>
        <w:shd w:val="clear" w:color="auto" w:fill="auto"/>
        <w:bidi w:val="0"/>
        <w:spacing w:before="0" w:after="0" w:line="240" w:lineRule="auto"/>
        <w:ind w:left="0" w:right="0" w:firstLine="0"/>
        <w:jc w:val="left"/>
      </w:pPr>
      <w:bookmarkStart w:id="193" w:name="bookmark193"/>
      <w:r>
        <w:rPr>
          <w:rStyle w:val="CharStyle16"/>
          <w:b/>
          <w:bCs/>
        </w:rPr>
        <w:t>Obr. 6.10 Roční bilance v Respondentním scénáři pro jednotlivé roky a kategorie zdrojů</w:t>
      </w:r>
      <w:bookmarkEnd w:id="193"/>
    </w:p>
    <w:p>
      <w:pPr>
        <w:widowControl w:val="0"/>
        <w:spacing w:line="1" w:lineRule="exact"/>
        <w:sectPr>
          <w:headerReference w:type="default" r:id="rId197"/>
          <w:footerReference w:type="default" r:id="rId198"/>
          <w:headerReference w:type="even" r:id="rId199"/>
          <w:footerReference w:type="even" r:id="rId200"/>
          <w:footnotePr>
            <w:pos w:val="pageBottom"/>
            <w:numFmt w:val="decimal"/>
            <w:numRestart w:val="continuous"/>
          </w:footnotePr>
          <w:pgSz w:w="12142" w:h="17375"/>
          <w:pgMar w:top="1281" w:right="839" w:bottom="5635" w:left="839" w:header="0" w:footer="3" w:gutter="677"/>
          <w:cols w:space="720"/>
          <w:noEndnote/>
          <w:rtlGutter w:val="0"/>
          <w:docGrid w:linePitch="360"/>
        </w:sectPr>
      </w:pPr>
      <w:r>
        <w:drawing>
          <wp:anchor distT="435610" distB="0" distL="0" distR="0" simplePos="0" relativeHeight="125829461" behindDoc="0" locked="0" layoutInCell="1" allowOverlap="1">
            <wp:simplePos x="0" y="0"/>
            <wp:positionH relativeFrom="margin">
              <wp:posOffset>12065</wp:posOffset>
            </wp:positionH>
            <wp:positionV relativeFrom="paragraph">
              <wp:posOffset>435610</wp:posOffset>
            </wp:positionV>
            <wp:extent cx="6193790" cy="2115185"/>
            <wp:wrapTopAndBottom/>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201"/>
                    <a:stretch/>
                  </pic:blipFill>
                  <pic:spPr>
                    <a:xfrm>
                      <a:ext cx="6193790" cy="2115185"/>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margin">
                  <wp:posOffset>186055</wp:posOffset>
                </wp:positionH>
                <wp:positionV relativeFrom="paragraph">
                  <wp:posOffset>215900</wp:posOffset>
                </wp:positionV>
                <wp:extent cx="359410" cy="118745"/>
                <wp:wrapNone/>
                <wp:docPr id="275" name="Shape 275"/>
                <a:graphic xmlns:a="http://schemas.openxmlformats.org/drawingml/2006/main">
                  <a:graphicData uri="http://schemas.microsoft.com/office/word/2010/wordprocessingShape">
                    <wps:wsp>
                      <wps:cNvSpPr txBox="1"/>
                      <wps:spPr>
                        <a:xfrm>
                          <a:ext cx="359410" cy="11874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100 000</w:t>
                            </w:r>
                          </w:p>
                        </w:txbxContent>
                      </wps:txbx>
                      <wps:bodyPr lIns="0" tIns="0" rIns="0" bIns="0">
                        <a:noAutoFit/>
                      </wps:bodyPr>
                    </wps:wsp>
                  </a:graphicData>
                </a:graphic>
              </wp:anchor>
            </w:drawing>
          </mc:Choice>
          <mc:Fallback>
            <w:pict>
              <v:shape id="_x0000_s1301" type="#_x0000_t202" style="position:absolute;margin-left:14.65pt;margin-top:17.pt;width:28.300000000000001pt;height:9.3499999999999996pt;z-index:25165777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100 000</w:t>
                      </w:r>
                    </w:p>
                  </w:txbxContent>
                </v:textbox>
                <w10:wrap anchorx="margin"/>
              </v:shape>
            </w:pict>
          </mc:Fallback>
        </mc:AlternateContent>
      </w: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329" w:right="0" w:bottom="5544" w:left="0" w:header="0" w:footer="3" w:gutter="0"/>
          <w:cols w:space="720"/>
          <w:noEndnote/>
          <w:rtlGutter w:val="0"/>
          <w:docGrid w:linePitch="360"/>
        </w:sectPr>
      </w:pPr>
    </w:p>
    <w:p>
      <w:pPr>
        <w:pStyle w:val="Style75"/>
        <w:keepNext w:val="0"/>
        <w:keepLines w:val="0"/>
        <w:widowControl w:val="0"/>
        <w:shd w:val="clear" w:color="auto" w:fill="auto"/>
        <w:bidi w:val="0"/>
        <w:spacing w:before="0" w:after="60" w:line="240" w:lineRule="auto"/>
        <w:ind w:left="0" w:right="0" w:firstLine="440"/>
        <w:jc w:val="left"/>
      </w:pPr>
      <w:r>
        <mc:AlternateContent>
          <mc:Choice Requires="wps">
            <w:drawing>
              <wp:anchor distT="0" distB="0" distL="114300" distR="114300" simplePos="0" relativeHeight="125829462" behindDoc="0" locked="0" layoutInCell="1" allowOverlap="1">
                <wp:simplePos x="0" y="0"/>
                <wp:positionH relativeFrom="margin">
                  <wp:posOffset>627380</wp:posOffset>
                </wp:positionH>
                <wp:positionV relativeFrom="paragraph">
                  <wp:posOffset>12700</wp:posOffset>
                </wp:positionV>
                <wp:extent cx="1329055" cy="643255"/>
                <wp:wrapSquare wrapText="right"/>
                <wp:docPr id="277" name="Shape 277"/>
                <a:graphic xmlns:a="http://schemas.openxmlformats.org/drawingml/2006/main">
                  <a:graphicData uri="http://schemas.microsoft.com/office/word/2010/wordprocessingShape">
                    <wps:wsp>
                      <wps:cNvSpPr txBox="1"/>
                      <wps:spPr>
                        <a:xfrm>
                          <a:ext cx="1329055" cy="643255"/>
                        </a:xfrm>
                        <a:prstGeom prst="rect"/>
                        <a:solidFill>
                          <a:srgbClr val="F7FCFF"/>
                        </a:solidFill>
                      </wps:spPr>
                      <wps:txbx>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wps:txbx>
                      <wps:bodyPr lIns="0" tIns="0" rIns="0" bIns="0">
                        <a:noAutoFit/>
                      </wps:bodyPr>
                    </wps:wsp>
                  </a:graphicData>
                </a:graphic>
              </wp:anchor>
            </w:drawing>
          </mc:Choice>
          <mc:Fallback>
            <w:pict>
              <v:shape id="_x0000_s1303" type="#_x0000_t202" style="position:absolute;margin-left:49.399999999999999pt;margin-top:1.pt;width:104.65000000000001pt;height:50.649999999999999pt;z-index:-125829291;mso-wrap-distance-left:9.pt;mso-wrap-distance-right:9.pt;mso-position-horizontal-relative:margin" fillcolor="#F7FCFF" stroked="f">
                <v:textbox inset="0,0,0,0">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v:textbox>
                <w10:wrap type="square" side="right" anchorx="margin"/>
              </v:shape>
            </w:pict>
          </mc:Fallback>
        </mc:AlternateContent>
      </w:r>
      <w:r>
        <mc:AlternateContent>
          <mc:Choice Requires="wps">
            <w:drawing>
              <wp:anchor distT="0" distB="0" distL="114300" distR="114300" simplePos="0" relativeHeight="125829464" behindDoc="0" locked="0" layoutInCell="1" allowOverlap="1">
                <wp:simplePos x="0" y="0"/>
                <wp:positionH relativeFrom="margin">
                  <wp:posOffset>4425315</wp:posOffset>
                </wp:positionH>
                <wp:positionV relativeFrom="paragraph">
                  <wp:posOffset>12700</wp:posOffset>
                </wp:positionV>
                <wp:extent cx="1143000" cy="514985"/>
                <wp:wrapSquare wrapText="left"/>
                <wp:docPr id="279" name="Shape 279"/>
                <a:graphic xmlns:a="http://schemas.openxmlformats.org/drawingml/2006/main">
                  <a:graphicData uri="http://schemas.microsoft.com/office/word/2010/wordprocessingShape">
                    <wps:wsp>
                      <wps:cNvSpPr txBox="1"/>
                      <wps:spPr>
                        <a:xfrm>
                          <a:ext cx="1143000" cy="514985"/>
                        </a:xfrm>
                        <a:prstGeom prst="rect"/>
                        <a:solidFill>
                          <a:srgbClr val="F7FCFF"/>
                        </a:solidFill>
                      </wps:spPr>
                      <wps:txbx>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wps:txbx>
                      <wps:bodyPr lIns="0" tIns="0" rIns="0" bIns="0">
                        <a:noAutoFit/>
                      </wps:bodyPr>
                    </wps:wsp>
                  </a:graphicData>
                </a:graphic>
              </wp:anchor>
            </w:drawing>
          </mc:Choice>
          <mc:Fallback>
            <w:pict>
              <v:shape id="_x0000_s1305" type="#_x0000_t202" style="position:absolute;margin-left:348.44999999999999pt;margin-top:1.pt;width:90.pt;height:40.550000000000004pt;z-index:-125829289;mso-wrap-distance-left:9.pt;mso-wrap-distance-right:9.pt;mso-position-horizontal-relative:margin" fillcolor="#F7FCFF" stroked="f">
                <v:textbox inset="0,0,0,0">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v:textbox>
                <w10:wrap type="square" side="left" anchorx="margin"/>
              </v:shape>
            </w:pict>
          </mc:Fallback>
        </mc:AlternateContent>
      </w:r>
      <w:r>
        <w:rPr>
          <w:rStyle w:val="CharStyle76"/>
          <w:color w:val="1BB8ED"/>
        </w:rPr>
        <w:t xml:space="preserve">| </w:t>
      </w:r>
      <w:r>
        <w:rPr>
          <w:rStyle w:val="CharStyle76"/>
        </w:rPr>
        <w:t>Vodní a přečerpávací elektrárny</w:t>
      </w:r>
    </w:p>
    <w:p>
      <w:pPr>
        <w:pStyle w:val="Style75"/>
        <w:keepNext w:val="0"/>
        <w:keepLines w:val="0"/>
        <w:widowControl w:val="0"/>
        <w:shd w:val="clear" w:color="auto" w:fill="auto"/>
        <w:bidi w:val="0"/>
        <w:spacing w:before="0" w:after="60" w:line="240" w:lineRule="auto"/>
        <w:ind w:left="0" w:right="0" w:firstLine="440"/>
        <w:jc w:val="left"/>
      </w:pPr>
      <w:r>
        <w:rPr>
          <w:rStyle w:val="CharStyle76"/>
          <w:color w:val="FED851"/>
        </w:rPr>
        <w:t xml:space="preserve">| </w:t>
      </w:r>
      <w:r>
        <w:rPr>
          <w:rStyle w:val="CharStyle76"/>
        </w:rPr>
        <w:t>Fotovoltaické elektrárny</w:t>
      </w:r>
    </w:p>
    <w:p>
      <w:pPr>
        <w:pStyle w:val="Style75"/>
        <w:keepNext w:val="0"/>
        <w:keepLines w:val="0"/>
        <w:widowControl w:val="0"/>
        <w:shd w:val="clear" w:color="auto" w:fill="auto"/>
        <w:bidi w:val="0"/>
        <w:spacing w:before="0" w:after="60" w:line="240" w:lineRule="auto"/>
        <w:ind w:left="0" w:right="0" w:firstLine="440"/>
        <w:jc w:val="left"/>
      </w:pPr>
      <w:r>
        <w:rPr>
          <w:rStyle w:val="CharStyle76"/>
          <w:color w:val="84539C"/>
        </w:rPr>
        <w:t xml:space="preserve">| </w:t>
      </w:r>
      <w:r>
        <w:rPr>
          <w:rStyle w:val="CharStyle76"/>
        </w:rPr>
        <w:t>Větrné elektrárny</w:t>
      </w:r>
    </w:p>
    <w:p>
      <w:pPr>
        <w:pStyle w:val="Style75"/>
        <w:keepNext w:val="0"/>
        <w:keepLines w:val="0"/>
        <w:widowControl w:val="0"/>
        <w:shd w:val="clear" w:color="auto" w:fill="auto"/>
        <w:bidi w:val="0"/>
        <w:spacing w:before="0" w:after="520" w:line="240" w:lineRule="auto"/>
        <w:ind w:left="0" w:right="0" w:firstLine="440"/>
        <w:jc w:val="left"/>
      </w:pPr>
      <w:r>
        <w:rPr>
          <w:rStyle w:val="CharStyle76"/>
          <w:color w:val="27A851"/>
        </w:rPr>
        <w:t xml:space="preserve">| </w:t>
      </w:r>
      <w:r>
        <w:rPr>
          <w:rStyle w:val="CharStyle76"/>
        </w:rPr>
        <w:t>Ostatní OZE</w:t>
      </w:r>
    </w:p>
    <w:tbl>
      <w:tblPr>
        <w:tblOverlap w:val="never"/>
        <w:jc w:val="center"/>
        <w:tblLayout w:type="fixed"/>
      </w:tblPr>
      <w:tblGrid>
        <w:gridCol w:w="2698"/>
        <w:gridCol w:w="1766"/>
        <w:gridCol w:w="1762"/>
        <w:gridCol w:w="1766"/>
        <w:gridCol w:w="1776"/>
      </w:tblGrid>
      <w:tr>
        <w:trPr>
          <w:trHeight w:val="278" w:hRule="exact"/>
        </w:trPr>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2025</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2030</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2035</w:t>
            </w:r>
          </w:p>
        </w:tc>
        <w:tc>
          <w:tcPr>
            <w:tcBorders>
              <w:top w:val="single" w:sz="4"/>
              <w:left w:val="single" w:sz="4"/>
              <w:righ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Respondentní 2040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Nedodávka</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Saldo dovozu a vývozu</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1 115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13 751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19 632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13 273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251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628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2 597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3 389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3 302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3 500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4 681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8 896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10 208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10 934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1 272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1 818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2 525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3 311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3 450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3 497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2 786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3 086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3 177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8 147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10 838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12 522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24 355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7 919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2 770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1 518 GWh</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Jaderné elektrárny</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27 883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28 514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27 943 GWh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36 333 GWh</w:t>
            </w:r>
          </w:p>
        </w:tc>
      </w:tr>
    </w:tbl>
    <w:p>
      <w:pPr>
        <w:spacing w:lineRule="exact" w:line="1"/>
        <w:rPr>
          <w:sz w:val="2"/>
          <w:szCs w:val="2"/>
        </w:rPr>
      </w:pPr>
      <w:r>
        <w:br w:type="page"/>
      </w:r>
    </w:p>
    <w:p>
      <w:pPr>
        <w:widowControl w:val="0"/>
        <w:spacing w:line="1" w:lineRule="exact"/>
      </w:pPr>
      <w:r>
        <w:drawing>
          <wp:anchor distT="0" distB="929005" distL="0" distR="0" simplePos="0" relativeHeight="125829466" behindDoc="0" locked="0" layoutInCell="1" allowOverlap="1">
            <wp:simplePos x="0" y="0"/>
            <wp:positionH relativeFrom="margin">
              <wp:posOffset>151130</wp:posOffset>
            </wp:positionH>
            <wp:positionV relativeFrom="paragraph">
              <wp:posOffset>0</wp:posOffset>
            </wp:positionV>
            <wp:extent cx="6193790" cy="2334895"/>
            <wp:wrapTopAndBottom/>
            <wp:docPr id="281" name="Shape 281"/>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203"/>
                    <a:stretch/>
                  </pic:blipFill>
                  <pic:spPr>
                    <a:xfrm>
                      <a:ext cx="6193790" cy="233489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margin">
                  <wp:posOffset>4305300</wp:posOffset>
                </wp:positionH>
                <wp:positionV relativeFrom="paragraph">
                  <wp:posOffset>2338070</wp:posOffset>
                </wp:positionV>
                <wp:extent cx="414655" cy="121920"/>
                <wp:wrapNone/>
                <wp:docPr id="283" name="Shape 283"/>
                <a:graphic xmlns:a="http://schemas.openxmlformats.org/drawingml/2006/main">
                  <a:graphicData uri="http://schemas.microsoft.com/office/word/2010/wordprocessingShape">
                    <wps:wsp>
                      <wps:cNvSpPr txBox="1"/>
                      <wps:spPr>
                        <a:xfrm>
                          <a:ext cx="414655"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wps:txbx>
                      <wps:bodyPr lIns="0" tIns="0" rIns="0" bIns="0">
                        <a:noAutoFit/>
                      </wps:bodyPr>
                    </wps:wsp>
                  </a:graphicData>
                </a:graphic>
              </wp:anchor>
            </w:drawing>
          </mc:Choice>
          <mc:Fallback>
            <w:pict>
              <v:shape id="_x0000_s1309" type="#_x0000_t202" style="position:absolute;margin-left:339.pt;margin-top:184.09999999999999pt;width:32.649999999999999pt;height:9.5999999999999996pt;z-index:25165777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v:textbox>
                <w10:wrap anchorx="margin"/>
              </v:shape>
            </w:pict>
          </mc:Fallback>
        </mc:AlternateContent>
      </w:r>
      <w:r>
        <mc:AlternateContent>
          <mc:Choice Requires="wps">
            <w:drawing>
              <wp:anchor distT="0" distB="0" distL="0" distR="0" simplePos="0" relativeHeight="503316530" behindDoc="0" locked="0" layoutInCell="1" allowOverlap="1">
                <wp:simplePos x="0" y="0"/>
                <wp:positionH relativeFrom="margin">
                  <wp:posOffset>706120</wp:posOffset>
                </wp:positionH>
                <wp:positionV relativeFrom="paragraph">
                  <wp:posOffset>2667000</wp:posOffset>
                </wp:positionV>
                <wp:extent cx="5129530" cy="152400"/>
                <wp:wrapNone/>
                <wp:docPr id="285" name="Shape 285"/>
                <a:graphic xmlns:a="http://schemas.openxmlformats.org/drawingml/2006/main">
                  <a:graphicData uri="http://schemas.microsoft.com/office/word/2010/wordprocessingShape">
                    <wps:wsp>
                      <wps:cNvSpPr txBox="1"/>
                      <wps:spPr>
                        <a:xfrm>
                          <a:ext cx="5129530" cy="152400"/>
                        </a:xfrm>
                        <a:prstGeom prst="rect"/>
                        <a:noFill/>
                      </wps:spPr>
                      <wps:txbx>
                        <w:txbxContent>
                          <w:p>
                            <w:pPr>
                              <w:pStyle w:val="Style2"/>
                              <w:keepNext w:val="0"/>
                              <w:keepLines w:val="0"/>
                              <w:widowControl w:val="0"/>
                              <w:shd w:val="clear" w:color="auto" w:fill="auto"/>
                              <w:tabs>
                                <w:tab w:pos="2069" w:val="left"/>
                                <w:tab w:pos="4142" w:val="left"/>
                                <w:tab w:pos="6216" w:val="left"/>
                              </w:tabs>
                              <w:bidi w:val="0"/>
                              <w:spacing w:before="0" w:after="0" w:line="240" w:lineRule="auto"/>
                              <w:ind w:left="0" w:right="0" w:firstLine="0"/>
                              <w:jc w:val="left"/>
                              <w:rPr>
                                <w:sz w:val="16"/>
                                <w:szCs w:val="16"/>
                              </w:rPr>
                            </w:pPr>
                            <w:r>
                              <w:rPr>
                                <w:rStyle w:val="CharStyle3"/>
                                <w:color w:val="ED6B5E"/>
                                <w:sz w:val="16"/>
                                <w:szCs w:val="16"/>
                              </w:rPr>
                              <w:t xml:space="preserve">| </w:t>
                            </w:r>
                            <w:r>
                              <w:rPr>
                                <w:rStyle w:val="CharStyle3"/>
                                <w:color w:val="000000"/>
                                <w:sz w:val="16"/>
                                <w:szCs w:val="16"/>
                              </w:rPr>
                              <w:t>Respondentní 2025</w:t>
                              <w:tab/>
                            </w:r>
                            <w:r>
                              <w:rPr>
                                <w:rStyle w:val="CharStyle3"/>
                                <w:color w:val="B7B8B8"/>
                                <w:sz w:val="16"/>
                                <w:szCs w:val="16"/>
                              </w:rPr>
                              <w:t xml:space="preserve">| </w:t>
                            </w:r>
                            <w:r>
                              <w:rPr>
                                <w:rStyle w:val="CharStyle3"/>
                                <w:color w:val="000000"/>
                                <w:sz w:val="16"/>
                                <w:szCs w:val="16"/>
                              </w:rPr>
                              <w:t>Respondentní 2030</w:t>
                              <w:tab/>
                            </w:r>
                            <w:r>
                              <w:rPr>
                                <w:rStyle w:val="CharStyle3"/>
                                <w:color w:val="1BB8ED"/>
                                <w:sz w:val="16"/>
                                <w:szCs w:val="16"/>
                              </w:rPr>
                              <w:t xml:space="preserve">| </w:t>
                            </w:r>
                            <w:r>
                              <w:rPr>
                                <w:rStyle w:val="CharStyle3"/>
                                <w:color w:val="000000"/>
                                <w:sz w:val="16"/>
                                <w:szCs w:val="16"/>
                              </w:rPr>
                              <w:t>Respondentní 2035</w:t>
                              <w:tab/>
                            </w:r>
                            <w:r>
                              <w:rPr>
                                <w:rStyle w:val="CharStyle3"/>
                                <w:sz w:val="16"/>
                                <w:szCs w:val="16"/>
                              </w:rPr>
                              <w:t xml:space="preserve">| </w:t>
                            </w:r>
                            <w:r>
                              <w:rPr>
                                <w:rStyle w:val="CharStyle3"/>
                                <w:color w:val="000000"/>
                                <w:sz w:val="16"/>
                                <w:szCs w:val="16"/>
                              </w:rPr>
                              <w:t>Respondentní 2040</w:t>
                            </w:r>
                          </w:p>
                        </w:txbxContent>
                      </wps:txbx>
                      <wps:bodyPr lIns="0" tIns="0" rIns="0" bIns="0">
                        <a:noAutoFit/>
                      </wps:bodyPr>
                    </wps:wsp>
                  </a:graphicData>
                </a:graphic>
              </wp:anchor>
            </w:drawing>
          </mc:Choice>
          <mc:Fallback>
            <w:pict>
              <v:shape id="_x0000_s1311" type="#_x0000_t202" style="position:absolute;margin-left:55.600000000000001pt;margin-top:210.pt;width:403.90000000000003pt;height:12.pt;z-index:251657777;mso-wrap-distance-left:0;mso-wrap-distance-right:0;mso-position-horizontal-relative:margin" filled="f" stroked="f">
                <v:textbox inset="0,0,0,0">
                  <w:txbxContent>
                    <w:p>
                      <w:pPr>
                        <w:pStyle w:val="Style2"/>
                        <w:keepNext w:val="0"/>
                        <w:keepLines w:val="0"/>
                        <w:widowControl w:val="0"/>
                        <w:shd w:val="clear" w:color="auto" w:fill="auto"/>
                        <w:tabs>
                          <w:tab w:pos="2069" w:val="left"/>
                          <w:tab w:pos="4142" w:val="left"/>
                          <w:tab w:pos="6216" w:val="left"/>
                        </w:tabs>
                        <w:bidi w:val="0"/>
                        <w:spacing w:before="0" w:after="0" w:line="240" w:lineRule="auto"/>
                        <w:ind w:left="0" w:right="0" w:firstLine="0"/>
                        <w:jc w:val="left"/>
                        <w:rPr>
                          <w:sz w:val="16"/>
                          <w:szCs w:val="16"/>
                        </w:rPr>
                      </w:pPr>
                      <w:r>
                        <w:rPr>
                          <w:rStyle w:val="CharStyle3"/>
                          <w:color w:val="ED6B5E"/>
                          <w:sz w:val="16"/>
                          <w:szCs w:val="16"/>
                        </w:rPr>
                        <w:t xml:space="preserve">| </w:t>
                      </w:r>
                      <w:r>
                        <w:rPr>
                          <w:rStyle w:val="CharStyle3"/>
                          <w:color w:val="000000"/>
                          <w:sz w:val="16"/>
                          <w:szCs w:val="16"/>
                        </w:rPr>
                        <w:t>Respondentní 2025</w:t>
                        <w:tab/>
                      </w:r>
                      <w:r>
                        <w:rPr>
                          <w:rStyle w:val="CharStyle3"/>
                          <w:color w:val="B7B8B8"/>
                          <w:sz w:val="16"/>
                          <w:szCs w:val="16"/>
                        </w:rPr>
                        <w:t xml:space="preserve">| </w:t>
                      </w:r>
                      <w:r>
                        <w:rPr>
                          <w:rStyle w:val="CharStyle3"/>
                          <w:color w:val="000000"/>
                          <w:sz w:val="16"/>
                          <w:szCs w:val="16"/>
                        </w:rPr>
                        <w:t>Respondentní 2030</w:t>
                        <w:tab/>
                      </w:r>
                      <w:r>
                        <w:rPr>
                          <w:rStyle w:val="CharStyle3"/>
                          <w:color w:val="1BB8ED"/>
                          <w:sz w:val="16"/>
                          <w:szCs w:val="16"/>
                        </w:rPr>
                        <w:t xml:space="preserve">| </w:t>
                      </w:r>
                      <w:r>
                        <w:rPr>
                          <w:rStyle w:val="CharStyle3"/>
                          <w:color w:val="000000"/>
                          <w:sz w:val="16"/>
                          <w:szCs w:val="16"/>
                        </w:rPr>
                        <w:t>Respondentní 2035</w:t>
                        <w:tab/>
                      </w:r>
                      <w:r>
                        <w:rPr>
                          <w:rStyle w:val="CharStyle3"/>
                          <w:sz w:val="16"/>
                          <w:szCs w:val="16"/>
                        </w:rPr>
                        <w:t xml:space="preserve">| </w:t>
                      </w:r>
                      <w:r>
                        <w:rPr>
                          <w:rStyle w:val="CharStyle3"/>
                          <w:color w:val="000000"/>
                          <w:sz w:val="16"/>
                          <w:szCs w:val="16"/>
                        </w:rPr>
                        <w:t>Respondentní 2040</w:t>
                      </w:r>
                    </w:p>
                  </w:txbxContent>
                </v:textbox>
                <w10:wrap anchorx="margin"/>
              </v:shape>
            </w:pict>
          </mc:Fallback>
        </mc:AlternateContent>
      </w:r>
    </w:p>
    <w:p>
      <w:pPr>
        <w:pStyle w:val="Style15"/>
        <w:keepNext/>
        <w:keepLines/>
        <w:widowControl w:val="0"/>
        <w:shd w:val="clear" w:color="auto" w:fill="auto"/>
        <w:bidi w:val="0"/>
        <w:spacing w:before="0" w:after="0" w:line="300" w:lineRule="auto"/>
        <w:ind w:left="0" w:right="0" w:firstLine="0"/>
        <w:jc w:val="left"/>
      </w:pPr>
      <w:bookmarkStart w:id="196" w:name="bookmark196"/>
      <w:r>
        <w:rPr>
          <w:rStyle w:val="CharStyle16"/>
          <w:b/>
          <w:bCs/>
        </w:rPr>
        <w:t>Obr. 6.12 Celková roční a) přeshraniční výměna a b) zmařená energie v Respondentním scénáři v jednotlivých letech</w:t>
      </w:r>
      <w:bookmarkEnd w:id="196"/>
    </w:p>
    <w:p>
      <w:pPr>
        <w:widowControl w:val="0"/>
        <w:spacing w:after="4490" w:line="1" w:lineRule="exact"/>
      </w:pPr>
      <w:r>
        <w:drawing>
          <wp:anchor distT="0" distB="353695" distL="0" distR="52070" simplePos="0" relativeHeight="62914745" behindDoc="1" locked="0" layoutInCell="1" allowOverlap="1">
            <wp:simplePos x="0" y="0"/>
            <wp:positionH relativeFrom="margin">
              <wp:posOffset>144780</wp:posOffset>
            </wp:positionH>
            <wp:positionV relativeFrom="paragraph">
              <wp:posOffset>38100</wp:posOffset>
            </wp:positionV>
            <wp:extent cx="2993390" cy="2462530"/>
            <wp:wrapNone/>
            <wp:docPr id="287" name="Shape 287"/>
            <a:graphic xmlns:a="http://schemas.openxmlformats.org/drawingml/2006/main">
              <a:graphicData uri="http://schemas.openxmlformats.org/drawingml/2006/picture">
                <pic:pic xmlns:pic="http://schemas.openxmlformats.org/drawingml/2006/picture">
                  <pic:nvPicPr>
                    <pic:cNvPr id="288" name="Picture box 288"/>
                    <pic:cNvPicPr/>
                  </pic:nvPicPr>
                  <pic:blipFill>
                    <a:blip r:embed="rId205"/>
                    <a:stretch/>
                  </pic:blipFill>
                  <pic:spPr>
                    <a:xfrm>
                      <a:ext cx="2993390" cy="246253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margin">
                  <wp:posOffset>705485</wp:posOffset>
                </wp:positionH>
                <wp:positionV relativeFrom="paragraph">
                  <wp:posOffset>2698750</wp:posOffset>
                </wp:positionV>
                <wp:extent cx="567055" cy="152400"/>
                <wp:wrapNone/>
                <wp:docPr id="289" name="Shape 289"/>
                <a:graphic xmlns:a="http://schemas.openxmlformats.org/drawingml/2006/main">
                  <a:graphicData uri="http://schemas.microsoft.com/office/word/2010/wordprocessingShape">
                    <wps:wsp>
                      <wps:cNvSpPr txBox="1"/>
                      <wps:spPr>
                        <a:xfrm>
                          <a:ext cx="567055" cy="15240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bookmarkStart w:id="195" w:name="bookmark195"/>
                            <w:r>
                              <w:rPr>
                                <w:rStyle w:val="CharStyle3"/>
                                <w:sz w:val="16"/>
                                <w:szCs w:val="16"/>
                              </w:rPr>
                              <w:t xml:space="preserve">| </w:t>
                            </w:r>
                            <w:r>
                              <w:rPr>
                                <w:rStyle w:val="CharStyle3"/>
                                <w:color w:val="000000"/>
                                <w:sz w:val="16"/>
                                <w:szCs w:val="16"/>
                              </w:rPr>
                              <w:t>Export</w:t>
                            </w:r>
                            <w:bookmarkEnd w:id="195"/>
                          </w:p>
                        </w:txbxContent>
                      </wps:txbx>
                      <wps:bodyPr lIns="0" tIns="0" rIns="0" bIns="0">
                        <a:noAutoFit/>
                      </wps:bodyPr>
                    </wps:wsp>
                  </a:graphicData>
                </a:graphic>
              </wp:anchor>
            </w:drawing>
          </mc:Choice>
          <mc:Fallback>
            <w:pict>
              <v:shape id="_x0000_s1315" type="#_x0000_t202" style="position:absolute;margin-left:55.550000000000004pt;margin-top:212.5pt;width:44.649999999999999pt;height:12.pt;z-index:25165777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bookmarkStart w:id="195" w:name="bookmark195"/>
                      <w:r>
                        <w:rPr>
                          <w:rStyle w:val="CharStyle3"/>
                          <w:sz w:val="16"/>
                          <w:szCs w:val="16"/>
                        </w:rPr>
                        <w:t xml:space="preserve">| </w:t>
                      </w:r>
                      <w:r>
                        <w:rPr>
                          <w:rStyle w:val="CharStyle3"/>
                          <w:color w:val="000000"/>
                          <w:sz w:val="16"/>
                          <w:szCs w:val="16"/>
                        </w:rPr>
                        <w:t>Export</w:t>
                      </w:r>
                      <w:bookmarkEnd w:id="195"/>
                    </w:p>
                  </w:txbxContent>
                </v:textbox>
                <w10:wrap anchorx="margin"/>
              </v:shape>
            </w:pict>
          </mc:Fallback>
        </mc:AlternateContent>
      </w:r>
      <w:r>
        <mc:AlternateContent>
          <mc:Choice Requires="wps">
            <w:drawing>
              <wp:anchor distT="0" distB="0" distL="0" distR="0" simplePos="0" relativeHeight="503316534" behindDoc="0" locked="0" layoutInCell="1" allowOverlap="1">
                <wp:simplePos x="0" y="0"/>
                <wp:positionH relativeFrom="margin">
                  <wp:posOffset>1918970</wp:posOffset>
                </wp:positionH>
                <wp:positionV relativeFrom="paragraph">
                  <wp:posOffset>2698750</wp:posOffset>
                </wp:positionV>
                <wp:extent cx="1268095" cy="152400"/>
                <wp:wrapNone/>
                <wp:docPr id="291" name="Shape 291"/>
                <a:graphic xmlns:a="http://schemas.openxmlformats.org/drawingml/2006/main">
                  <a:graphicData uri="http://schemas.microsoft.com/office/word/2010/wordprocessingShape">
                    <wps:wsp>
                      <wps:cNvSpPr txBox="1"/>
                      <wps:spPr>
                        <a:xfrm>
                          <a:ext cx="1268095" cy="152400"/>
                        </a:xfrm>
                        <a:prstGeom prst="rect"/>
                        <a:noFill/>
                      </wps:spPr>
                      <wps:txbx>
                        <w:txbxContent>
                          <w:p>
                            <w:pPr>
                              <w:pStyle w:val="Style2"/>
                              <w:keepNext w:val="0"/>
                              <w:keepLines w:val="0"/>
                              <w:widowControl w:val="0"/>
                              <w:shd w:val="clear" w:color="auto" w:fill="auto"/>
                              <w:tabs>
                                <w:tab w:pos="1186" w:val="left"/>
                              </w:tabs>
                              <w:bidi w:val="0"/>
                              <w:spacing w:before="0" w:after="0" w:line="240" w:lineRule="auto"/>
                              <w:ind w:left="0" w:right="0" w:firstLine="0"/>
                              <w:jc w:val="center"/>
                              <w:rPr>
                                <w:sz w:val="16"/>
                                <w:szCs w:val="16"/>
                              </w:rPr>
                            </w:pPr>
                            <w:r>
                              <w:rPr>
                                <w:rStyle w:val="CharStyle3"/>
                                <w:color w:val="000000"/>
                                <w:sz w:val="16"/>
                                <w:szCs w:val="16"/>
                              </w:rPr>
                              <w:t>Import</w:t>
                              <w:tab/>
                            </w:r>
                            <w:r>
                              <w:rPr>
                                <w:rStyle w:val="CharStyle3"/>
                                <w:color w:val="1BB8ED"/>
                                <w:sz w:val="16"/>
                                <w:szCs w:val="16"/>
                              </w:rPr>
                              <w:t xml:space="preserve">| </w:t>
                            </w:r>
                            <w:r>
                              <w:rPr>
                                <w:rStyle w:val="CharStyle3"/>
                                <w:color w:val="000000"/>
                                <w:sz w:val="16"/>
                                <w:szCs w:val="16"/>
                              </w:rPr>
                              <w:t>Saldo</w:t>
                            </w:r>
                          </w:p>
                        </w:txbxContent>
                      </wps:txbx>
                      <wps:bodyPr lIns="0" tIns="0" rIns="0" bIns="0">
                        <a:noAutoFit/>
                      </wps:bodyPr>
                    </wps:wsp>
                  </a:graphicData>
                </a:graphic>
              </wp:anchor>
            </w:drawing>
          </mc:Choice>
          <mc:Fallback>
            <w:pict>
              <v:shape id="_x0000_s1317" type="#_x0000_t202" style="position:absolute;margin-left:151.09999999999999pt;margin-top:212.5pt;width:99.850000000000009pt;height:12.pt;z-index:251657781;mso-wrap-distance-left:0;mso-wrap-distance-right:0;mso-position-horizontal-relative:margin" filled="f" stroked="f">
                <v:textbox inset="0,0,0,0">
                  <w:txbxContent>
                    <w:p>
                      <w:pPr>
                        <w:pStyle w:val="Style2"/>
                        <w:keepNext w:val="0"/>
                        <w:keepLines w:val="0"/>
                        <w:widowControl w:val="0"/>
                        <w:shd w:val="clear" w:color="auto" w:fill="auto"/>
                        <w:tabs>
                          <w:tab w:pos="1186" w:val="left"/>
                        </w:tabs>
                        <w:bidi w:val="0"/>
                        <w:spacing w:before="0" w:after="0" w:line="240" w:lineRule="auto"/>
                        <w:ind w:left="0" w:right="0" w:firstLine="0"/>
                        <w:jc w:val="center"/>
                        <w:rPr>
                          <w:sz w:val="16"/>
                          <w:szCs w:val="16"/>
                        </w:rPr>
                      </w:pPr>
                      <w:r>
                        <w:rPr>
                          <w:rStyle w:val="CharStyle3"/>
                          <w:color w:val="000000"/>
                          <w:sz w:val="16"/>
                          <w:szCs w:val="16"/>
                        </w:rPr>
                        <w:t>Import</w:t>
                        <w:tab/>
                      </w:r>
                      <w:r>
                        <w:rPr>
                          <w:rStyle w:val="CharStyle3"/>
                          <w:color w:val="1BB8ED"/>
                          <w:sz w:val="16"/>
                          <w:szCs w:val="16"/>
                        </w:rPr>
                        <w:t xml:space="preserve">| </w:t>
                      </w:r>
                      <w:r>
                        <w:rPr>
                          <w:rStyle w:val="CharStyle3"/>
                          <w:color w:val="000000"/>
                          <w:sz w:val="16"/>
                          <w:szCs w:val="16"/>
                        </w:rPr>
                        <w:t>Saldo</w:t>
                      </w:r>
                    </w:p>
                  </w:txbxContent>
                </v:textbox>
                <w10:wrap anchorx="margin"/>
              </v:shape>
            </w:pict>
          </mc:Fallback>
        </mc:AlternateContent>
      </w:r>
      <w:r>
        <w:drawing>
          <wp:anchor distT="0" distB="265430" distL="0" distR="0" simplePos="0" relativeHeight="62914746" behindDoc="1" locked="0" layoutInCell="1" allowOverlap="1">
            <wp:simplePos x="0" y="0"/>
            <wp:positionH relativeFrom="margin">
              <wp:posOffset>3756660</wp:posOffset>
            </wp:positionH>
            <wp:positionV relativeFrom="paragraph">
              <wp:posOffset>44450</wp:posOffset>
            </wp:positionV>
            <wp:extent cx="2590800" cy="2212975"/>
            <wp:wrapNone/>
            <wp:docPr id="293" name="Shape 293"/>
            <a:graphic xmlns:a="http://schemas.openxmlformats.org/drawingml/2006/main">
              <a:graphicData uri="http://schemas.openxmlformats.org/drawingml/2006/picture">
                <pic:pic xmlns:pic="http://schemas.openxmlformats.org/drawingml/2006/picture">
                  <pic:nvPicPr>
                    <pic:cNvPr id="294" name="Picture box 294"/>
                    <pic:cNvPicPr/>
                  </pic:nvPicPr>
                  <pic:blipFill>
                    <a:blip r:embed="rId207"/>
                    <a:stretch/>
                  </pic:blipFill>
                  <pic:spPr>
                    <a:xfrm>
                      <a:ext cx="2590800" cy="2212975"/>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margin">
                  <wp:posOffset>5085715</wp:posOffset>
                </wp:positionH>
                <wp:positionV relativeFrom="paragraph">
                  <wp:posOffset>2391410</wp:posOffset>
                </wp:positionV>
                <wp:extent cx="115570" cy="128270"/>
                <wp:wrapNone/>
                <wp:docPr id="295" name="Shape 295"/>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Style w:val="CharStyle3"/>
                                <w:b/>
                                <w:bCs/>
                                <w:sz w:val="13"/>
                                <w:szCs w:val="13"/>
                              </w:rPr>
                              <w:t>b)</w:t>
                            </w:r>
                          </w:p>
                        </w:txbxContent>
                      </wps:txbx>
                      <wps:bodyPr lIns="0" tIns="0" rIns="0" bIns="0">
                        <a:noAutoFit/>
                      </wps:bodyPr>
                    </wps:wsp>
                  </a:graphicData>
                </a:graphic>
              </wp:anchor>
            </w:drawing>
          </mc:Choice>
          <mc:Fallback>
            <w:pict>
              <v:shape id="_x0000_s1321" type="#_x0000_t202" style="position:absolute;margin-left:400.44999999999999pt;margin-top:188.30000000000001pt;width:9.0999999999999996pt;height:10.1pt;z-index:25165778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3"/>
                          <w:szCs w:val="13"/>
                        </w:rPr>
                      </w:pPr>
                      <w:r>
                        <w:rPr>
                          <w:rStyle w:val="CharStyle3"/>
                          <w:b/>
                          <w:bCs/>
                          <w:sz w:val="13"/>
                          <w:szCs w:val="13"/>
                        </w:rPr>
                        <w:t>b)</w:t>
                      </w:r>
                    </w:p>
                  </w:txbxContent>
                </v:textbox>
                <w10:wrap anchorx="margin"/>
              </v:shape>
            </w:pict>
          </mc:Fallback>
        </mc:AlternateContent>
      </w:r>
      <w:r>
        <mc:AlternateContent>
          <mc:Choice Requires="wps">
            <w:drawing>
              <wp:anchor distT="0" distB="0" distL="0" distR="0" simplePos="0" relativeHeight="62914747" behindDoc="1" locked="0" layoutInCell="1" allowOverlap="1">
                <wp:simplePos x="0" y="0"/>
                <wp:positionH relativeFrom="margin">
                  <wp:posOffset>3924300</wp:posOffset>
                </wp:positionH>
                <wp:positionV relativeFrom="paragraph">
                  <wp:posOffset>2698750</wp:posOffset>
                </wp:positionV>
                <wp:extent cx="1252855" cy="152400"/>
                <wp:wrapNone/>
                <wp:docPr id="297" name="Shape 297"/>
                <a:graphic xmlns:a="http://schemas.openxmlformats.org/drawingml/2006/main">
                  <a:graphicData uri="http://schemas.microsoft.com/office/word/2010/wordprocessingShape">
                    <wps:wsp>
                      <wps:cNvSpPr txBox="1"/>
                      <wps:spPr>
                        <a:xfrm>
                          <a:ext cx="1252855"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30613"/>
                              </w:rPr>
                              <w:t xml:space="preserve">| </w:t>
                            </w:r>
                            <w:r>
                              <w:rPr>
                                <w:rStyle w:val="CharStyle76"/>
                              </w:rPr>
                              <w:t>Respondentní scénář</w:t>
                            </w:r>
                          </w:p>
                        </w:txbxContent>
                      </wps:txbx>
                      <wps:bodyPr wrap="none" lIns="0" tIns="0" rIns="0" bIns="0">
                        <a:noAutoFit/>
                      </wps:bodyPr>
                    </wps:wsp>
                  </a:graphicData>
                </a:graphic>
              </wp:anchor>
            </w:drawing>
          </mc:Choice>
          <mc:Fallback>
            <w:pict>
              <v:shape id="_x0000_s1323" type="#_x0000_t202" style="position:absolute;margin-left:309.pt;margin-top:212.5pt;width:98.650000000000006pt;height:12.pt;z-index:-188744006;mso-wrap-distance-left:0;mso-wrap-distance-right:0;mso-position-horizontal-relative:margin" wrapcoords="0 0"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30613"/>
                        </w:rPr>
                        <w:t xml:space="preserve">| </w:t>
                      </w:r>
                      <w:r>
                        <w:rPr>
                          <w:rStyle w:val="CharStyle76"/>
                        </w:rPr>
                        <w:t>Respondentní scénář</w:t>
                      </w:r>
                    </w:p>
                  </w:txbxContent>
                </v:textbox>
                <w10:wrap anchorx="margin"/>
              </v:shape>
            </w:pict>
          </mc:Fallback>
        </mc:AlternateContent>
      </w:r>
      <w:r>
        <w:br w:type="page"/>
      </w:r>
    </w:p>
    <w:p>
      <w:pPr>
        <w:pStyle w:val="Style15"/>
        <w:keepNext/>
        <w:keepLines/>
        <w:widowControl w:val="0"/>
        <w:shd w:val="clear" w:color="auto" w:fill="auto"/>
        <w:bidi w:val="0"/>
        <w:spacing w:before="0" w:after="560" w:line="300" w:lineRule="auto"/>
        <w:ind w:left="0" w:right="0" w:firstLine="0"/>
        <w:jc w:val="left"/>
      </w:pPr>
      <w:bookmarkStart w:id="198" w:name="bookmark198"/>
      <w:r>
        <w:rPr>
          <w:rStyle w:val="CharStyle16"/>
          <w:b/>
          <w:bCs/>
        </w:rPr>
        <w:t>Obr. 6.13 Pravděpodobnostní indikátory LOLE a EENS pro Respondentní scénář pro období 2025-2040, včetně salda</w:t>
      </w:r>
      <w:bookmarkEnd w:id="198"/>
    </w:p>
    <w:p>
      <w:pPr>
        <w:widowControl w:val="0"/>
        <w:jc w:val="center"/>
        <w:rPr>
          <w:sz w:val="2"/>
          <w:szCs w:val="2"/>
        </w:rPr>
      </w:pPr>
      <w:r>
        <w:drawing>
          <wp:inline>
            <wp:extent cx="5955665" cy="3413760"/>
            <wp:docPr id="299" name="Picutre 299"/>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209"/>
                    <a:stretch/>
                  </pic:blipFill>
                  <pic:spPr>
                    <a:xfrm>
                      <a:ext cx="5955665" cy="3413760"/>
                    </a:xfrm>
                    <a:prstGeom prst="rect"/>
                  </pic:spPr>
                </pic:pic>
              </a:graphicData>
            </a:graphic>
          </wp:inline>
        </w:drawing>
      </w:r>
    </w:p>
    <w:p>
      <w:pPr>
        <w:widowControl w:val="0"/>
        <w:spacing w:after="1419" w:line="1" w:lineRule="exact"/>
      </w:pPr>
    </w:p>
    <w:p>
      <w:pPr>
        <w:pStyle w:val="Style19"/>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142" w:h="17375"/>
          <w:pgMar w:top="1329" w:right="744" w:bottom="5544" w:left="744" w:header="0" w:footer="3" w:gutter="867"/>
          <w:cols w:space="720"/>
          <w:noEndnote/>
          <w:rtlGutter w:val="0"/>
          <w:docGrid w:linePitch="360"/>
        </w:sectPr>
      </w:pPr>
      <w:r>
        <w:rPr>
          <w:rStyle w:val="CharStyle20"/>
        </w:rPr>
        <w:t>Jak je patrné z Obr. 6.13, hodnoty LOLE pro Respondentní scénář jsou pro období 2025 až 2040 ve výši maximálně 3 hodin. EENS pro období 2025 až 2040 dosahuje maximální hodnoty 0,9 GWh. Příznivé hodnoty jsou získány díky tomu, že v tomto scénáři není uvažováno předčasné odstavení uhelných zdrojů (ještě v roce 2040 představuje výroba na uhelných zdrojích 1,5 GWh). Respondentní scénář lze z hlediska zabezpečenosti soustavy (LOLE do 15 hodin/rok) a dostatku regulačních služeb vyhodnotit jako zdrojově přiměřený.</w:t>
      </w:r>
    </w:p>
    <w:p>
      <w:pPr>
        <w:widowControl w:val="0"/>
        <w:spacing w:line="139" w:lineRule="exact"/>
        <w:rPr>
          <w:sz w:val="11"/>
          <w:szCs w:val="11"/>
        </w:rPr>
      </w:pPr>
    </w:p>
    <w:p>
      <w:pPr>
        <w:widowControl w:val="0"/>
        <w:spacing w:line="1" w:lineRule="exact"/>
        <w:sectPr>
          <w:headerReference w:type="default" r:id="rId211"/>
          <w:footerReference w:type="default" r:id="rId212"/>
          <w:headerReference w:type="even" r:id="rId213"/>
          <w:footerReference w:type="even" r:id="rId214"/>
          <w:footnotePr>
            <w:pos w:val="pageBottom"/>
            <w:numFmt w:val="decimal"/>
            <w:numRestart w:val="continuous"/>
          </w:footnotePr>
          <w:pgSz w:w="12142" w:h="17375"/>
          <w:pgMar w:top="1003" w:right="680" w:bottom="586" w:left="1362" w:header="0" w:footer="3" w:gutter="0"/>
          <w:cols w:space="720"/>
          <w:noEndnote/>
          <w:rtlGutter w:val="0"/>
          <w:docGrid w:linePitch="360"/>
        </w:sectPr>
      </w:pPr>
    </w:p>
    <w:p>
      <w:pPr>
        <w:pStyle w:val="Style15"/>
        <w:keepNext/>
        <w:keepLines/>
        <w:framePr w:w="7080" w:h="240" w:wrap="none" w:vAnchor="text" w:hAnchor="page" w:x="1517" w:y="21"/>
        <w:widowControl w:val="0"/>
        <w:shd w:val="clear" w:color="auto" w:fill="auto"/>
        <w:bidi w:val="0"/>
        <w:spacing w:before="0" w:after="0" w:line="240" w:lineRule="auto"/>
        <w:ind w:left="0" w:right="0" w:firstLine="0"/>
        <w:jc w:val="left"/>
      </w:pPr>
      <w:bookmarkStart w:id="200" w:name="bookmark200"/>
      <w:r>
        <w:rPr>
          <w:rStyle w:val="CharStyle16"/>
          <w:b/>
          <w:bCs/>
        </w:rPr>
        <w:t>Obr. 6.14 Saldo importu a exportu evropských zemí pro Respondentní scénář 2030</w:t>
      </w:r>
      <w:bookmarkEnd w:id="200"/>
    </w:p>
    <w:p>
      <w:pPr>
        <w:pStyle w:val="Style2"/>
        <w:keepNext w:val="0"/>
        <w:keepLines w:val="0"/>
        <w:framePr w:w="216" w:h="182" w:wrap="none" w:vAnchor="text" w:hAnchor="page" w:x="4843" w:y="6332"/>
        <w:widowControl w:val="0"/>
        <w:shd w:val="clear" w:color="auto" w:fill="auto"/>
        <w:bidi w:val="0"/>
        <w:spacing w:before="0" w:after="0" w:line="240" w:lineRule="auto"/>
        <w:ind w:left="0" w:right="0" w:firstLine="0"/>
        <w:jc w:val="left"/>
        <w:rPr>
          <w:sz w:val="12"/>
          <w:szCs w:val="12"/>
        </w:rPr>
      </w:pPr>
      <w:r>
        <w:rPr>
          <w:rStyle w:val="CharStyle3"/>
          <w:b/>
          <w:bCs/>
          <w:color w:val="076BB4"/>
          <w:sz w:val="12"/>
          <w:szCs w:val="12"/>
        </w:rPr>
        <w:t>NL</w:t>
      </w:r>
    </w:p>
    <w:p>
      <w:pPr>
        <w:pStyle w:val="Style2"/>
        <w:keepNext w:val="0"/>
        <w:keepLines w:val="0"/>
        <w:framePr w:w="360" w:h="499" w:wrap="none" w:vAnchor="text" w:hAnchor="page" w:x="7738" w:y="10456"/>
        <w:widowControl w:val="0"/>
        <w:shd w:val="clear" w:color="auto" w:fill="auto"/>
        <w:bidi w:val="0"/>
        <w:spacing w:before="0" w:after="0" w:line="300" w:lineRule="auto"/>
        <w:ind w:left="0" w:right="0" w:firstLine="0"/>
        <w:jc w:val="center"/>
        <w:rPr>
          <w:sz w:val="12"/>
          <w:szCs w:val="12"/>
        </w:rPr>
      </w:pPr>
      <w:r>
        <w:rPr>
          <w:rStyle w:val="CharStyle3"/>
          <w:b/>
          <w:bCs/>
          <w:color w:val="076BB4"/>
          <w:sz w:val="12"/>
          <w:szCs w:val="12"/>
        </w:rPr>
        <w:t>AL TWh</w:t>
      </w:r>
    </w:p>
    <w:p>
      <w:pPr>
        <w:pStyle w:val="Style2"/>
        <w:keepNext w:val="0"/>
        <w:keepLines w:val="0"/>
        <w:framePr w:w="490" w:h="350" w:wrap="none" w:vAnchor="text" w:hAnchor="page" w:x="4973" w:y="5924"/>
        <w:widowControl w:val="0"/>
        <w:shd w:val="clear" w:color="auto" w:fill="auto"/>
        <w:bidi w:val="0"/>
        <w:spacing w:before="0" w:after="0" w:line="240" w:lineRule="auto"/>
        <w:ind w:left="0" w:right="0" w:firstLine="0"/>
        <w:jc w:val="center"/>
        <w:rPr>
          <w:sz w:val="12"/>
          <w:szCs w:val="12"/>
        </w:rPr>
      </w:pPr>
      <w:r>
        <w:rPr>
          <w:rStyle w:val="CharStyle3"/>
          <w:b/>
          <w:bCs/>
          <w:color w:val="ED6B5F"/>
          <w:sz w:val="12"/>
          <w:szCs w:val="12"/>
        </w:rPr>
        <w:t>DK</w:t>
      </w:r>
    </w:p>
    <w:p>
      <w:pPr>
        <w:pStyle w:val="Style2"/>
        <w:keepNext w:val="0"/>
        <w:keepLines w:val="0"/>
        <w:framePr w:w="490" w:h="350" w:wrap="none" w:vAnchor="text" w:hAnchor="page" w:x="4973" w:y="5924"/>
        <w:widowControl w:val="0"/>
        <w:shd w:val="clear" w:color="auto" w:fill="auto"/>
        <w:bidi w:val="0"/>
        <w:spacing w:before="0" w:after="0" w:line="240" w:lineRule="auto"/>
        <w:ind w:left="0" w:right="0" w:firstLine="0"/>
        <w:jc w:val="left"/>
        <w:rPr>
          <w:sz w:val="12"/>
          <w:szCs w:val="12"/>
        </w:rPr>
      </w:pPr>
      <w:r>
        <w:rPr>
          <w:rStyle w:val="CharStyle3"/>
          <w:b/>
          <w:bCs/>
          <w:color w:val="ED6B5F"/>
          <w:sz w:val="12"/>
          <w:szCs w:val="12"/>
        </w:rPr>
        <w:t>-8 TWh</w:t>
      </w:r>
    </w:p>
    <w:p>
      <w:pPr>
        <w:pStyle w:val="Style2"/>
        <w:keepNext w:val="0"/>
        <w:keepLines w:val="0"/>
        <w:framePr w:w="470" w:h="379" w:wrap="none" w:vAnchor="text" w:hAnchor="page" w:x="6927" w:y="11478"/>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MT ■ 2 TWh</w:t>
      </w:r>
    </w:p>
    <w:p>
      <w:pPr>
        <w:pStyle w:val="Style2"/>
        <w:keepNext w:val="0"/>
        <w:keepLines w:val="0"/>
        <w:framePr w:w="365" w:h="514" w:wrap="none" w:vAnchor="text" w:hAnchor="page" w:x="1512" w:y="10960"/>
        <w:widowControl w:val="0"/>
        <w:shd w:val="clear" w:color="auto" w:fill="auto"/>
        <w:bidi w:val="0"/>
        <w:spacing w:before="0" w:after="0" w:line="300" w:lineRule="auto"/>
        <w:ind w:left="0" w:right="0" w:firstLine="0"/>
        <w:jc w:val="center"/>
        <w:rPr>
          <w:sz w:val="12"/>
          <w:szCs w:val="12"/>
        </w:rPr>
      </w:pPr>
      <w:bookmarkStart w:id="202" w:name="bookmark202"/>
      <w:r>
        <w:rPr>
          <w:rStyle w:val="CharStyle3"/>
          <w:b/>
          <w:bCs/>
          <w:color w:val="ED6B5F"/>
          <w:sz w:val="12"/>
          <w:szCs w:val="12"/>
        </w:rPr>
        <w:t>PT -2 TWh</w:t>
      </w:r>
      <w:bookmarkEnd w:id="202"/>
    </w:p>
    <w:p>
      <w:pPr>
        <w:pStyle w:val="Style2"/>
        <w:keepNext w:val="0"/>
        <w:keepLines w:val="0"/>
        <w:framePr w:w="552" w:h="379" w:wrap="none" w:vAnchor="text" w:hAnchor="page" w:x="7407" w:y="9894"/>
        <w:widowControl w:val="0"/>
        <w:shd w:val="clear" w:color="auto" w:fill="auto"/>
        <w:bidi w:val="0"/>
        <w:spacing w:before="0" w:after="0" w:line="300" w:lineRule="auto"/>
        <w:ind w:left="0" w:right="0" w:firstLine="0"/>
        <w:jc w:val="center"/>
        <w:rPr>
          <w:sz w:val="12"/>
          <w:szCs w:val="12"/>
        </w:rPr>
      </w:pPr>
      <w:r>
        <w:rPr>
          <w:rStyle w:val="CharStyle3"/>
          <w:b/>
          <w:bCs/>
          <w:color w:val="076BB4"/>
          <w:sz w:val="12"/>
          <w:szCs w:val="12"/>
        </w:rPr>
        <w:t>ME +1 TWh</w:t>
      </w:r>
    </w:p>
    <w:p>
      <w:pPr>
        <w:pStyle w:val="Style2"/>
        <w:keepNext w:val="0"/>
        <w:keepLines w:val="0"/>
        <w:framePr w:w="566" w:h="187" w:wrap="none" w:vAnchor="text" w:hAnchor="page" w:x="7445" w:y="29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right"/>
        <w:rPr>
          <w:sz w:val="12"/>
          <w:szCs w:val="12"/>
        </w:rPr>
      </w:pPr>
      <w:r>
        <w:rPr>
          <w:rStyle w:val="CharStyle3"/>
          <w:b/>
          <w:bCs/>
          <w:color w:val="FFFFFF"/>
          <w:sz w:val="12"/>
          <w:szCs w:val="12"/>
        </w:rPr>
        <w:t>14 TWh</w:t>
      </w:r>
    </w:p>
    <w:p>
      <w:pPr>
        <w:pStyle w:val="Style2"/>
        <w:keepNext w:val="0"/>
        <w:keepLines w:val="0"/>
        <w:framePr w:w="466" w:h="182" w:wrap="none" w:vAnchor="text" w:hAnchor="page" w:x="8823" w:y="898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2 TWh</w:t>
      </w:r>
    </w:p>
    <w:p>
      <w:pPr>
        <w:pStyle w:val="Style2"/>
        <w:keepNext w:val="0"/>
        <w:keepLines w:val="0"/>
        <w:framePr w:w="475" w:h="182" w:wrap="none" w:vAnchor="text" w:hAnchor="page" w:x="7455" w:y="944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5 TWh</w:t>
      </w:r>
    </w:p>
    <w:p>
      <w:pPr>
        <w:pStyle w:val="Style2"/>
        <w:keepNext w:val="0"/>
        <w:keepLines w:val="0"/>
        <w:framePr w:w="408" w:h="178" w:wrap="none" w:vAnchor="text" w:hAnchor="page" w:x="8333" w:y="10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center"/>
        <w:rPr>
          <w:sz w:val="12"/>
          <w:szCs w:val="12"/>
        </w:rPr>
      </w:pPr>
      <w:r>
        <w:rPr>
          <w:rStyle w:val="CharStyle3"/>
          <w:b/>
          <w:bCs/>
          <w:color w:val="FFFFFF"/>
          <w:sz w:val="12"/>
          <w:szCs w:val="12"/>
        </w:rPr>
        <w:t>2 TWI</w:t>
      </w:r>
    </w:p>
    <w:p>
      <w:pPr>
        <w:pStyle w:val="Style2"/>
        <w:keepNext w:val="0"/>
        <w:keepLines w:val="0"/>
        <w:framePr w:w="475" w:h="331" w:wrap="none" w:vAnchor="text" w:hAnchor="page" w:x="5362" w:y="853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CH 4 TWh</w:t>
      </w:r>
    </w:p>
    <w:p>
      <w:pPr>
        <w:pStyle w:val="Style2"/>
        <w:keepNext w:val="0"/>
        <w:keepLines w:val="0"/>
        <w:framePr w:w="490" w:h="379" w:wrap="none" w:vAnchor="text" w:hAnchor="page" w:x="8909" w:y="968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BG -5 TWh</w:t>
      </w:r>
    </w:p>
    <w:p>
      <w:pPr>
        <w:pStyle w:val="Style2"/>
        <w:keepNext w:val="0"/>
        <w:keepLines w:val="0"/>
        <w:framePr w:w="470" w:h="360" w:wrap="none" w:vAnchor="text" w:hAnchor="page" w:x="8117" w:y="9318"/>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RS ■ 1 TWh</w:t>
      </w:r>
    </w:p>
    <w:p>
      <w:pPr>
        <w:pStyle w:val="Style2"/>
        <w:keepNext w:val="0"/>
        <w:keepLines w:val="0"/>
        <w:framePr w:w="470" w:h="379" w:wrap="none" w:vAnchor="text" w:hAnchor="page" w:x="9293" w:y="551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LV 1 TWh</w:t>
      </w:r>
    </w:p>
    <w:p>
      <w:pPr>
        <w:pStyle w:val="Style2"/>
        <w:keepNext w:val="0"/>
        <w:keepLines w:val="0"/>
        <w:framePr w:w="485" w:h="331" w:wrap="none" w:vAnchor="text" w:hAnchor="page" w:x="5323" w:y="76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LU 8 TWh</w:t>
      </w:r>
    </w:p>
    <w:p>
      <w:pPr>
        <w:pStyle w:val="Style2"/>
        <w:keepNext w:val="0"/>
        <w:keepLines w:val="0"/>
        <w:framePr w:w="490" w:h="350" w:wrap="none" w:vAnchor="text" w:hAnchor="page" w:x="2880" w:y="101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160"/>
        <w:jc w:val="left"/>
        <w:rPr>
          <w:sz w:val="12"/>
          <w:szCs w:val="12"/>
        </w:rPr>
      </w:pPr>
      <w:r>
        <w:rPr>
          <w:rStyle w:val="CharStyle3"/>
          <w:b/>
          <w:bCs/>
          <w:color w:val="FFFFFF"/>
          <w:sz w:val="12"/>
          <w:szCs w:val="12"/>
        </w:rPr>
        <w:t>ES</w:t>
      </w:r>
    </w:p>
    <w:p>
      <w:pPr>
        <w:pStyle w:val="Style2"/>
        <w:keepNext w:val="0"/>
        <w:keepLines w:val="0"/>
        <w:framePr w:w="490" w:h="350" w:wrap="none" w:vAnchor="text" w:hAnchor="page" w:x="2880" w:y="101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-4 TWh</w:t>
      </w:r>
    </w:p>
    <w:p>
      <w:pPr>
        <w:pStyle w:val="Style2"/>
        <w:keepNext w:val="0"/>
        <w:keepLines w:val="0"/>
        <w:framePr w:w="475" w:h="379" w:wrap="none" w:vAnchor="text" w:hAnchor="page" w:x="7536" w:y="856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HU ■ 6 TWh</w:t>
      </w:r>
    </w:p>
    <w:p>
      <w:pPr>
        <w:pStyle w:val="Style2"/>
        <w:keepNext w:val="0"/>
        <w:keepLines w:val="0"/>
        <w:framePr w:w="509" w:h="379" w:wrap="none" w:vAnchor="text" w:hAnchor="page" w:x="6706" w:y="829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AT -6 TWh</w:t>
      </w:r>
    </w:p>
    <w:p>
      <w:pPr>
        <w:pStyle w:val="Style2"/>
        <w:keepNext w:val="0"/>
        <w:keepLines w:val="0"/>
        <w:framePr w:w="466" w:h="379" w:wrap="none" w:vAnchor="text" w:hAnchor="page" w:x="9178" w:y="47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EE ■ 5 TWh</w:t>
      </w:r>
    </w:p>
    <w:p>
      <w:pPr>
        <w:pStyle w:val="Style2"/>
        <w:keepNext w:val="0"/>
        <w:keepLines w:val="0"/>
        <w:framePr w:w="470" w:h="379" w:wrap="none" w:vAnchor="text" w:hAnchor="page" w:x="3231" w:y="68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UK 1 TWh</w:t>
      </w:r>
    </w:p>
    <w:p>
      <w:pPr>
        <w:pStyle w:val="Style2"/>
        <w:keepNext w:val="0"/>
        <w:keepLines w:val="0"/>
        <w:framePr w:w="552" w:h="355" w:wrap="none" w:vAnchor="text" w:hAnchor="page" w:x="8213"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i/>
          <w:iCs/>
          <w:color w:val="FFFFFF"/>
          <w:sz w:val="12"/>
          <w:szCs w:val="12"/>
        </w:rPr>
        <w:t>J</w:t>
      </w:r>
      <w:r>
        <w:rPr>
          <w:rStyle w:val="CharStyle3"/>
          <w:b/>
          <w:bCs/>
          <w:color w:val="FFFFFF"/>
          <w:sz w:val="12"/>
          <w:szCs w:val="12"/>
        </w:rPr>
        <w:t xml:space="preserve"> GR</w:t>
      </w:r>
    </w:p>
    <w:p>
      <w:pPr>
        <w:pStyle w:val="Style2"/>
        <w:keepNext w:val="0"/>
        <w:keepLines w:val="0"/>
        <w:framePr w:w="552" w:h="355" w:wrap="none" w:vAnchor="text" w:hAnchor="page" w:x="8213"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+0 TWh</w:t>
      </w:r>
    </w:p>
    <w:p>
      <w:pPr>
        <w:pStyle w:val="Style2"/>
        <w:keepNext w:val="0"/>
        <w:keepLines w:val="0"/>
        <w:framePr w:w="552" w:h="355" w:wrap="none" w:vAnchor="text" w:hAnchor="page" w:x="10416" w:y="10600"/>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TR ■ 14 TWh</w:t>
      </w:r>
    </w:p>
    <w:p>
      <w:pPr>
        <w:pStyle w:val="Style2"/>
        <w:keepNext w:val="0"/>
        <w:keepLines w:val="0"/>
        <w:framePr w:w="557" w:h="346" w:wrap="none" w:vAnchor="text" w:hAnchor="page" w:x="6744" w:y="768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CZ 14 TWh</w:t>
      </w:r>
    </w:p>
    <w:p>
      <w:pPr>
        <w:pStyle w:val="Style2"/>
        <w:keepNext w:val="0"/>
        <w:keepLines w:val="0"/>
        <w:framePr w:w="547" w:h="374" w:wrap="none" w:vAnchor="text" w:hAnchor="page" w:x="7704" w:y="697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PL ■ 20 TWh</w:t>
      </w:r>
    </w:p>
    <w:p>
      <w:pPr>
        <w:pStyle w:val="Style2"/>
        <w:keepNext w:val="0"/>
        <w:keepLines w:val="0"/>
        <w:framePr w:w="552" w:h="370" w:wrap="none" w:vAnchor="text" w:hAnchor="page" w:x="7594" w:y="803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83" w:lineRule="auto"/>
        <w:ind w:left="0" w:right="0" w:firstLine="0"/>
        <w:jc w:val="left"/>
        <w:rPr>
          <w:sz w:val="12"/>
          <w:szCs w:val="12"/>
        </w:rPr>
      </w:pPr>
      <w:r>
        <w:rPr>
          <w:rStyle w:val="CharStyle3"/>
          <w:b/>
          <w:bCs/>
          <w:color w:val="FFFFFF"/>
          <w:sz w:val="12"/>
          <w:szCs w:val="12"/>
        </w:rPr>
        <w:t xml:space="preserve">y </w:t>
      </w:r>
      <w:r>
        <w:rPr>
          <w:rStyle w:val="CharStyle3"/>
          <w:b/>
          <w:bCs/>
          <w:smallCaps/>
          <w:color w:val="FFFFFF"/>
          <w:sz w:val="12"/>
          <w:szCs w:val="12"/>
        </w:rPr>
        <w:t xml:space="preserve">sk </w:t>
      </w:r>
      <w:r>
        <w:rPr>
          <w:rStyle w:val="CharStyle3"/>
          <w:b/>
          <w:bCs/>
          <w:color w:val="FFFFFF"/>
          <w:sz w:val="12"/>
          <w:szCs w:val="12"/>
        </w:rPr>
        <w:t>+6 TWh</w:t>
      </w:r>
    </w:p>
    <w:p>
      <w:pPr>
        <w:pStyle w:val="Style2"/>
        <w:keepNext w:val="0"/>
        <w:keepLines w:val="0"/>
        <w:framePr w:w="557" w:h="379" w:wrap="none" w:vAnchor="text" w:hAnchor="page" w:x="5818" w:y="900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IT 53 TWh</w:t>
      </w:r>
    </w:p>
    <w:p>
      <w:pPr>
        <w:pStyle w:val="Style2"/>
        <w:keepNext w:val="0"/>
        <w:keepLines w:val="0"/>
        <w:framePr w:w="581" w:h="355" w:wrap="none" w:vAnchor="text" w:hAnchor="page" w:x="8770" w:y="59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LT +6 TWh</w:t>
      </w:r>
    </w:p>
    <w:p>
      <w:pPr>
        <w:pStyle w:val="Style2"/>
        <w:keepNext w:val="0"/>
        <w:keepLines w:val="0"/>
        <w:framePr w:w="643" w:h="379" w:wrap="none" w:vAnchor="text" w:hAnchor="page" w:x="5621" w:y="4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NO +31 TWh</w:t>
      </w:r>
    </w:p>
    <w:p>
      <w:pPr>
        <w:pStyle w:val="Style2"/>
        <w:keepNext w:val="0"/>
        <w:keepLines w:val="0"/>
        <w:framePr w:w="643" w:h="379" w:wrap="none" w:vAnchor="text" w:hAnchor="page" w:x="5789" w:y="71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DE +98 TWh</w:t>
      </w:r>
    </w:p>
    <w:p>
      <w:pPr>
        <w:pStyle w:val="Style2"/>
        <w:keepNext w:val="0"/>
        <w:keepLines w:val="0"/>
        <w:framePr w:w="552" w:h="379" w:wrap="none" w:vAnchor="text" w:hAnchor="page" w:x="9135"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FI +6 TWh</w:t>
      </w:r>
    </w:p>
    <w:p>
      <w:pPr>
        <w:pStyle w:val="Style2"/>
        <w:keepNext w:val="0"/>
        <w:keepLines w:val="0"/>
        <w:framePr w:w="629" w:h="331" w:wrap="none" w:vAnchor="text" w:hAnchor="page" w:x="4075" w:y="85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FR +24 TWh</w:t>
      </w:r>
    </w:p>
    <w:p>
      <w:pPr>
        <w:pStyle w:val="Style2"/>
        <w:keepNext w:val="0"/>
        <w:keepLines w:val="0"/>
        <w:framePr w:w="941" w:h="355" w:wrap="none" w:vAnchor="text" w:hAnchor="page" w:x="6768" w:y="8867"/>
        <w:widowControl w:val="0"/>
        <w:pBdr>
          <w:top w:val="single" w:sz="0" w:space="0" w:color="F7FCFF"/>
          <w:left w:val="single" w:sz="0" w:space="31" w:color="F7FCFF"/>
          <w:bottom w:val="single" w:sz="0" w:space="0" w:color="F7FCFF"/>
          <w:right w:val="single" w:sz="0" w:space="31" w:color="F7FCFF"/>
        </w:pBdr>
        <w:shd w:val="clear" w:color="auto" w:fill="F7FCFF"/>
        <w:tabs>
          <w:tab w:pos="326" w:val="left"/>
        </w:tabs>
        <w:bidi w:val="0"/>
        <w:spacing w:before="0" w:after="0" w:line="259" w:lineRule="auto"/>
        <w:ind w:left="0" w:right="0" w:firstLine="0"/>
        <w:jc w:val="left"/>
        <w:rPr>
          <w:sz w:val="12"/>
          <w:szCs w:val="12"/>
        </w:rPr>
      </w:pPr>
      <w:r>
        <w:rPr>
          <w:rStyle w:val="CharStyle3"/>
          <w:b/>
          <w:bCs/>
          <w:color w:val="FFFFFF"/>
          <w:sz w:val="12"/>
          <w:szCs w:val="12"/>
        </w:rPr>
        <w:t>2 TWh HR ''■■</w:t>
        <w:tab/>
        <w:t>^+5 TWh</w:t>
      </w:r>
    </w:p>
    <w:p>
      <w:pPr>
        <w:widowControl w:val="0"/>
        <w:spacing w:line="360" w:lineRule="exact"/>
      </w:pPr>
      <w:r>
        <w:drawing>
          <wp:anchor distT="0" distB="0" distL="0" distR="0" simplePos="0" relativeHeight="62914753" behindDoc="1" locked="0" layoutInCell="1" allowOverlap="1">
            <wp:simplePos x="0" y="0"/>
            <wp:positionH relativeFrom="page">
              <wp:posOffset>871220</wp:posOffset>
            </wp:positionH>
            <wp:positionV relativeFrom="paragraph">
              <wp:posOffset>414655</wp:posOffset>
            </wp:positionV>
            <wp:extent cx="6407150" cy="7235825"/>
            <wp:wrapNone/>
            <wp:docPr id="304" name="Shape 304"/>
            <a:graphic xmlns:a="http://schemas.openxmlformats.org/drawingml/2006/main">
              <a:graphicData uri="http://schemas.openxmlformats.org/drawingml/2006/picture">
                <pic:pic xmlns:pic="http://schemas.openxmlformats.org/drawingml/2006/picture">
                  <pic:nvPicPr>
                    <pic:cNvPr id="305" name="Picture box 305"/>
                    <pic:cNvPicPr/>
                  </pic:nvPicPr>
                  <pic:blipFill>
                    <a:blip r:embed="rId215"/>
                    <a:stretch/>
                  </pic:blipFill>
                  <pic:spPr>
                    <a:xfrm>
                      <a:ext cx="6407150" cy="7235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Restart w:val="continuous"/>
          </w:footnotePr>
          <w:type w:val="continuous"/>
          <w:pgSz w:w="12142" w:h="17375"/>
          <w:pgMar w:top="1003" w:right="680" w:bottom="586" w:left="680" w:header="575" w:footer="3" w:gutter="682"/>
          <w:cols w:space="720"/>
          <w:noEndnote/>
          <w:rtlGutter w:val="0"/>
          <w:docGrid w:linePitch="360"/>
        </w:sectPr>
      </w:pPr>
    </w:p>
    <w:p>
      <w:pPr>
        <w:widowControl w:val="0"/>
        <w:spacing w:before="79" w:after="79" w:line="240" w:lineRule="exact"/>
        <w:rPr>
          <w:sz w:val="19"/>
          <w:szCs w:val="19"/>
        </w:rPr>
      </w:pPr>
    </w:p>
    <w:p>
      <w:pPr>
        <w:widowControl w:val="0"/>
        <w:spacing w:line="1" w:lineRule="exact"/>
        <w:sectPr>
          <w:headerReference w:type="default" r:id="rId217"/>
          <w:footerReference w:type="default" r:id="rId218"/>
          <w:headerReference w:type="even" r:id="rId219"/>
          <w:footerReference w:type="even" r:id="rId220"/>
          <w:footnotePr>
            <w:pos w:val="pageBottom"/>
            <w:numFmt w:val="decimal"/>
            <w:numRestart w:val="continuous"/>
          </w:footnotePr>
          <w:pgSz w:w="12142" w:h="17375"/>
          <w:pgMar w:top="752" w:right="680" w:bottom="752" w:left="1362" w:header="0" w:footer="3" w:gutter="0"/>
          <w:cols w:space="720"/>
          <w:noEndnote/>
          <w:rtlGutter w:val="0"/>
          <w:docGrid w:linePitch="360"/>
        </w:sectPr>
      </w:pPr>
    </w:p>
    <w:p>
      <w:pPr>
        <w:pStyle w:val="Style15"/>
        <w:keepNext/>
        <w:keepLines/>
        <w:framePr w:w="7075" w:h="240" w:wrap="none" w:vAnchor="text" w:hAnchor="page" w:x="840" w:y="21"/>
        <w:widowControl w:val="0"/>
        <w:shd w:val="clear" w:color="auto" w:fill="auto"/>
        <w:bidi w:val="0"/>
        <w:spacing w:before="0" w:after="0" w:line="240" w:lineRule="auto"/>
        <w:ind w:left="0" w:right="0" w:firstLine="0"/>
        <w:jc w:val="left"/>
      </w:pPr>
      <w:bookmarkStart w:id="203" w:name="bookmark203"/>
      <w:r>
        <w:rPr>
          <w:rStyle w:val="CharStyle16"/>
          <w:b/>
          <w:bCs/>
        </w:rPr>
        <w:t>Obr. 6.15 Saldo importu a exportu evropských zemí pro Respondentní scénář 2040</w:t>
      </w:r>
      <w:bookmarkEnd w:id="203"/>
    </w:p>
    <w:p>
      <w:pPr>
        <w:pStyle w:val="Style37"/>
        <w:keepNext w:val="0"/>
        <w:keepLines w:val="0"/>
        <w:framePr w:w="643" w:h="187" w:wrap="none" w:vAnchor="text" w:hAnchor="page" w:x="6648" w:y="29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+51 TWh</w:t>
      </w:r>
    </w:p>
    <w:p>
      <w:pPr>
        <w:pStyle w:val="Style37"/>
        <w:keepNext w:val="0"/>
        <w:keepLines w:val="0"/>
        <w:framePr w:w="475" w:h="379" w:wrap="none" w:vAnchor="text" w:hAnchor="page" w:x="8534" w:y="35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FI</w:t>
        <w:br/>
        <w:t>■ 7 TWh</w:t>
      </w:r>
    </w:p>
    <w:p>
      <w:pPr>
        <w:pStyle w:val="Style37"/>
        <w:keepNext w:val="0"/>
        <w:keepLines w:val="0"/>
        <w:framePr w:w="211" w:h="163" w:wrap="none" w:vAnchor="text" w:hAnchor="page" w:x="917" w:y="10959"/>
        <w:widowControl w:val="0"/>
        <w:shd w:val="clear" w:color="auto" w:fill="auto"/>
        <w:bidi w:val="0"/>
        <w:spacing w:before="0" w:after="0" w:line="240" w:lineRule="auto"/>
        <w:ind w:left="0" w:right="0" w:firstLine="0"/>
        <w:jc w:val="left"/>
        <w:rPr>
          <w:sz w:val="12"/>
          <w:szCs w:val="12"/>
        </w:rPr>
      </w:pPr>
      <w:r>
        <w:rPr>
          <w:rStyle w:val="CharStyle38"/>
          <w:b/>
          <w:bCs/>
          <w:color w:val="076BB4"/>
          <w:sz w:val="12"/>
          <w:szCs w:val="12"/>
        </w:rPr>
        <w:t>PT</w:t>
      </w:r>
    </w:p>
    <w:p>
      <w:pPr>
        <w:pStyle w:val="Style37"/>
        <w:keepNext w:val="0"/>
        <w:keepLines w:val="0"/>
        <w:framePr w:w="360" w:h="379" w:wrap="none" w:vAnchor="text" w:hAnchor="page" w:x="835" w:y="11127"/>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+5</w:t>
        <w:br/>
        <w:t>TWh</w:t>
      </w:r>
    </w:p>
    <w:p>
      <w:pPr>
        <w:pStyle w:val="Style37"/>
        <w:keepNext w:val="0"/>
        <w:keepLines w:val="0"/>
        <w:framePr w:w="523" w:h="350" w:wrap="none" w:vAnchor="text" w:hAnchor="page" w:x="1219" w:y="6678"/>
        <w:widowControl w:val="0"/>
        <w:shd w:val="clear" w:color="auto" w:fill="auto"/>
        <w:bidi w:val="0"/>
        <w:spacing w:before="0" w:after="0" w:line="240" w:lineRule="auto"/>
        <w:ind w:left="0" w:right="0" w:firstLine="220"/>
        <w:jc w:val="left"/>
        <w:rPr>
          <w:sz w:val="12"/>
          <w:szCs w:val="12"/>
        </w:rPr>
      </w:pPr>
      <w:r>
        <w:rPr>
          <w:rStyle w:val="CharStyle38"/>
          <w:b/>
          <w:bCs/>
          <w:color w:val="ED6B5F"/>
          <w:sz w:val="12"/>
          <w:szCs w:val="12"/>
        </w:rPr>
        <w:t>IE</w:t>
      </w:r>
    </w:p>
    <w:p>
      <w:pPr>
        <w:pStyle w:val="Style37"/>
        <w:keepNext w:val="0"/>
        <w:keepLines w:val="0"/>
        <w:framePr w:w="523" w:h="350" w:wrap="none" w:vAnchor="text" w:hAnchor="page" w:x="1219" w:y="6678"/>
        <w:widowControl w:val="0"/>
        <w:shd w:val="clear" w:color="auto" w:fill="auto"/>
        <w:bidi w:val="0"/>
        <w:spacing w:before="0" w:after="0" w:line="240" w:lineRule="auto"/>
        <w:ind w:left="0" w:right="0" w:firstLine="0"/>
        <w:jc w:val="left"/>
        <w:rPr>
          <w:sz w:val="12"/>
          <w:szCs w:val="12"/>
        </w:rPr>
      </w:pPr>
      <w:r>
        <w:rPr>
          <w:rStyle w:val="CharStyle38"/>
          <w:b/>
          <w:bCs/>
          <w:color w:val="ED6B5F"/>
          <w:sz w:val="12"/>
          <w:szCs w:val="12"/>
        </w:rPr>
        <w:t>-0 TWh</w:t>
      </w:r>
    </w:p>
    <w:p>
      <w:pPr>
        <w:pStyle w:val="Style37"/>
        <w:keepNext w:val="0"/>
        <w:keepLines w:val="0"/>
        <w:framePr w:w="643" w:h="379" w:wrap="none" w:vAnchor="text" w:hAnchor="page" w:x="2501" w:y="683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UK</w:t>
        <w:br/>
        <w:t>+25 TWh</w:t>
      </w:r>
    </w:p>
    <w:p>
      <w:pPr>
        <w:pStyle w:val="Style37"/>
        <w:keepNext w:val="0"/>
        <w:keepLines w:val="0"/>
        <w:framePr w:w="638" w:h="331" w:wrap="none" w:vAnchor="text" w:hAnchor="page" w:x="3389" w:y="853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FR</w:t>
        <w:br/>
        <w:t>+51 TWh</w:t>
      </w:r>
    </w:p>
    <w:p>
      <w:pPr>
        <w:pStyle w:val="Style37"/>
        <w:keepNext w:val="0"/>
        <w:keepLines w:val="0"/>
        <w:framePr w:w="557" w:h="379" w:wrap="none" w:vAnchor="text" w:hAnchor="page" w:x="5011" w:y="4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NO</w:t>
        <w:br/>
        <w:t>37 TWh</w:t>
      </w:r>
    </w:p>
    <w:p>
      <w:pPr>
        <w:pStyle w:val="Style37"/>
        <w:keepNext w:val="0"/>
        <w:keepLines w:val="0"/>
        <w:framePr w:w="514" w:h="350" w:wrap="none" w:vAnchor="text" w:hAnchor="page" w:x="8453" w:y="4796"/>
        <w:widowControl w:val="0"/>
        <w:shd w:val="clear" w:color="auto" w:fill="auto"/>
        <w:bidi w:val="0"/>
        <w:spacing w:before="0" w:after="0" w:line="240" w:lineRule="auto"/>
        <w:ind w:left="0" w:right="0" w:firstLine="0"/>
        <w:jc w:val="center"/>
        <w:rPr>
          <w:sz w:val="12"/>
          <w:szCs w:val="12"/>
        </w:rPr>
      </w:pPr>
      <w:r>
        <w:rPr>
          <w:rStyle w:val="CharStyle38"/>
          <w:b/>
          <w:bCs/>
          <w:color w:val="ED6B5F"/>
          <w:sz w:val="12"/>
          <w:szCs w:val="12"/>
        </w:rPr>
        <w:t>EE</w:t>
      </w:r>
    </w:p>
    <w:p>
      <w:pPr>
        <w:pStyle w:val="Style37"/>
        <w:keepNext w:val="0"/>
        <w:keepLines w:val="0"/>
        <w:framePr w:w="514" w:h="350" w:wrap="none" w:vAnchor="text" w:hAnchor="page" w:x="8453" w:y="4796"/>
        <w:widowControl w:val="0"/>
        <w:shd w:val="clear" w:color="auto" w:fill="auto"/>
        <w:bidi w:val="0"/>
        <w:spacing w:before="0" w:after="0" w:line="240" w:lineRule="auto"/>
        <w:ind w:left="0" w:right="0" w:firstLine="0"/>
        <w:jc w:val="center"/>
        <w:rPr>
          <w:sz w:val="12"/>
          <w:szCs w:val="12"/>
        </w:rPr>
      </w:pPr>
      <w:r>
        <w:rPr>
          <w:rStyle w:val="CharStyle38"/>
          <w:b/>
          <w:bCs/>
          <w:color w:val="ED6B5F"/>
          <w:sz w:val="12"/>
          <w:szCs w:val="12"/>
        </w:rPr>
        <w:t>-0 TWh</w:t>
      </w:r>
    </w:p>
    <w:p>
      <w:pPr>
        <w:pStyle w:val="Style37"/>
        <w:keepNext w:val="0"/>
        <w:keepLines w:val="0"/>
        <w:framePr w:w="581" w:h="360" w:wrap="none" w:vAnchor="text" w:hAnchor="page" w:x="8539" w:y="551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66" w:lineRule="auto"/>
        <w:ind w:left="0" w:right="0" w:firstLine="180"/>
        <w:jc w:val="left"/>
        <w:rPr>
          <w:sz w:val="12"/>
          <w:szCs w:val="12"/>
        </w:rPr>
      </w:pPr>
      <w:r>
        <w:rPr>
          <w:rStyle w:val="CharStyle38"/>
          <w:b/>
          <w:bCs/>
          <w:color w:val="FFFFFF"/>
          <w:sz w:val="12"/>
          <w:szCs w:val="12"/>
        </w:rPr>
        <w:t>LV , +4 TWh</w:t>
      </w:r>
    </w:p>
    <w:p>
      <w:pPr>
        <w:pStyle w:val="Style37"/>
        <w:keepNext w:val="0"/>
        <w:keepLines w:val="0"/>
        <w:framePr w:w="475" w:h="374" w:wrap="none" w:vAnchor="text" w:hAnchor="page" w:x="8146" w:y="597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LT</w:t>
        <w:br/>
        <w:t>6 TWh</w:t>
      </w:r>
    </w:p>
    <w:p>
      <w:pPr>
        <w:pStyle w:val="Style37"/>
        <w:keepNext w:val="0"/>
        <w:keepLines w:val="0"/>
        <w:framePr w:w="590" w:h="379" w:wrap="none" w:vAnchor="text" w:hAnchor="page" w:x="2136"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ES</w:t>
        <w:br/>
        <w:t>-13 TWh</w:t>
      </w:r>
    </w:p>
    <w:p>
      <w:pPr>
        <w:pStyle w:val="Style37"/>
        <w:keepNext w:val="0"/>
        <w:keepLines w:val="0"/>
        <w:framePr w:w="643" w:h="379" w:wrap="none" w:vAnchor="text" w:hAnchor="page" w:x="5064" w:y="71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DE</w:t>
        <w:br/>
        <w:t>+61 TWh</w:t>
      </w:r>
    </w:p>
    <w:p>
      <w:pPr>
        <w:pStyle w:val="Style37"/>
        <w:keepNext w:val="0"/>
        <w:keepLines w:val="0"/>
        <w:framePr w:w="542" w:h="374" w:wrap="none" w:vAnchor="text" w:hAnchor="page" w:x="7032" w:y="697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PL</w:t>
        <w:br/>
        <w:t>■ 11 TWh</w:t>
      </w:r>
    </w:p>
    <w:p>
      <w:pPr>
        <w:pStyle w:val="Style37"/>
        <w:keepNext w:val="0"/>
        <w:keepLines w:val="0"/>
        <w:framePr w:w="480" w:h="331" w:wrap="none" w:vAnchor="text" w:hAnchor="page" w:x="4642" w:y="769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LU</w:t>
        <w:br/>
        <w:t>6 TWh</w:t>
      </w:r>
    </w:p>
    <w:p>
      <w:pPr>
        <w:pStyle w:val="Style37"/>
        <w:keepNext w:val="0"/>
        <w:keepLines w:val="0"/>
        <w:framePr w:w="480" w:h="331" w:wrap="none" w:vAnchor="text" w:hAnchor="page" w:x="4685" w:y="85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CH</w:t>
        <w:br/>
        <w:t>1 TWh</w:t>
      </w:r>
    </w:p>
    <w:p>
      <w:pPr>
        <w:pStyle w:val="Style37"/>
        <w:keepNext w:val="0"/>
        <w:keepLines w:val="0"/>
        <w:framePr w:w="562" w:h="379" w:wrap="none" w:vAnchor="text" w:hAnchor="page" w:x="5136" w:y="900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IT</w:t>
        <w:br/>
        <w:t>■ 52 TWh</w:t>
      </w:r>
    </w:p>
    <w:p>
      <w:pPr>
        <w:pStyle w:val="Style37"/>
        <w:keepNext w:val="0"/>
        <w:keepLines w:val="0"/>
        <w:framePr w:w="566" w:h="346" w:wrap="none" w:vAnchor="text" w:hAnchor="page" w:x="6058" w:y="768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CZ</w:t>
        <w:br/>
        <w:t>■ 13 TWh</w:t>
      </w:r>
    </w:p>
    <w:p>
      <w:pPr>
        <w:pStyle w:val="Style37"/>
        <w:keepNext w:val="0"/>
        <w:keepLines w:val="0"/>
        <w:framePr w:w="619" w:h="379" w:wrap="none" w:vAnchor="text" w:hAnchor="page" w:x="5971" w:y="82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AT</w:t>
        <w:br/>
        <w:t>+20 TWh</w:t>
      </w:r>
    </w:p>
    <w:p>
      <w:pPr>
        <w:pStyle w:val="Style37"/>
        <w:keepNext w:val="0"/>
        <w:keepLines w:val="0"/>
        <w:framePr w:w="552" w:h="379" w:wrap="none" w:vAnchor="text" w:hAnchor="page" w:x="6912" w:y="80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left"/>
        <w:rPr>
          <w:sz w:val="12"/>
          <w:szCs w:val="12"/>
        </w:rPr>
      </w:pPr>
      <w:r>
        <w:rPr>
          <w:rStyle w:val="CharStyle38"/>
          <w:b/>
          <w:bCs/>
          <w:color w:val="FFFFFF"/>
          <w:sz w:val="12"/>
          <w:szCs w:val="12"/>
        </w:rPr>
        <w:t>y SK +0 TWh</w:t>
      </w:r>
    </w:p>
    <w:p>
      <w:pPr>
        <w:pStyle w:val="Style37"/>
        <w:keepNext w:val="0"/>
        <w:keepLines w:val="0"/>
        <w:framePr w:w="926" w:h="355" w:wrap="none" w:vAnchor="text" w:hAnchor="page" w:x="6101"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18" w:lineRule="auto"/>
        <w:ind w:left="0" w:right="0" w:firstLine="0"/>
        <w:jc w:val="left"/>
        <w:rPr>
          <w:sz w:val="12"/>
          <w:szCs w:val="12"/>
        </w:rPr>
      </w:pPr>
      <w:r>
        <w:rPr>
          <w:rStyle w:val="CharStyle38"/>
          <w:b/>
          <w:bCs/>
          <w:color w:val="FFFFFF"/>
          <w:sz w:val="12"/>
          <w:szCs w:val="12"/>
        </w:rPr>
        <w:t>■ 1 TWh HR t-&gt;í+3 TWh</w:t>
      </w:r>
    </w:p>
    <w:p>
      <w:pPr>
        <w:pStyle w:val="Style37"/>
        <w:keepNext w:val="0"/>
        <w:keepLines w:val="0"/>
        <w:framePr w:w="557" w:h="379" w:wrap="none" w:vAnchor="text" w:hAnchor="page" w:x="6859" w:y="856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HU</w:t>
        <w:br/>
        <w:t>36 TWh</w:t>
      </w:r>
    </w:p>
    <w:p>
      <w:pPr>
        <w:pStyle w:val="Style37"/>
        <w:keepNext w:val="0"/>
        <w:keepLines w:val="0"/>
        <w:framePr w:w="629" w:h="379" w:wrap="none" w:vAnchor="text" w:hAnchor="page" w:x="8098" w:y="881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RO</w:t>
        <w:br/>
        <w:t>+19 TWh</w:t>
      </w:r>
    </w:p>
    <w:p>
      <w:pPr>
        <w:pStyle w:val="Style37"/>
        <w:keepNext w:val="0"/>
        <w:keepLines w:val="0"/>
        <w:framePr w:w="475" w:h="182" w:wrap="none" w:vAnchor="text" w:hAnchor="page" w:x="6773" w:y="944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 5 TWh</w:t>
      </w:r>
    </w:p>
    <w:p>
      <w:pPr>
        <w:pStyle w:val="Style37"/>
        <w:keepNext w:val="0"/>
        <w:keepLines w:val="0"/>
        <w:framePr w:w="480" w:h="350" w:wrap="none" w:vAnchor="text" w:hAnchor="page" w:x="7426" w:y="932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RS</w:t>
      </w:r>
    </w:p>
    <w:p>
      <w:pPr>
        <w:pStyle w:val="Style37"/>
        <w:keepNext w:val="0"/>
        <w:keepLines w:val="0"/>
        <w:framePr w:w="480" w:h="350" w:wrap="none" w:vAnchor="text" w:hAnchor="page" w:x="7426" w:y="932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-9 TWh</w:t>
      </w:r>
    </w:p>
    <w:p>
      <w:pPr>
        <w:pStyle w:val="Style37"/>
        <w:keepNext w:val="0"/>
        <w:keepLines w:val="0"/>
        <w:framePr w:w="485" w:h="355" w:wrap="none" w:vAnchor="text" w:hAnchor="page" w:x="6749" w:y="9894"/>
        <w:widowControl w:val="0"/>
        <w:shd w:val="clear" w:color="auto" w:fill="auto"/>
        <w:bidi w:val="0"/>
        <w:spacing w:before="0" w:after="0" w:line="240" w:lineRule="auto"/>
        <w:ind w:left="0" w:right="0" w:firstLine="0"/>
        <w:jc w:val="right"/>
        <w:rPr>
          <w:sz w:val="12"/>
          <w:szCs w:val="12"/>
        </w:rPr>
      </w:pPr>
      <w:r>
        <w:rPr>
          <w:rStyle w:val="CharStyle38"/>
          <w:b/>
          <w:bCs/>
          <w:color w:val="ED6B5F"/>
          <w:sz w:val="12"/>
          <w:szCs w:val="12"/>
        </w:rPr>
        <w:t>ME</w:t>
      </w:r>
    </w:p>
    <w:p>
      <w:pPr>
        <w:pStyle w:val="Style37"/>
        <w:keepNext w:val="0"/>
        <w:keepLines w:val="0"/>
        <w:framePr w:w="485" w:h="355" w:wrap="none" w:vAnchor="text" w:hAnchor="page" w:x="6749" w:y="9894"/>
        <w:widowControl w:val="0"/>
        <w:shd w:val="clear" w:color="auto" w:fill="auto"/>
        <w:bidi w:val="0"/>
        <w:spacing w:before="0" w:after="0" w:line="240" w:lineRule="auto"/>
        <w:ind w:left="0" w:right="0" w:firstLine="0"/>
        <w:jc w:val="right"/>
        <w:rPr>
          <w:sz w:val="12"/>
          <w:szCs w:val="12"/>
        </w:rPr>
      </w:pPr>
      <w:r>
        <w:rPr>
          <w:rStyle w:val="CharStyle38"/>
          <w:b/>
          <w:bCs/>
          <w:color w:val="ED6B5F"/>
          <w:sz w:val="12"/>
          <w:szCs w:val="12"/>
        </w:rPr>
        <w:t>-1 TWh</w:t>
      </w:r>
    </w:p>
    <w:p>
      <w:pPr>
        <w:pStyle w:val="Style37"/>
        <w:keepNext w:val="0"/>
        <w:keepLines w:val="0"/>
        <w:framePr w:w="547" w:h="379" w:wrap="none" w:vAnchor="text" w:hAnchor="page" w:x="8189" w:y="96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BG</w:t>
        <w:br/>
        <w:t>+2 TWh</w:t>
      </w:r>
    </w:p>
    <w:p>
      <w:pPr>
        <w:pStyle w:val="Style37"/>
        <w:keepNext w:val="0"/>
        <w:keepLines w:val="0"/>
        <w:framePr w:w="408" w:h="178" w:wrap="none" w:vAnchor="text" w:hAnchor="page" w:x="7651" w:y="10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5 TWI</w:t>
      </w:r>
    </w:p>
    <w:p>
      <w:pPr>
        <w:pStyle w:val="Style37"/>
        <w:keepNext w:val="0"/>
        <w:keepLines w:val="0"/>
        <w:framePr w:w="552" w:h="442" w:wrap="none" w:vAnchor="text" w:hAnchor="page" w:x="6163" w:y="11425"/>
        <w:widowControl w:val="0"/>
        <w:shd w:val="clear" w:color="auto" w:fill="auto"/>
        <w:bidi w:val="0"/>
        <w:spacing w:before="0" w:after="0" w:line="310" w:lineRule="auto"/>
        <w:ind w:left="0" w:right="0" w:firstLine="0"/>
        <w:jc w:val="left"/>
        <w:rPr>
          <w:sz w:val="12"/>
          <w:szCs w:val="12"/>
        </w:rPr>
      </w:pPr>
      <w:r>
        <w:rPr>
          <w:rStyle w:val="CharStyle38"/>
          <w:b/>
          <w:bCs/>
          <w:color w:val="ED6B5F"/>
          <w:sz w:val="12"/>
          <w:szCs w:val="12"/>
          <w:vertAlign w:val="superscript"/>
        </w:rPr>
        <w:t>X</w:t>
      </w:r>
      <w:r>
        <w:rPr>
          <w:rStyle w:val="CharStyle38"/>
          <w:b/>
          <w:bCs/>
          <w:color w:val="ED6B5F"/>
          <w:sz w:val="12"/>
          <w:szCs w:val="12"/>
        </w:rPr>
        <w:t xml:space="preserve"> MT -2 TWh</w:t>
      </w:r>
    </w:p>
    <w:p>
      <w:pPr>
        <w:pStyle w:val="Style37"/>
        <w:keepNext w:val="0"/>
        <w:keepLines w:val="0"/>
        <w:framePr w:w="365" w:h="499" w:wrap="none" w:vAnchor="text" w:hAnchor="page" w:x="7056" w:y="10455"/>
        <w:widowControl w:val="0"/>
        <w:shd w:val="clear" w:color="auto" w:fill="auto"/>
        <w:bidi w:val="0"/>
        <w:spacing w:before="0" w:after="0" w:line="67" w:lineRule="exact"/>
        <w:ind w:left="0" w:right="0" w:firstLine="0"/>
        <w:jc w:val="left"/>
        <w:rPr>
          <w:sz w:val="12"/>
          <w:szCs w:val="12"/>
        </w:rPr>
      </w:pPr>
      <w:r>
        <w:rPr>
          <w:rStyle w:val="CharStyle38"/>
          <w:b/>
          <w:bCs/>
          <w:color w:val="076BB4"/>
          <w:sz w:val="12"/>
          <w:szCs w:val="12"/>
          <w:vertAlign w:val="superscript"/>
        </w:rPr>
        <w:t>A</w:t>
      </w:r>
      <w:r>
        <w:rPr>
          <w:rStyle w:val="CharStyle38"/>
          <w:b/>
          <w:bCs/>
          <w:color w:val="076BB4"/>
          <w:sz w:val="12"/>
          <w:szCs w:val="12"/>
        </w:rPr>
        <w:t>S +6</w:t>
      </w:r>
    </w:p>
    <w:p>
      <w:pPr>
        <w:pStyle w:val="Style37"/>
        <w:keepNext w:val="0"/>
        <w:keepLines w:val="0"/>
        <w:framePr w:w="365" w:h="499" w:wrap="none" w:vAnchor="text" w:hAnchor="page" w:x="7056" w:y="10455"/>
        <w:widowControl w:val="0"/>
        <w:shd w:val="clear" w:color="auto" w:fill="auto"/>
        <w:bidi w:val="0"/>
        <w:spacing w:before="0" w:after="0" w:line="67" w:lineRule="exact"/>
        <w:ind w:left="0" w:right="0" w:firstLine="0"/>
        <w:jc w:val="left"/>
        <w:rPr>
          <w:sz w:val="12"/>
          <w:szCs w:val="12"/>
        </w:rPr>
      </w:pPr>
      <w:r>
        <w:rPr>
          <w:rStyle w:val="CharStyle38"/>
          <w:b/>
          <w:bCs/>
          <w:color w:val="076BB4"/>
          <w:sz w:val="12"/>
          <w:szCs w:val="12"/>
        </w:rPr>
        <w:t>TWh</w:t>
      </w:r>
    </w:p>
    <w:p>
      <w:pPr>
        <w:pStyle w:val="Style37"/>
        <w:keepNext w:val="0"/>
        <w:keepLines w:val="0"/>
        <w:framePr w:w="571" w:h="379" w:wrap="none" w:vAnchor="text" w:hAnchor="page" w:x="7550"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left"/>
        <w:rPr>
          <w:sz w:val="12"/>
          <w:szCs w:val="12"/>
        </w:rPr>
      </w:pPr>
      <w:r>
        <w:rPr>
          <w:rStyle w:val="CharStyle38"/>
          <w:b/>
          <w:bCs/>
          <w:i/>
          <w:iCs/>
          <w:color w:val="FFFFFF"/>
          <w:sz w:val="12"/>
          <w:szCs w:val="12"/>
        </w:rPr>
        <w:t>f</w:t>
      </w:r>
      <w:r>
        <w:rPr>
          <w:rStyle w:val="CharStyle38"/>
          <w:b/>
          <w:bCs/>
          <w:color w:val="FFFFFF"/>
          <w:sz w:val="12"/>
          <w:szCs w:val="12"/>
        </w:rPr>
        <w:t xml:space="preserve"> GR ■ 11 TWh</w:t>
      </w:r>
    </w:p>
    <w:p>
      <w:pPr>
        <w:pStyle w:val="Style37"/>
        <w:keepNext w:val="0"/>
        <w:keepLines w:val="0"/>
        <w:framePr w:w="518" w:h="355" w:wrap="none" w:vAnchor="text" w:hAnchor="page" w:x="9686" w:y="10599"/>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TR</w:t>
        <w:br/>
        <w:t>-6 TWh</w:t>
      </w:r>
    </w:p>
    <w:p>
      <w:pPr>
        <w:widowControl w:val="0"/>
        <w:spacing w:line="360" w:lineRule="exact"/>
      </w:pPr>
      <w:r>
        <w:drawing>
          <wp:anchor distT="0" distB="0" distL="0" distR="0" simplePos="0" relativeHeight="62914762" behindDoc="1" locked="0" layoutInCell="1" allowOverlap="1">
            <wp:simplePos x="0" y="0"/>
            <wp:positionH relativeFrom="margin">
              <wp:posOffset>-167640</wp:posOffset>
            </wp:positionH>
            <wp:positionV relativeFrom="margin">
              <wp:posOffset>713740</wp:posOffset>
            </wp:positionV>
            <wp:extent cx="6144895" cy="6967855"/>
            <wp:wrapNone/>
            <wp:docPr id="314" name="Shape 314"/>
            <a:graphic xmlns:a="http://schemas.openxmlformats.org/drawingml/2006/main">
              <a:graphicData uri="http://schemas.openxmlformats.org/drawingml/2006/picture">
                <pic:pic xmlns:pic="http://schemas.openxmlformats.org/drawingml/2006/picture">
                  <pic:nvPicPr>
                    <pic:cNvPr id="315" name="Picture box 315"/>
                    <pic:cNvPicPr/>
                  </pic:nvPicPr>
                  <pic:blipFill>
                    <a:blip r:embed="rId221"/>
                    <a:stretch/>
                  </pic:blipFill>
                  <pic:spPr>
                    <a:xfrm>
                      <a:ext cx="6144895" cy="6967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type w:val="continuous"/>
          <w:pgSz w:w="12142" w:h="17375"/>
          <w:pgMar w:top="752" w:right="680" w:bottom="752" w:left="680" w:header="0" w:footer="3" w:gutter="682"/>
          <w:cols w:space="720"/>
          <w:noEndnote/>
          <w:rtlGutter w:val="0"/>
          <w:docGrid w:linePitch="360"/>
        </w:sectPr>
      </w:pPr>
    </w:p>
    <w:p>
      <w:pPr>
        <w:widowControl w:val="0"/>
        <w:spacing w:line="1" w:lineRule="exact"/>
      </w:pPr>
      <w:r>
        <w:drawing>
          <wp:anchor distT="258445" distB="392430" distL="63500" distR="3300095" simplePos="0" relativeHeight="125829467" behindDoc="0" locked="0" layoutInCell="1" allowOverlap="1">
            <wp:simplePos x="0" y="0"/>
            <wp:positionH relativeFrom="margin">
              <wp:posOffset>597535</wp:posOffset>
            </wp:positionH>
            <wp:positionV relativeFrom="paragraph">
              <wp:posOffset>965835</wp:posOffset>
            </wp:positionV>
            <wp:extent cx="2383790" cy="1517650"/>
            <wp:wrapSquare wrapText="left"/>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223"/>
                    <a:stretch/>
                  </pic:blipFill>
                  <pic:spPr>
                    <a:xfrm>
                      <a:ext cx="2383790" cy="151765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margin">
                  <wp:posOffset>1021080</wp:posOffset>
                </wp:positionH>
                <wp:positionV relativeFrom="paragraph">
                  <wp:posOffset>2574925</wp:posOffset>
                </wp:positionV>
                <wp:extent cx="539750" cy="237490"/>
                <wp:wrapNone/>
                <wp:docPr id="318" name="Shape 318"/>
                <a:graphic xmlns:a="http://schemas.openxmlformats.org/drawingml/2006/main">
                  <a:graphicData uri="http://schemas.microsoft.com/office/word/2010/wordprocessingShape">
                    <wps:wsp>
                      <wps:cNvSpPr txBox="1"/>
                      <wps:spPr>
                        <a:xfrm>
                          <a:ext cx="539750" cy="23749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2025</w:t>
                            </w:r>
                          </w:p>
                        </w:txbxContent>
                      </wps:txbx>
                      <wps:bodyPr lIns="0" tIns="0" rIns="0" bIns="0">
                        <a:noAutoFit/>
                      </wps:bodyPr>
                    </wps:wsp>
                  </a:graphicData>
                </a:graphic>
              </wp:anchor>
            </w:drawing>
          </mc:Choice>
          <mc:Fallback>
            <w:pict>
              <v:shape id="_x0000_s1344" type="#_x0000_t202" style="position:absolute;margin-left:80.400000000000006pt;margin-top:202.75pt;width:42.5pt;height:18.699999999999999pt;z-index:25165778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2025</w:t>
                      </w:r>
                    </w:p>
                  </w:txbxContent>
                </v:textbox>
                <w10:wrap anchorx="margin"/>
              </v:shape>
            </w:pict>
          </mc:Fallback>
        </mc:AlternateContent>
      </w:r>
      <w:r>
        <mc:AlternateContent>
          <mc:Choice Requires="wps">
            <w:drawing>
              <wp:anchor distT="0" distB="0" distL="0" distR="0" simplePos="0" relativeHeight="503316540" behindDoc="0" locked="0" layoutInCell="1" allowOverlap="1">
                <wp:simplePos x="0" y="0"/>
                <wp:positionH relativeFrom="margin">
                  <wp:posOffset>2414270</wp:posOffset>
                </wp:positionH>
                <wp:positionV relativeFrom="paragraph">
                  <wp:posOffset>2574925</wp:posOffset>
                </wp:positionV>
                <wp:extent cx="539750" cy="237490"/>
                <wp:wrapNone/>
                <wp:docPr id="320" name="Shape 320"/>
                <a:graphic xmlns:a="http://schemas.openxmlformats.org/drawingml/2006/main">
                  <a:graphicData uri="http://schemas.microsoft.com/office/word/2010/wordprocessingShape">
                    <wps:wsp>
                      <wps:cNvSpPr txBox="1"/>
                      <wps:spPr>
                        <a:xfrm>
                          <a:ext cx="539750" cy="23749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2030</w:t>
                            </w:r>
                          </w:p>
                        </w:txbxContent>
                      </wps:txbx>
                      <wps:bodyPr lIns="0" tIns="0" rIns="0" bIns="0">
                        <a:noAutoFit/>
                      </wps:bodyPr>
                    </wps:wsp>
                  </a:graphicData>
                </a:graphic>
              </wp:anchor>
            </w:drawing>
          </mc:Choice>
          <mc:Fallback>
            <w:pict>
              <v:shape id="_x0000_s1346" type="#_x0000_t202" style="position:absolute;margin-left:190.09999999999999pt;margin-top:202.75pt;width:42.5pt;height:18.699999999999999pt;z-index:251657787;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2030</w:t>
                      </w:r>
                    </w:p>
                  </w:txbxContent>
                </v:textbox>
                <w10:wrap anchorx="margin"/>
              </v:shape>
            </w:pict>
          </mc:Fallback>
        </mc:AlternateContent>
      </w:r>
      <w:r>
        <w:drawing>
          <wp:anchor distT="63500" distB="389890" distL="3260725" distR="63500" simplePos="0" relativeHeight="125829468" behindDoc="0" locked="0" layoutInCell="1" allowOverlap="1">
            <wp:simplePos x="0" y="0"/>
            <wp:positionH relativeFrom="margin">
              <wp:posOffset>3794760</wp:posOffset>
            </wp:positionH>
            <wp:positionV relativeFrom="paragraph">
              <wp:posOffset>770890</wp:posOffset>
            </wp:positionV>
            <wp:extent cx="2419985" cy="1718945"/>
            <wp:wrapSquare wrapText="left"/>
            <wp:docPr id="322" name="Shape 322"/>
            <a:graphic xmlns:a="http://schemas.openxmlformats.org/drawingml/2006/main">
              <a:graphicData uri="http://schemas.openxmlformats.org/drawingml/2006/picture">
                <pic:pic xmlns:pic="http://schemas.openxmlformats.org/drawingml/2006/picture">
                  <pic:nvPicPr>
                    <pic:cNvPr id="323" name="Picture box 323"/>
                    <pic:cNvPicPr/>
                  </pic:nvPicPr>
                  <pic:blipFill>
                    <a:blip r:embed="rId225"/>
                    <a:stretch/>
                  </pic:blipFill>
                  <pic:spPr>
                    <a:xfrm>
                      <a:ext cx="2419985" cy="171894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margin">
                  <wp:posOffset>3806825</wp:posOffset>
                </wp:positionH>
                <wp:positionV relativeFrom="paragraph">
                  <wp:posOffset>2575560</wp:posOffset>
                </wp:positionV>
                <wp:extent cx="536575" cy="237490"/>
                <wp:wrapNone/>
                <wp:docPr id="324" name="Shape 324"/>
                <a:graphic xmlns:a="http://schemas.openxmlformats.org/drawingml/2006/main">
                  <a:graphicData uri="http://schemas.microsoft.com/office/word/2010/wordprocessingShape">
                    <wps:wsp>
                      <wps:cNvSpPr txBox="1"/>
                      <wps:spPr>
                        <a:xfrm>
                          <a:ext cx="536575" cy="23749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2035</w:t>
                            </w:r>
                          </w:p>
                        </w:txbxContent>
                      </wps:txbx>
                      <wps:bodyPr lIns="0" tIns="0" rIns="0" bIns="0">
                        <a:noAutoFit/>
                      </wps:bodyPr>
                    </wps:wsp>
                  </a:graphicData>
                </a:graphic>
              </wp:anchor>
            </w:drawing>
          </mc:Choice>
          <mc:Fallback>
            <w:pict>
              <v:shape id="_x0000_s1350" type="#_x0000_t202" style="position:absolute;margin-left:299.75pt;margin-top:202.80000000000001pt;width:42.25pt;height:18.699999999999999pt;z-index:25165778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2035</w:t>
                      </w:r>
                    </w:p>
                  </w:txbxContent>
                </v:textbox>
                <w10:wrap anchorx="margin"/>
              </v:shape>
            </w:pict>
          </mc:Fallback>
        </mc:AlternateContent>
      </w:r>
      <w:r>
        <mc:AlternateContent>
          <mc:Choice Requires="wps">
            <w:drawing>
              <wp:anchor distT="0" distB="0" distL="0" distR="0" simplePos="0" relativeHeight="503316544" behindDoc="0" locked="0" layoutInCell="1" allowOverlap="1">
                <wp:simplePos x="0" y="0"/>
                <wp:positionH relativeFrom="margin">
                  <wp:posOffset>5200015</wp:posOffset>
                </wp:positionH>
                <wp:positionV relativeFrom="paragraph">
                  <wp:posOffset>2575560</wp:posOffset>
                </wp:positionV>
                <wp:extent cx="536575" cy="237490"/>
                <wp:wrapNone/>
                <wp:docPr id="326" name="Shape 326"/>
                <a:graphic xmlns:a="http://schemas.openxmlformats.org/drawingml/2006/main">
                  <a:graphicData uri="http://schemas.microsoft.com/office/word/2010/wordprocessingShape">
                    <wps:wsp>
                      <wps:cNvSpPr txBox="1"/>
                      <wps:spPr>
                        <a:xfrm>
                          <a:ext cx="536575" cy="23749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2040</w:t>
                            </w:r>
                          </w:p>
                        </w:txbxContent>
                      </wps:txbx>
                      <wps:bodyPr lIns="0" tIns="0" rIns="0" bIns="0">
                        <a:noAutoFit/>
                      </wps:bodyPr>
                    </wps:wsp>
                  </a:graphicData>
                </a:graphic>
              </wp:anchor>
            </w:drawing>
          </mc:Choice>
          <mc:Fallback>
            <w:pict>
              <v:shape id="_x0000_s1352" type="#_x0000_t202" style="position:absolute;margin-left:409.44999999999999pt;margin-top:202.80000000000001pt;width:42.25pt;height:18.699999999999999pt;z-index:251657791;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Konzervativní 2040</w:t>
                      </w:r>
                    </w:p>
                  </w:txbxContent>
                </v:textbox>
                <w10:wrap anchorx="margin"/>
              </v:shape>
            </w:pict>
          </mc:Fallback>
        </mc:AlternateContent>
      </w:r>
      <w:r>
        <mc:AlternateContent>
          <mc:Choice Requires="wps">
            <w:drawing>
              <wp:anchor distT="0" distB="0" distL="38100" distR="38100" simplePos="0" relativeHeight="125829469" behindDoc="0" locked="0" layoutInCell="1" allowOverlap="1">
                <wp:simplePos x="0" y="0"/>
                <wp:positionH relativeFrom="margin">
                  <wp:posOffset>572770</wp:posOffset>
                </wp:positionH>
                <wp:positionV relativeFrom="paragraph">
                  <wp:posOffset>2999105</wp:posOffset>
                </wp:positionV>
                <wp:extent cx="1329055" cy="643255"/>
                <wp:wrapSquare wrapText="right"/>
                <wp:docPr id="328" name="Shape 328"/>
                <a:graphic xmlns:a="http://schemas.openxmlformats.org/drawingml/2006/main">
                  <a:graphicData uri="http://schemas.microsoft.com/office/word/2010/wordprocessingShape">
                    <wps:wsp>
                      <wps:cNvSpPr txBox="1"/>
                      <wps:spPr>
                        <a:xfrm>
                          <a:ext cx="1329055" cy="643255"/>
                        </a:xfrm>
                        <a:prstGeom prst="rect"/>
                        <a:solidFill>
                          <a:srgbClr val="F7FCFF"/>
                        </a:solidFill>
                      </wps:spPr>
                      <wps:txbx>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wps:txbx>
                      <wps:bodyPr lIns="0" tIns="0" rIns="0" bIns="0">
                        <a:noAutoFit/>
                      </wps:bodyPr>
                    </wps:wsp>
                  </a:graphicData>
                </a:graphic>
              </wp:anchor>
            </w:drawing>
          </mc:Choice>
          <mc:Fallback>
            <w:pict>
              <v:shape id="_x0000_s1354" type="#_x0000_t202" style="position:absolute;margin-left:45.100000000000001pt;margin-top:236.15000000000001pt;width:104.65000000000001pt;height:50.649999999999999pt;z-index:-125829284;mso-wrap-distance-left:3.pt;mso-wrap-distance-right:3.pt;mso-position-horizontal-relative:margin" fillcolor="#F7FCFF" stroked="f">
                <v:textbox inset="0,0,0,0">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v:textbox>
                <w10:wrap type="square" side="right" anchorx="margin"/>
              </v:shape>
            </w:pict>
          </mc:Fallback>
        </mc:AlternateContent>
      </w:r>
      <w:r>
        <mc:AlternateContent>
          <mc:Choice Requires="wps">
            <w:drawing>
              <wp:anchor distT="0" distB="0" distL="114300" distR="114300" simplePos="0" relativeHeight="125829471" behindDoc="0" locked="0" layoutInCell="1" allowOverlap="1">
                <wp:simplePos x="0" y="0"/>
                <wp:positionH relativeFrom="margin">
                  <wp:posOffset>4370705</wp:posOffset>
                </wp:positionH>
                <wp:positionV relativeFrom="paragraph">
                  <wp:posOffset>2999105</wp:posOffset>
                </wp:positionV>
                <wp:extent cx="1139825" cy="514985"/>
                <wp:wrapSquare wrapText="left"/>
                <wp:docPr id="330" name="Shape 330"/>
                <a:graphic xmlns:a="http://schemas.openxmlformats.org/drawingml/2006/main">
                  <a:graphicData uri="http://schemas.microsoft.com/office/word/2010/wordprocessingShape">
                    <wps:wsp>
                      <wps:cNvSpPr txBox="1"/>
                      <wps:spPr>
                        <a:xfrm>
                          <a:ext cx="1139825" cy="514985"/>
                        </a:xfrm>
                        <a:prstGeom prst="rect"/>
                        <a:solidFill>
                          <a:srgbClr val="F7FCFF"/>
                        </a:solidFill>
                      </wps:spPr>
                      <wps:txbx>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wps:txbx>
                      <wps:bodyPr lIns="0" tIns="0" rIns="0" bIns="0">
                        <a:noAutoFit/>
                      </wps:bodyPr>
                    </wps:wsp>
                  </a:graphicData>
                </a:graphic>
              </wp:anchor>
            </w:drawing>
          </mc:Choice>
          <mc:Fallback>
            <w:pict>
              <v:shape id="_x0000_s1356" type="#_x0000_t202" style="position:absolute;margin-left:344.15000000000003pt;margin-top:236.15000000000001pt;width:89.75pt;height:40.550000000000004pt;z-index:-125829282;mso-wrap-distance-left:9.pt;mso-wrap-distance-right:9.pt;mso-position-horizontal-relative:margin" fillcolor="#F7FCFF" stroked="f">
                <v:textbox inset="0,0,0,0">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v:textbox>
                <w10:wrap type="square" side="left" anchorx="margin"/>
              </v:shape>
            </w:pict>
          </mc:Fallback>
        </mc:AlternateContent>
      </w:r>
    </w:p>
    <w:p>
      <w:pPr>
        <w:pStyle w:val="Style15"/>
        <w:keepNext/>
        <w:keepLines/>
        <w:widowControl w:val="0"/>
        <w:shd w:val="clear" w:color="auto" w:fill="auto"/>
        <w:bidi w:val="0"/>
        <w:spacing w:before="0" w:after="460" w:line="240" w:lineRule="auto"/>
        <w:ind w:left="0" w:right="0" w:firstLine="0"/>
        <w:jc w:val="left"/>
      </w:pPr>
      <w:bookmarkStart w:id="205" w:name="bookmark205"/>
      <w:r>
        <w:rPr>
          <w:rStyle w:val="CharStyle16"/>
          <w:b/>
          <w:bCs/>
        </w:rPr>
        <w:t>Obr. 6.16 Roční bilance v Konzervativním scénáři pro jednotlivé roky a kategorie zdrojů</w:t>
      </w:r>
      <w:bookmarkEnd w:id="205"/>
    </w:p>
    <w:p>
      <w:pPr>
        <w:pStyle w:val="Style37"/>
        <w:keepNext w:val="0"/>
        <w:keepLines w:val="0"/>
        <w:widowControl w:val="0"/>
        <w:shd w:val="clear" w:color="auto" w:fill="auto"/>
        <w:bidi w:val="0"/>
        <w:spacing w:before="0" w:after="160" w:line="240" w:lineRule="auto"/>
        <w:ind w:left="0" w:right="0" w:firstLine="300"/>
        <w:jc w:val="both"/>
        <w:rPr>
          <w:sz w:val="12"/>
          <w:szCs w:val="12"/>
        </w:rPr>
      </w:pPr>
      <w:r>
        <w:rPr>
          <w:rStyle w:val="CharStyle38"/>
          <w:b/>
          <w:bCs/>
          <w:color w:val="006AB4"/>
          <w:sz w:val="12"/>
          <w:szCs w:val="12"/>
        </w:rPr>
        <w:t>100 000</w:t>
      </w:r>
    </w:p>
    <w:p>
      <w:pPr>
        <w:pStyle w:val="Style37"/>
        <w:keepNext w:val="0"/>
        <w:keepLines w:val="0"/>
        <w:widowControl w:val="0"/>
        <w:shd w:val="clear" w:color="auto" w:fill="auto"/>
        <w:bidi w:val="0"/>
        <w:spacing w:before="0" w:after="160" w:line="240" w:lineRule="auto"/>
        <w:ind w:left="0" w:right="0" w:firstLine="380"/>
        <w:jc w:val="both"/>
        <w:rPr>
          <w:sz w:val="12"/>
          <w:szCs w:val="12"/>
        </w:rPr>
      </w:pPr>
      <w:r>
        <w:rPr>
          <w:rStyle w:val="CharStyle38"/>
          <w:b/>
          <w:bCs/>
          <w:color w:val="006AB4"/>
          <w:sz w:val="12"/>
          <w:szCs w:val="12"/>
        </w:rPr>
        <w:t>90 000</w:t>
      </w:r>
    </w:p>
    <w:p>
      <w:pPr>
        <w:pStyle w:val="Style37"/>
        <w:keepNext w:val="0"/>
        <w:keepLines w:val="0"/>
        <w:widowControl w:val="0"/>
        <w:shd w:val="clear" w:color="auto" w:fill="auto"/>
        <w:bidi w:val="0"/>
        <w:spacing w:before="0" w:after="160" w:line="240" w:lineRule="auto"/>
        <w:ind w:left="0" w:right="0" w:firstLine="380"/>
        <w:jc w:val="both"/>
        <w:rPr>
          <w:sz w:val="12"/>
          <w:szCs w:val="12"/>
        </w:rPr>
      </w:pPr>
      <w:r>
        <w:rPr>
          <w:rStyle w:val="CharStyle38"/>
          <w:b/>
          <w:bCs/>
          <w:color w:val="006AB4"/>
          <w:sz w:val="12"/>
          <w:szCs w:val="12"/>
        </w:rPr>
        <w:t>80 000</w:t>
      </w:r>
    </w:p>
    <w:p>
      <w:pPr>
        <w:pStyle w:val="Style37"/>
        <w:keepNext w:val="0"/>
        <w:keepLines w:val="0"/>
        <w:widowControl w:val="0"/>
        <w:shd w:val="clear" w:color="auto" w:fill="auto"/>
        <w:tabs>
          <w:tab w:pos="748" w:val="right"/>
          <w:tab w:pos="959" w:val="right"/>
        </w:tabs>
        <w:bidi w:val="0"/>
        <w:spacing w:before="0" w:after="0" w:line="240" w:lineRule="auto"/>
        <w:ind w:left="0" w:right="0" w:firstLine="0"/>
        <w:jc w:val="both"/>
        <w:rPr>
          <w:sz w:val="12"/>
          <w:szCs w:val="12"/>
        </w:rPr>
      </w:pPr>
      <w:r>
        <w:rPr>
          <w:rStyle w:val="CharStyle38"/>
          <w:b/>
          <w:bCs/>
          <w:color w:val="006AB4"/>
          <w:sz w:val="12"/>
          <w:szCs w:val="12"/>
        </w:rPr>
        <w:t>2</w:t>
        <w:tab/>
        <w:t>70</w:t>
        <w:tab/>
        <w:t>000</w:t>
      </w:r>
    </w:p>
    <w:p>
      <w:pPr>
        <w:pStyle w:val="Style37"/>
        <w:keepNext w:val="0"/>
        <w:keepLines w:val="0"/>
        <w:widowControl w:val="0"/>
        <w:shd w:val="clear" w:color="auto" w:fill="auto"/>
        <w:bidi w:val="0"/>
        <w:spacing w:before="0" w:after="0" w:line="240" w:lineRule="auto"/>
        <w:ind w:left="0" w:right="0" w:firstLine="0"/>
        <w:jc w:val="left"/>
        <w:rPr>
          <w:sz w:val="12"/>
          <w:szCs w:val="12"/>
        </w:rPr>
      </w:pPr>
      <w:r>
        <w:rPr>
          <w:rStyle w:val="CharStyle38"/>
          <w:b/>
          <w:bCs/>
          <w:color w:val="006AB4"/>
          <w:sz w:val="12"/>
          <w:szCs w:val="12"/>
        </w:rPr>
        <w:t>§</w:t>
      </w:r>
    </w:p>
    <w:p>
      <w:pPr>
        <w:pStyle w:val="Style37"/>
        <w:keepNext w:val="0"/>
        <w:keepLines w:val="0"/>
        <w:widowControl w:val="0"/>
        <w:shd w:val="clear" w:color="auto" w:fill="auto"/>
        <w:tabs>
          <w:tab w:pos="748" w:val="right"/>
          <w:tab w:pos="959" w:val="right"/>
        </w:tabs>
        <w:bidi w:val="0"/>
        <w:spacing w:before="0" w:after="160" w:line="226" w:lineRule="auto"/>
        <w:ind w:left="0" w:right="0" w:firstLine="0"/>
        <w:jc w:val="both"/>
        <w:rPr>
          <w:sz w:val="12"/>
          <w:szCs w:val="12"/>
        </w:rPr>
      </w:pPr>
      <w:r>
        <w:rPr>
          <w:rStyle w:val="CharStyle38"/>
          <w:b/>
          <w:bCs/>
          <w:color w:val="006AB4"/>
          <w:sz w:val="12"/>
          <w:szCs w:val="12"/>
        </w:rPr>
        <w:t>£</w:t>
        <w:tab/>
        <w:t>60</w:t>
        <w:tab/>
        <w:t>000</w:t>
      </w:r>
    </w:p>
    <w:p>
      <w:pPr>
        <w:pStyle w:val="Style37"/>
        <w:keepNext w:val="0"/>
        <w:keepLines w:val="0"/>
        <w:widowControl w:val="0"/>
        <w:shd w:val="clear" w:color="auto" w:fill="auto"/>
        <w:tabs>
          <w:tab w:pos="748" w:val="right"/>
        </w:tabs>
        <w:bidi w:val="0"/>
        <w:spacing w:before="0" w:after="160" w:line="240" w:lineRule="auto"/>
        <w:ind w:left="0" w:right="0" w:firstLine="0"/>
        <w:jc w:val="both"/>
        <w:rPr>
          <w:sz w:val="12"/>
          <w:szCs w:val="12"/>
        </w:rPr>
      </w:pPr>
      <w:r>
        <w:rPr>
          <w:rStyle w:val="CharStyle38"/>
          <w:b/>
          <w:bCs/>
          <w:color w:val="006AB4"/>
          <w:sz w:val="12"/>
          <w:szCs w:val="12"/>
        </w:rPr>
        <w:t>o</w:t>
        <w:tab/>
        <w:t>50 000</w:t>
      </w:r>
    </w:p>
    <w:p>
      <w:pPr>
        <w:pStyle w:val="Style37"/>
        <w:keepNext w:val="0"/>
        <w:keepLines w:val="0"/>
        <w:widowControl w:val="0"/>
        <w:shd w:val="clear" w:color="auto" w:fill="auto"/>
        <w:tabs>
          <w:tab w:pos="748" w:val="right"/>
        </w:tabs>
        <w:bidi w:val="0"/>
        <w:spacing w:before="0" w:after="100" w:line="240" w:lineRule="auto"/>
        <w:ind w:left="0" w:right="0" w:firstLine="0"/>
        <w:jc w:val="both"/>
        <w:rPr>
          <w:sz w:val="12"/>
          <w:szCs w:val="12"/>
        </w:rPr>
      </w:pPr>
      <w:r>
        <w:rPr>
          <w:rStyle w:val="CharStyle38"/>
          <w:b/>
          <w:bCs/>
          <w:color w:val="006AB4"/>
          <w:sz w:val="12"/>
          <w:szCs w:val="12"/>
        </w:rPr>
        <w:t>o</w:t>
        <w:tab/>
        <w:t>40 000</w:t>
      </w:r>
    </w:p>
    <w:p>
      <w:pPr>
        <w:pStyle w:val="Style37"/>
        <w:keepNext w:val="0"/>
        <w:keepLines w:val="0"/>
        <w:widowControl w:val="0"/>
        <w:shd w:val="clear" w:color="auto" w:fill="auto"/>
        <w:tabs>
          <w:tab w:pos="748" w:val="right"/>
        </w:tabs>
        <w:bidi w:val="0"/>
        <w:spacing w:before="0" w:after="160" w:line="240" w:lineRule="auto"/>
        <w:ind w:left="0" w:right="0" w:firstLine="0"/>
        <w:jc w:val="both"/>
        <w:rPr>
          <w:sz w:val="12"/>
          <w:szCs w:val="12"/>
        </w:rPr>
      </w:pPr>
      <w:r>
        <w:rPr>
          <w:rStyle w:val="CharStyle38"/>
          <w:b/>
          <w:bCs/>
          <w:color w:val="006AB4"/>
          <w:sz w:val="12"/>
          <w:szCs w:val="12"/>
        </w:rPr>
        <w:t>Ž</w:t>
        <w:tab/>
        <w:t>30 000</w:t>
      </w:r>
    </w:p>
    <w:p>
      <w:pPr>
        <w:pStyle w:val="Style37"/>
        <w:keepNext w:val="0"/>
        <w:keepLines w:val="0"/>
        <w:widowControl w:val="0"/>
        <w:shd w:val="clear" w:color="auto" w:fill="auto"/>
        <w:bidi w:val="0"/>
        <w:spacing w:before="0" w:after="160" w:line="240" w:lineRule="auto"/>
        <w:ind w:left="0" w:right="0" w:firstLine="380"/>
        <w:jc w:val="both"/>
        <w:rPr>
          <w:sz w:val="12"/>
          <w:szCs w:val="12"/>
        </w:rPr>
      </w:pPr>
      <w:r>
        <w:rPr>
          <w:rStyle w:val="CharStyle38"/>
          <w:b/>
          <w:bCs/>
          <w:color w:val="006AB4"/>
          <w:sz w:val="12"/>
          <w:szCs w:val="12"/>
        </w:rPr>
        <w:t>20 000</w:t>
      </w:r>
    </w:p>
    <w:p>
      <w:pPr>
        <w:pStyle w:val="Style37"/>
        <w:keepNext w:val="0"/>
        <w:keepLines w:val="0"/>
        <w:widowControl w:val="0"/>
        <w:shd w:val="clear" w:color="auto" w:fill="auto"/>
        <w:bidi w:val="0"/>
        <w:spacing w:before="0" w:after="160" w:line="240" w:lineRule="auto"/>
        <w:ind w:left="0" w:right="0" w:firstLine="380"/>
        <w:jc w:val="both"/>
        <w:rPr>
          <w:sz w:val="12"/>
          <w:szCs w:val="12"/>
        </w:rPr>
      </w:pPr>
      <w:r>
        <w:rPr>
          <w:rStyle w:val="CharStyle38"/>
          <w:b/>
          <w:bCs/>
          <w:color w:val="006AB4"/>
          <w:sz w:val="12"/>
          <w:szCs w:val="12"/>
        </w:rPr>
        <w:t>10 000</w:t>
      </w:r>
    </w:p>
    <w:p>
      <w:pPr>
        <w:pStyle w:val="Style37"/>
        <w:keepNext w:val="0"/>
        <w:keepLines w:val="0"/>
        <w:widowControl w:val="0"/>
        <w:shd w:val="clear" w:color="auto" w:fill="auto"/>
        <w:bidi w:val="0"/>
        <w:spacing w:before="0" w:after="760" w:line="240" w:lineRule="auto"/>
        <w:ind w:left="0" w:right="0" w:firstLine="720"/>
        <w:jc w:val="both"/>
        <w:rPr>
          <w:sz w:val="12"/>
          <w:szCs w:val="12"/>
        </w:rPr>
      </w:pPr>
      <w:r>
        <w:rPr>
          <w:rStyle w:val="CharStyle38"/>
          <w:b/>
          <w:bCs/>
          <w:color w:val="006AB4"/>
          <w:sz w:val="12"/>
          <w:szCs w:val="12"/>
        </w:rPr>
        <w:t>0</w:t>
      </w:r>
    </w:p>
    <w:p>
      <w:pPr>
        <w:pStyle w:val="Style75"/>
        <w:keepNext w:val="0"/>
        <w:keepLines w:val="0"/>
        <w:widowControl w:val="0"/>
        <w:shd w:val="clear" w:color="auto" w:fill="auto"/>
        <w:bidi w:val="0"/>
        <w:spacing w:before="0" w:after="60" w:line="240" w:lineRule="auto"/>
        <w:ind w:left="0" w:right="0" w:firstLine="540"/>
        <w:jc w:val="left"/>
      </w:pPr>
      <w:r>
        <w:rPr>
          <w:rStyle w:val="CharStyle76"/>
          <w:color w:val="1BB8ED"/>
        </w:rPr>
        <w:t xml:space="preserve">| </w:t>
      </w:r>
      <w:r>
        <w:rPr>
          <w:rStyle w:val="CharStyle76"/>
        </w:rPr>
        <w:t>Vodní a přečerpávací elektrárny</w:t>
      </w:r>
    </w:p>
    <w:p>
      <w:pPr>
        <w:pStyle w:val="Style75"/>
        <w:keepNext w:val="0"/>
        <w:keepLines w:val="0"/>
        <w:widowControl w:val="0"/>
        <w:shd w:val="clear" w:color="auto" w:fill="auto"/>
        <w:bidi w:val="0"/>
        <w:spacing w:before="0" w:after="60" w:line="240" w:lineRule="auto"/>
        <w:ind w:left="0" w:right="0" w:firstLine="540"/>
        <w:jc w:val="left"/>
      </w:pPr>
      <w:r>
        <w:rPr>
          <w:rStyle w:val="CharStyle76"/>
          <w:color w:val="FED851"/>
        </w:rPr>
        <w:t xml:space="preserve">| </w:t>
      </w:r>
      <w:r>
        <w:rPr>
          <w:rStyle w:val="CharStyle76"/>
        </w:rPr>
        <w:t>Fotovoltaické elektrárny</w:t>
      </w:r>
    </w:p>
    <w:p>
      <w:pPr>
        <w:pStyle w:val="Style75"/>
        <w:keepNext w:val="0"/>
        <w:keepLines w:val="0"/>
        <w:widowControl w:val="0"/>
        <w:shd w:val="clear" w:color="auto" w:fill="auto"/>
        <w:bidi w:val="0"/>
        <w:spacing w:before="0" w:after="60" w:line="240" w:lineRule="auto"/>
        <w:ind w:left="0" w:right="0" w:firstLine="540"/>
        <w:jc w:val="left"/>
      </w:pPr>
      <w:r>
        <w:rPr>
          <w:rStyle w:val="CharStyle76"/>
          <w:color w:val="84539C"/>
        </w:rPr>
        <w:t xml:space="preserve">| </w:t>
      </w:r>
      <w:r>
        <w:rPr>
          <w:rStyle w:val="CharStyle76"/>
        </w:rPr>
        <w:t>Větrné elektrárny</w:t>
      </w:r>
    </w:p>
    <w:p>
      <w:pPr>
        <w:pStyle w:val="Style75"/>
        <w:keepNext w:val="0"/>
        <w:keepLines w:val="0"/>
        <w:widowControl w:val="0"/>
        <w:shd w:val="clear" w:color="auto" w:fill="auto"/>
        <w:bidi w:val="0"/>
        <w:spacing w:before="0" w:after="520" w:line="240" w:lineRule="auto"/>
        <w:ind w:left="0" w:right="0" w:firstLine="540"/>
        <w:jc w:val="left"/>
      </w:pPr>
      <w:r>
        <w:rPr>
          <w:rStyle w:val="CharStyle76"/>
          <w:color w:val="27A851"/>
        </w:rPr>
        <w:t xml:space="preserve">| </w:t>
      </w:r>
      <w:r>
        <w:rPr>
          <w:rStyle w:val="CharStyle76"/>
        </w:rPr>
        <w:t>Ostatní OZE</w:t>
      </w:r>
    </w:p>
    <w:tbl>
      <w:tblPr>
        <w:tblOverlap w:val="never"/>
        <w:jc w:val="center"/>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Konzervativní 2040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Nedodávka</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Saldo dovozu a vývozu</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1 115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13 721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19 805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14 859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17 GWh</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248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635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2 598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3 393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3 282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3 553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4 681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8 904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10 214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10 959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1 272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1 820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2 527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3 318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3 450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3 498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3 106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3 401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3 240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8 592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12 044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12 718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24 293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7 807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1 288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bookmarkStart w:id="207" w:name="bookmark207"/>
            <w:r>
              <w:rPr>
                <w:rStyle w:val="CharStyle6"/>
                <w:rFonts w:ascii="Calibri" w:eastAsia="Calibri" w:hAnsi="Calibri" w:cs="Calibri"/>
                <w:b/>
                <w:bCs/>
                <w:color w:val="006AB4"/>
                <w:sz w:val="15"/>
                <w:szCs w:val="15"/>
              </w:rPr>
              <w:t>Jaderné elektrárny</w:t>
            </w:r>
            <w:bookmarkEnd w:id="207"/>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27 883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28 327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27 941 GWh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36 346 GWh</w:t>
            </w:r>
          </w:p>
        </w:tc>
      </w:tr>
    </w:tbl>
    <w:p>
      <w:pPr>
        <w:sectPr>
          <w:headerReference w:type="default" r:id="rId227"/>
          <w:footerReference w:type="default" r:id="rId228"/>
          <w:headerReference w:type="even" r:id="rId229"/>
          <w:footerReference w:type="even" r:id="rId230"/>
          <w:footnotePr>
            <w:pos w:val="pageBottom"/>
            <w:numFmt w:val="decimal"/>
            <w:numRestart w:val="continuous"/>
          </w:footnotePr>
          <w:pgSz w:w="12142" w:h="17375"/>
          <w:pgMar w:top="2159" w:right="839" w:bottom="1799" w:left="839" w:header="0" w:footer="3" w:gutter="672"/>
          <w:cols w:space="720"/>
          <w:noEndnote/>
          <w:rtlGutter w:val="0"/>
          <w:docGrid w:linePitch="360"/>
        </w:sectPr>
      </w:pPr>
    </w:p>
    <w:p>
      <w:pPr>
        <w:widowControl w:val="0"/>
        <w:spacing w:line="1" w:lineRule="exact"/>
      </w:pPr>
      <w:r>
        <w:drawing>
          <wp:anchor distT="0" distB="932815" distL="0" distR="0" simplePos="0" relativeHeight="125829473" behindDoc="0" locked="0" layoutInCell="1" allowOverlap="1">
            <wp:simplePos x="0" y="0"/>
            <wp:positionH relativeFrom="margin">
              <wp:posOffset>12065</wp:posOffset>
            </wp:positionH>
            <wp:positionV relativeFrom="paragraph">
              <wp:posOffset>0</wp:posOffset>
            </wp:positionV>
            <wp:extent cx="6193790" cy="2334895"/>
            <wp:wrapTopAndBottom/>
            <wp:docPr id="340" name="Shape 340"/>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231"/>
                    <a:stretch/>
                  </pic:blipFill>
                  <pic:spPr>
                    <a:xfrm>
                      <a:ext cx="6193790" cy="2334895"/>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margin">
                  <wp:posOffset>3764280</wp:posOffset>
                </wp:positionH>
                <wp:positionV relativeFrom="paragraph">
                  <wp:posOffset>2338070</wp:posOffset>
                </wp:positionV>
                <wp:extent cx="414655" cy="121920"/>
                <wp:wrapNone/>
                <wp:docPr id="342" name="Shape 342"/>
                <a:graphic xmlns:a="http://schemas.openxmlformats.org/drawingml/2006/main">
                  <a:graphicData uri="http://schemas.microsoft.com/office/word/2010/wordprocessingShape">
                    <wps:wsp>
                      <wps:cNvSpPr txBox="1"/>
                      <wps:spPr>
                        <a:xfrm>
                          <a:ext cx="414655"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wps:txbx>
                      <wps:bodyPr lIns="0" tIns="0" rIns="0" bIns="0">
                        <a:noAutoFit/>
                      </wps:bodyPr>
                    </wps:wsp>
                  </a:graphicData>
                </a:graphic>
              </wp:anchor>
            </w:drawing>
          </mc:Choice>
          <mc:Fallback>
            <w:pict>
              <v:shape id="_x0000_s1368" type="#_x0000_t202" style="position:absolute;margin-left:296.40000000000003pt;margin-top:184.09999999999999pt;width:32.649999999999999pt;height:9.5999999999999996pt;z-index:25165779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v:textbox>
                <w10:wrap anchorx="margin"/>
              </v:shape>
            </w:pict>
          </mc:Fallback>
        </mc:AlternateContent>
      </w:r>
      <w:r>
        <mc:AlternateContent>
          <mc:Choice Requires="wps">
            <w:drawing>
              <wp:anchor distT="2675890" distB="457835" distL="0" distR="0" simplePos="0" relativeHeight="125829474" behindDoc="0" locked="0" layoutInCell="1" allowOverlap="1">
                <wp:simplePos x="0" y="0"/>
                <wp:positionH relativeFrom="margin">
                  <wp:posOffset>795655</wp:posOffset>
                </wp:positionH>
                <wp:positionV relativeFrom="paragraph">
                  <wp:posOffset>2675890</wp:posOffset>
                </wp:positionV>
                <wp:extent cx="941705" cy="133985"/>
                <wp:wrapTopAndBottom/>
                <wp:docPr id="344" name="Shape 344"/>
                <a:graphic xmlns:a="http://schemas.openxmlformats.org/drawingml/2006/main">
                  <a:graphicData uri="http://schemas.microsoft.com/office/word/2010/wordprocessingShape">
                    <wps:wsp>
                      <wps:cNvSpPr txBox="1"/>
                      <wps:spPr>
                        <a:xfrm>
                          <a:ext cx="941705"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2025</w:t>
                            </w:r>
                          </w:p>
                        </w:txbxContent>
                      </wps:txbx>
                      <wps:bodyPr wrap="none" lIns="0" tIns="0" rIns="0" bIns="0">
                        <a:noAutoFit/>
                      </wps:bodyPr>
                    </wps:wsp>
                  </a:graphicData>
                </a:graphic>
              </wp:anchor>
            </w:drawing>
          </mc:Choice>
          <mc:Fallback>
            <w:pict>
              <v:shape id="_x0000_s1370" type="#_x0000_t202" style="position:absolute;margin-left:62.649999999999999pt;margin-top:210.70000000000002pt;width:74.150000000000006pt;height:10.550000000000001pt;z-index:-125829279;mso-wrap-distance-left:0;mso-wrap-distance-top:210.70000000000002pt;mso-wrap-distance-right:0;mso-wrap-distance-bottom:36.050000000000004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2025</w:t>
                      </w:r>
                    </w:p>
                  </w:txbxContent>
                </v:textbox>
                <w10:wrap type="topAndBottom" anchorx="margin"/>
              </v:shape>
            </w:pict>
          </mc:Fallback>
        </mc:AlternateContent>
      </w:r>
      <w:r>
        <mc:AlternateContent>
          <mc:Choice Requires="wps">
            <w:drawing>
              <wp:anchor distT="2675890" distB="457835" distL="0" distR="0" simplePos="0" relativeHeight="125829476" behindDoc="0" locked="0" layoutInCell="1" allowOverlap="1">
                <wp:simplePos x="0" y="0"/>
                <wp:positionH relativeFrom="margin">
                  <wp:posOffset>2112010</wp:posOffset>
                </wp:positionH>
                <wp:positionV relativeFrom="paragraph">
                  <wp:posOffset>2675890</wp:posOffset>
                </wp:positionV>
                <wp:extent cx="944880" cy="133985"/>
                <wp:wrapTopAndBottom/>
                <wp:docPr id="346" name="Shape 346"/>
                <a:graphic xmlns:a="http://schemas.openxmlformats.org/drawingml/2006/main">
                  <a:graphicData uri="http://schemas.microsoft.com/office/word/2010/wordprocessingShape">
                    <wps:wsp>
                      <wps:cNvSpPr txBox="1"/>
                      <wps:spPr>
                        <a:xfrm>
                          <a:ext cx="944880"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2030</w:t>
                            </w:r>
                          </w:p>
                        </w:txbxContent>
                      </wps:txbx>
                      <wps:bodyPr wrap="none" lIns="0" tIns="0" rIns="0" bIns="0">
                        <a:noAutoFit/>
                      </wps:bodyPr>
                    </wps:wsp>
                  </a:graphicData>
                </a:graphic>
              </wp:anchor>
            </w:drawing>
          </mc:Choice>
          <mc:Fallback>
            <w:pict>
              <v:shape id="_x0000_s1372" type="#_x0000_t202" style="position:absolute;margin-left:166.30000000000001pt;margin-top:210.70000000000002pt;width:74.400000000000006pt;height:10.550000000000001pt;z-index:-125829277;mso-wrap-distance-left:0;mso-wrap-distance-top:210.70000000000002pt;mso-wrap-distance-right:0;mso-wrap-distance-bottom:36.050000000000004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2030</w:t>
                      </w:r>
                    </w:p>
                  </w:txbxContent>
                </v:textbox>
                <w10:wrap type="topAndBottom" anchorx="margin"/>
              </v:shape>
            </w:pict>
          </mc:Fallback>
        </mc:AlternateContent>
      </w:r>
      <w:r>
        <mc:AlternateContent>
          <mc:Choice Requires="wps">
            <w:drawing>
              <wp:anchor distT="2675890" distB="457835" distL="0" distR="0" simplePos="0" relativeHeight="125829478" behindDoc="0" locked="0" layoutInCell="1" allowOverlap="1">
                <wp:simplePos x="0" y="0"/>
                <wp:positionH relativeFrom="margin">
                  <wp:posOffset>3429000</wp:posOffset>
                </wp:positionH>
                <wp:positionV relativeFrom="paragraph">
                  <wp:posOffset>2675890</wp:posOffset>
                </wp:positionV>
                <wp:extent cx="941705" cy="133985"/>
                <wp:wrapTopAndBottom/>
                <wp:docPr id="348" name="Shape 348"/>
                <a:graphic xmlns:a="http://schemas.openxmlformats.org/drawingml/2006/main">
                  <a:graphicData uri="http://schemas.microsoft.com/office/word/2010/wordprocessingShape">
                    <wps:wsp>
                      <wps:cNvSpPr txBox="1"/>
                      <wps:spPr>
                        <a:xfrm>
                          <a:ext cx="941705"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2035</w:t>
                            </w:r>
                          </w:p>
                        </w:txbxContent>
                      </wps:txbx>
                      <wps:bodyPr wrap="none" lIns="0" tIns="0" rIns="0" bIns="0">
                        <a:noAutoFit/>
                      </wps:bodyPr>
                    </wps:wsp>
                  </a:graphicData>
                </a:graphic>
              </wp:anchor>
            </w:drawing>
          </mc:Choice>
          <mc:Fallback>
            <w:pict>
              <v:shape id="_x0000_s1374" type="#_x0000_t202" style="position:absolute;margin-left:270.pt;margin-top:210.70000000000002pt;width:74.150000000000006pt;height:10.550000000000001pt;z-index:-125829275;mso-wrap-distance-left:0;mso-wrap-distance-top:210.70000000000002pt;mso-wrap-distance-right:0;mso-wrap-distance-bottom:36.050000000000004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2035</w:t>
                      </w:r>
                    </w:p>
                  </w:txbxContent>
                </v:textbox>
                <w10:wrap type="topAndBottom" anchorx="margin"/>
              </v:shape>
            </w:pict>
          </mc:Fallback>
        </mc:AlternateContent>
      </w:r>
      <w:r>
        <mc:AlternateContent>
          <mc:Choice Requires="wps">
            <w:drawing>
              <wp:anchor distT="2675890" distB="457835" distL="0" distR="0" simplePos="0" relativeHeight="125829480" behindDoc="0" locked="0" layoutInCell="1" allowOverlap="1">
                <wp:simplePos x="0" y="0"/>
                <wp:positionH relativeFrom="margin">
                  <wp:posOffset>4745355</wp:posOffset>
                </wp:positionH>
                <wp:positionV relativeFrom="paragraph">
                  <wp:posOffset>2675890</wp:posOffset>
                </wp:positionV>
                <wp:extent cx="944880" cy="133985"/>
                <wp:wrapTopAndBottom/>
                <wp:docPr id="350" name="Shape 350"/>
                <a:graphic xmlns:a="http://schemas.openxmlformats.org/drawingml/2006/main">
                  <a:graphicData uri="http://schemas.microsoft.com/office/word/2010/wordprocessingShape">
                    <wps:wsp>
                      <wps:cNvSpPr txBox="1"/>
                      <wps:spPr>
                        <a:xfrm>
                          <a:ext cx="944880"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2040</w:t>
                            </w:r>
                          </w:p>
                        </w:txbxContent>
                      </wps:txbx>
                      <wps:bodyPr wrap="none" lIns="0" tIns="0" rIns="0" bIns="0">
                        <a:noAutoFit/>
                      </wps:bodyPr>
                    </wps:wsp>
                  </a:graphicData>
                </a:graphic>
              </wp:anchor>
            </w:drawing>
          </mc:Choice>
          <mc:Fallback>
            <w:pict>
              <v:shape id="_x0000_s1376" type="#_x0000_t202" style="position:absolute;margin-left:373.65000000000003pt;margin-top:210.70000000000002pt;width:74.400000000000006pt;height:10.550000000000001pt;z-index:-125829273;mso-wrap-distance-left:0;mso-wrap-distance-top:210.70000000000002pt;mso-wrap-distance-right:0;mso-wrap-distance-bottom:36.050000000000004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2040</w:t>
                      </w:r>
                    </w:p>
                  </w:txbxContent>
                </v:textbox>
                <w10:wrap type="topAndBottom" anchorx="margin"/>
              </v:shape>
            </w:pict>
          </mc:Fallback>
        </mc:AlternateContent>
      </w:r>
    </w:p>
    <w:p>
      <w:pPr>
        <w:pStyle w:val="Style15"/>
        <w:keepNext/>
        <w:keepLines/>
        <w:widowControl w:val="0"/>
        <w:shd w:val="clear" w:color="auto" w:fill="auto"/>
        <w:bidi w:val="0"/>
        <w:spacing w:before="0" w:after="0" w:line="300" w:lineRule="auto"/>
        <w:ind w:left="0" w:right="0" w:firstLine="0"/>
        <w:jc w:val="left"/>
        <w:sectPr>
          <w:headerReference w:type="default" r:id="rId233"/>
          <w:footerReference w:type="default" r:id="rId234"/>
          <w:headerReference w:type="even" r:id="rId235"/>
          <w:footerReference w:type="even" r:id="rId236"/>
          <w:footnotePr>
            <w:pos w:val="pageBottom"/>
            <w:numFmt w:val="decimal"/>
            <w:numRestart w:val="continuous"/>
          </w:footnotePr>
          <w:pgSz w:w="12142" w:h="17375"/>
          <w:pgMar w:top="1910" w:right="839" w:bottom="2376" w:left="839" w:header="0" w:footer="3" w:gutter="1114"/>
          <w:cols w:space="720"/>
          <w:noEndnote/>
          <w:rtlGutter w:val="0"/>
          <w:docGrid w:linePitch="360"/>
        </w:sectPr>
      </w:pPr>
      <w:bookmarkStart w:id="208" w:name="bookmark208"/>
      <w:r>
        <w:rPr>
          <w:rStyle w:val="CharStyle16"/>
          <w:b/>
          <w:bCs/>
        </w:rPr>
        <w:t>Obr. 6.18 Celková roční a) přeshraniční výměna a b) zmařená energie v Konzervativním scénáři v jednotlivých letech</w:t>
      </w:r>
      <w:bookmarkEnd w:id="208"/>
    </w:p>
    <w:p>
      <w:pPr>
        <w:widowControl w:val="0"/>
        <w:spacing w:line="99" w:lineRule="exact"/>
        <w:rPr>
          <w:sz w:val="8"/>
          <w:szCs w:val="8"/>
        </w:rPr>
      </w:pPr>
    </w:p>
    <w:p>
      <w:pPr>
        <w:widowControl w:val="0"/>
        <w:spacing w:line="1" w:lineRule="exact"/>
        <w:sectPr>
          <w:footnotePr>
            <w:pos w:val="pageBottom"/>
            <w:numFmt w:val="decimal"/>
            <w:numRestart w:val="continuous"/>
          </w:footnotePr>
          <w:type w:val="continuous"/>
          <w:pgSz w:w="12142" w:h="17375"/>
          <w:pgMar w:top="1511" w:right="0" w:bottom="786" w:left="0" w:header="0" w:footer="3" w:gutter="0"/>
          <w:cols w:space="720"/>
          <w:noEndnote/>
          <w:rtlGutter w:val="0"/>
          <w:docGrid w:linePitch="360"/>
        </w:sectPr>
      </w:pPr>
    </w:p>
    <w:p>
      <w:pPr>
        <w:pStyle w:val="Style2"/>
        <w:keepNext w:val="0"/>
        <w:keepLines w:val="0"/>
        <w:framePr w:w="187" w:h="182" w:wrap="none" w:vAnchor="text" w:hAnchor="page" w:x="1459" w:y="21"/>
        <w:widowControl w:val="0"/>
        <w:shd w:val="clear" w:color="auto" w:fill="auto"/>
        <w:bidi w:val="0"/>
        <w:spacing w:before="0" w:after="0" w:line="240" w:lineRule="auto"/>
        <w:ind w:left="0" w:right="0" w:firstLine="0"/>
        <w:jc w:val="left"/>
        <w:rPr>
          <w:sz w:val="12"/>
          <w:szCs w:val="12"/>
        </w:rPr>
      </w:pPr>
      <w:r>
        <w:rPr>
          <w:rStyle w:val="CharStyle3"/>
          <w:b/>
          <w:bCs/>
          <w:sz w:val="12"/>
          <w:szCs w:val="12"/>
        </w:rPr>
        <w:t>30</w:t>
      </w:r>
    </w:p>
    <w:p>
      <w:pPr>
        <w:pStyle w:val="Style2"/>
        <w:keepNext w:val="0"/>
        <w:keepLines w:val="0"/>
        <w:framePr w:w="187" w:h="182" w:wrap="none" w:vAnchor="text" w:hAnchor="page" w:x="1459" w:y="371"/>
        <w:widowControl w:val="0"/>
        <w:shd w:val="clear" w:color="auto" w:fill="auto"/>
        <w:bidi w:val="0"/>
        <w:spacing w:before="0" w:after="0" w:line="240" w:lineRule="auto"/>
        <w:ind w:left="0" w:right="0" w:firstLine="0"/>
        <w:jc w:val="left"/>
        <w:rPr>
          <w:sz w:val="12"/>
          <w:szCs w:val="12"/>
        </w:rPr>
      </w:pPr>
      <w:r>
        <w:rPr>
          <w:rStyle w:val="CharStyle3"/>
          <w:b/>
          <w:bCs/>
          <w:sz w:val="12"/>
          <w:szCs w:val="12"/>
        </w:rPr>
        <w:t>25</w:t>
      </w:r>
    </w:p>
    <w:p>
      <w:pPr>
        <w:pStyle w:val="Style2"/>
        <w:keepNext w:val="0"/>
        <w:keepLines w:val="0"/>
        <w:framePr w:w="154" w:h="206" w:wrap="none" w:vAnchor="text" w:hAnchor="page" w:x="845" w:y="1312"/>
        <w:widowControl w:val="0"/>
        <w:shd w:val="clear" w:color="auto" w:fill="auto"/>
        <w:bidi w:val="0"/>
        <w:spacing w:before="0" w:after="0" w:line="240" w:lineRule="auto"/>
        <w:ind w:left="0" w:right="0" w:firstLine="0"/>
        <w:jc w:val="left"/>
        <w:rPr>
          <w:sz w:val="12"/>
          <w:szCs w:val="12"/>
        </w:rPr>
      </w:pPr>
      <w:r>
        <w:rPr>
          <w:rStyle w:val="CharStyle3"/>
          <w:b/>
          <w:bCs/>
          <w:sz w:val="12"/>
          <w:szCs w:val="12"/>
        </w:rPr>
        <w:t>§</w:t>
      </w:r>
    </w:p>
    <w:p>
      <w:pPr>
        <w:pStyle w:val="Style2"/>
        <w:keepNext w:val="0"/>
        <w:keepLines w:val="0"/>
        <w:framePr w:w="130" w:h="144" w:wrap="none" w:vAnchor="text" w:hAnchor="page" w:x="869" w:y="1609"/>
        <w:widowControl w:val="0"/>
        <w:shd w:val="clear" w:color="auto" w:fill="auto"/>
        <w:bidi w:val="0"/>
        <w:spacing w:before="0" w:after="0" w:line="240" w:lineRule="auto"/>
        <w:ind w:left="0" w:right="0" w:firstLine="0"/>
        <w:jc w:val="left"/>
        <w:rPr>
          <w:sz w:val="11"/>
          <w:szCs w:val="11"/>
        </w:rPr>
      </w:pPr>
      <w:r>
        <w:rPr>
          <w:rStyle w:val="CharStyle3"/>
          <w:b/>
          <w:bCs/>
          <w:smallCaps/>
          <w:sz w:val="11"/>
          <w:szCs w:val="11"/>
        </w:rPr>
        <w:t>cd</w:t>
      </w:r>
    </w:p>
    <w:p>
      <w:pPr>
        <w:pStyle w:val="Style2"/>
        <w:keepNext w:val="0"/>
        <w:keepLines w:val="0"/>
        <w:framePr w:w="130" w:h="134" w:wrap="none" w:vAnchor="text" w:hAnchor="page" w:x="869" w:y="1883"/>
        <w:widowControl w:val="0"/>
        <w:shd w:val="clear" w:color="auto" w:fill="auto"/>
        <w:bidi w:val="0"/>
        <w:spacing w:before="0" w:after="0" w:line="240" w:lineRule="auto"/>
        <w:ind w:left="0" w:right="0" w:firstLine="0"/>
        <w:jc w:val="left"/>
        <w:rPr>
          <w:sz w:val="8"/>
          <w:szCs w:val="8"/>
        </w:rPr>
      </w:pPr>
      <w:r>
        <w:rPr>
          <w:rStyle w:val="CharStyle3"/>
          <w:b/>
          <w:bCs/>
          <w:sz w:val="8"/>
          <w:szCs w:val="8"/>
        </w:rPr>
        <w:t>CD</w:t>
      </w:r>
    </w:p>
    <w:p>
      <w:pPr>
        <w:pStyle w:val="Style2"/>
        <w:keepNext w:val="0"/>
        <w:keepLines w:val="0"/>
        <w:framePr w:w="235" w:h="182" w:wrap="none" w:vAnchor="text" w:hAnchor="page" w:x="1411" w:y="3169"/>
        <w:widowControl w:val="0"/>
        <w:shd w:val="clear" w:color="auto" w:fill="auto"/>
        <w:bidi w:val="0"/>
        <w:spacing w:before="0" w:after="0" w:line="240" w:lineRule="auto"/>
        <w:ind w:left="0" w:right="0" w:firstLine="0"/>
        <w:jc w:val="left"/>
        <w:rPr>
          <w:sz w:val="12"/>
          <w:szCs w:val="12"/>
        </w:rPr>
      </w:pPr>
      <w:r>
        <w:rPr>
          <w:rStyle w:val="CharStyle3"/>
          <w:b/>
          <w:bCs/>
          <w:sz w:val="12"/>
          <w:szCs w:val="12"/>
        </w:rPr>
        <w:t>-15</w:t>
      </w:r>
    </w:p>
    <w:p>
      <w:pPr>
        <w:pStyle w:val="Style2"/>
        <w:keepNext w:val="0"/>
        <w:keepLines w:val="0"/>
        <w:framePr w:w="451" w:h="211" w:wrap="none" w:vAnchor="text" w:hAnchor="page" w:x="5189" w:y="424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Saldo</w:t>
      </w:r>
    </w:p>
    <w:p>
      <w:pPr>
        <w:pStyle w:val="Style2"/>
        <w:keepNext w:val="0"/>
        <w:keepLines w:val="0"/>
        <w:framePr w:w="1598" w:h="211" w:wrap="none" w:vAnchor="text" w:hAnchor="page" w:x="7162" w:y="424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p>
      <w:pPr>
        <w:pStyle w:val="Style2"/>
        <w:keepNext w:val="0"/>
        <w:keepLines w:val="0"/>
        <w:framePr w:w="557" w:h="216" w:wrap="none" w:vAnchor="text" w:hAnchor="page" w:x="3643" w:y="424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Import</w:t>
      </w:r>
    </w:p>
    <w:p>
      <w:pPr>
        <w:pStyle w:val="Style2"/>
        <w:keepNext w:val="0"/>
        <w:keepLines w:val="0"/>
        <w:framePr w:w="331" w:h="182" w:wrap="none" w:vAnchor="text" w:hAnchor="page" w:x="2083" w:y="3380"/>
        <w:widowControl w:val="0"/>
        <w:shd w:val="clear" w:color="auto" w:fill="auto"/>
        <w:bidi w:val="0"/>
        <w:spacing w:before="0" w:after="0" w:line="240" w:lineRule="auto"/>
        <w:ind w:left="0" w:right="0" w:firstLine="0"/>
        <w:jc w:val="left"/>
        <w:rPr>
          <w:sz w:val="12"/>
          <w:szCs w:val="12"/>
        </w:rPr>
      </w:pPr>
      <w:r>
        <w:rPr>
          <w:rStyle w:val="CharStyle3"/>
          <w:b/>
          <w:bCs/>
          <w:sz w:val="12"/>
          <w:szCs w:val="12"/>
        </w:rPr>
        <w:t>2025</w:t>
      </w:r>
    </w:p>
    <w:p>
      <w:pPr>
        <w:pStyle w:val="Style75"/>
        <w:keepNext w:val="0"/>
        <w:keepLines w:val="0"/>
        <w:framePr w:w="533" w:h="216" w:wrap="none" w:vAnchor="text" w:hAnchor="page" w:x="2093" w:y="4230"/>
        <w:widowControl w:val="0"/>
        <w:shd w:val="clear" w:color="auto" w:fill="auto"/>
        <w:bidi w:val="0"/>
        <w:spacing w:before="0" w:after="0" w:line="240" w:lineRule="auto"/>
        <w:ind w:left="0" w:right="0" w:firstLine="0"/>
        <w:jc w:val="left"/>
      </w:pPr>
      <w:r>
        <w:rPr>
          <w:rStyle w:val="CharStyle76"/>
        </w:rPr>
        <w:t>Export</w:t>
      </w:r>
    </w:p>
    <w:p>
      <w:pPr>
        <w:widowControl w:val="0"/>
        <w:spacing w:line="360" w:lineRule="exact"/>
      </w:pPr>
      <w:r>
        <w:drawing>
          <wp:anchor distT="0" distB="0" distL="0" distR="0" simplePos="0" relativeHeight="62914783" behindDoc="1" locked="0" layoutInCell="1" allowOverlap="1">
            <wp:simplePos x="0" y="0"/>
            <wp:positionH relativeFrom="page">
              <wp:posOffset>75565</wp:posOffset>
            </wp:positionH>
            <wp:positionV relativeFrom="paragraph">
              <wp:posOffset>3212465</wp:posOffset>
            </wp:positionV>
            <wp:extent cx="243840" cy="1334770"/>
            <wp:wrapNone/>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237"/>
                    <a:stretch/>
                  </pic:blipFill>
                  <pic:spPr>
                    <a:xfrm>
                      <a:ext cx="243840" cy="1334770"/>
                    </a:xfrm>
                    <a:prstGeom prst="rect"/>
                  </pic:spPr>
                </pic:pic>
              </a:graphicData>
            </a:graphic>
          </wp:anchor>
        </w:drawing>
      </w:r>
      <w:r>
        <w:drawing>
          <wp:anchor distT="8890" distB="0" distL="0" distR="0" simplePos="0" relativeHeight="62914784" behindDoc="1" locked="0" layoutInCell="1" allowOverlap="1">
            <wp:simplePos x="0" y="0"/>
            <wp:positionH relativeFrom="page">
              <wp:posOffset>319405</wp:posOffset>
            </wp:positionH>
            <wp:positionV relativeFrom="paragraph">
              <wp:posOffset>21590</wp:posOffset>
            </wp:positionV>
            <wp:extent cx="6431280" cy="4535170"/>
            <wp:wrapNone/>
            <wp:docPr id="366" name="Shape 366"/>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239"/>
                    <a:stretch/>
                  </pic:blipFill>
                  <pic:spPr>
                    <a:xfrm>
                      <a:ext cx="6431280" cy="4535170"/>
                    </a:xfrm>
                    <a:prstGeom prst="rect"/>
                  </pic:spPr>
                </pic:pic>
              </a:graphicData>
            </a:graphic>
          </wp:anchor>
        </w:drawing>
      </w:r>
      <w:r>
        <w:drawing>
          <wp:anchor distT="0" distB="402590" distL="0" distR="0" simplePos="0" relativeHeight="62914785" behindDoc="1" locked="0" layoutInCell="1" allowOverlap="1">
            <wp:simplePos x="0" y="0"/>
            <wp:positionH relativeFrom="page">
              <wp:posOffset>913765</wp:posOffset>
            </wp:positionH>
            <wp:positionV relativeFrom="paragraph">
              <wp:posOffset>304800</wp:posOffset>
            </wp:positionV>
            <wp:extent cx="2614930" cy="1554480"/>
            <wp:wrapNone/>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241"/>
                    <a:stretch/>
                  </pic:blipFill>
                  <pic:spPr>
                    <a:xfrm>
                      <a:ext cx="2614930" cy="1554480"/>
                    </a:xfrm>
                    <a:prstGeom prst="rect"/>
                  </pic:spPr>
                </pic:pic>
              </a:graphicData>
            </a:graphic>
          </wp:anchor>
        </w:drawing>
      </w:r>
      <w:r>
        <w:drawing>
          <wp:anchor distT="0" distB="0" distL="0" distR="0" simplePos="0" relativeHeight="62914786" behindDoc="1" locked="0" layoutInCell="1" allowOverlap="1">
            <wp:simplePos x="0" y="0"/>
            <wp:positionH relativeFrom="page">
              <wp:posOffset>3821430</wp:posOffset>
            </wp:positionH>
            <wp:positionV relativeFrom="paragraph">
              <wp:posOffset>18415</wp:posOffset>
            </wp:positionV>
            <wp:extent cx="2919730" cy="2212975"/>
            <wp:wrapNone/>
            <wp:docPr id="370" name="Shape 370"/>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243"/>
                    <a:stretch/>
                  </pic:blipFill>
                  <pic:spPr>
                    <a:xfrm>
                      <a:ext cx="2919730" cy="2212975"/>
                    </a:xfrm>
                    <a:prstGeom prst="rect"/>
                  </pic:spPr>
                </pic:pic>
              </a:graphicData>
            </a:graphic>
          </wp:anchor>
        </w:drawing>
      </w:r>
      <w:r>
        <w:drawing>
          <wp:anchor distT="0" distB="0" distL="0" distR="0" simplePos="0" relativeHeight="62914787" behindDoc="1" locked="0" layoutInCell="1" allowOverlap="1">
            <wp:simplePos x="0" y="0"/>
            <wp:positionH relativeFrom="page">
              <wp:posOffset>3644900</wp:posOffset>
            </wp:positionH>
            <wp:positionV relativeFrom="paragraph">
              <wp:posOffset>3212465</wp:posOffset>
            </wp:positionV>
            <wp:extent cx="1664335" cy="1334770"/>
            <wp:wrapNone/>
            <wp:docPr id="372" name="Shape 372"/>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245"/>
                    <a:stretch/>
                  </pic:blipFill>
                  <pic:spPr>
                    <a:xfrm>
                      <a:ext cx="1664335" cy="1334770"/>
                    </a:xfrm>
                    <a:prstGeom prst="rect"/>
                  </pic:spPr>
                </pic:pic>
              </a:graphicData>
            </a:graphic>
          </wp:anchor>
        </w:drawing>
      </w:r>
      <w:r>
        <w:drawing>
          <wp:anchor distT="0" distB="0" distL="0" distR="0" simplePos="0" relativeHeight="62914788" behindDoc="1" locked="0" layoutInCell="1" allowOverlap="1">
            <wp:simplePos x="0" y="0"/>
            <wp:positionH relativeFrom="page">
              <wp:posOffset>5309235</wp:posOffset>
            </wp:positionH>
            <wp:positionV relativeFrom="paragraph">
              <wp:posOffset>3212465</wp:posOffset>
            </wp:positionV>
            <wp:extent cx="1657985" cy="1334770"/>
            <wp:wrapNone/>
            <wp:docPr id="374" name="Shape 374"/>
            <a:graphic xmlns:a="http://schemas.openxmlformats.org/drawingml/2006/main">
              <a:graphicData uri="http://schemas.openxmlformats.org/drawingml/2006/picture">
                <pic:pic xmlns:pic="http://schemas.openxmlformats.org/drawingml/2006/picture">
                  <pic:nvPicPr>
                    <pic:cNvPr id="375" name="Picture box 375"/>
                    <pic:cNvPicPr/>
                  </pic:nvPicPr>
                  <pic:blipFill>
                    <a:blip r:embed="rId247"/>
                    <a:stretch/>
                  </pic:blipFill>
                  <pic:spPr>
                    <a:xfrm>
                      <a:ext cx="1657985"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Restart w:val="continuous"/>
          </w:footnotePr>
          <w:type w:val="continuous"/>
          <w:pgSz w:w="12142" w:h="17375"/>
          <w:pgMar w:top="1511" w:right="119" w:bottom="786" w:left="119" w:header="0" w:footer="3" w:gutter="1056"/>
          <w:cols w:space="720"/>
          <w:noEndnote/>
          <w:rtlGutter w:val="0"/>
          <w:docGrid w:linePitch="360"/>
        </w:sectPr>
      </w:pPr>
    </w:p>
    <w:p>
      <w:pPr>
        <w:widowControl w:val="0"/>
        <w:jc w:val="right"/>
        <w:rPr>
          <w:sz w:val="2"/>
          <w:szCs w:val="2"/>
        </w:rPr>
      </w:pPr>
      <w:r>
        <w:drawing>
          <wp:inline>
            <wp:extent cx="5955665" cy="3425825"/>
            <wp:docPr id="376" name="Picutre 376"/>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49"/>
                    <a:stretch/>
                  </pic:blipFill>
                  <pic:spPr>
                    <a:xfrm>
                      <a:ext cx="5955665" cy="3425825"/>
                    </a:xfrm>
                    <a:prstGeom prst="rect"/>
                  </pic:spPr>
                </pic:pic>
              </a:graphicData>
            </a:graphic>
          </wp:inline>
        </w:drawing>
      </w:r>
    </w:p>
    <w:p>
      <w:pPr>
        <w:widowControl w:val="0"/>
        <w:spacing w:after="1399" w:line="1" w:lineRule="exact"/>
      </w:pPr>
    </w:p>
    <w:p>
      <w:pPr>
        <w:pStyle w:val="Style19"/>
        <w:keepNext w:val="0"/>
        <w:keepLines w:val="0"/>
        <w:widowControl w:val="0"/>
        <w:shd w:val="clear" w:color="auto" w:fill="auto"/>
        <w:bidi w:val="0"/>
        <w:spacing w:before="0" w:after="0"/>
        <w:ind w:left="0" w:right="0" w:firstLine="0"/>
        <w:jc w:val="left"/>
        <w:sectPr>
          <w:headerReference w:type="default" r:id="rId251"/>
          <w:footerReference w:type="default" r:id="rId252"/>
          <w:headerReference w:type="even" r:id="rId253"/>
          <w:footerReference w:type="even" r:id="rId254"/>
          <w:footnotePr>
            <w:pos w:val="pageBottom"/>
            <w:numFmt w:val="decimal"/>
            <w:numRestart w:val="continuous"/>
          </w:footnotePr>
          <w:pgSz w:w="12142" w:h="17375"/>
          <w:pgMar w:top="2299" w:right="892" w:bottom="2299" w:left="892" w:header="0" w:footer="3" w:gutter="3230"/>
          <w:cols w:space="720"/>
          <w:noEndnote/>
          <w:rtlGutter w:val="0"/>
          <w:docGrid w:linePitch="360"/>
        </w:sectPr>
      </w:pPr>
      <w:bookmarkStart w:id="210" w:name="bookmark210"/>
      <w:r>
        <w:rPr>
          <w:rStyle w:val="CharStyle20"/>
        </w:rPr>
        <w:t>Konzervativní scénář uvažuje takový útlum uhelných zdrojů, kdy po roce 2038 nejsou v provozu žádné uhelné zdroje. Hodnota LOLE se pohybuje pro roky 2030 a 2035 na úrovni 1 hodiny. Hodnota EENS pro tytéž roky dosahuje maxima 0,7 GWh. V roce 2040 dojde ke zvýšení hodnoty LOLE na 12 hodin a EENS bude dosahovat hodnoty 13 GWh. Soustava bude zdrojově přiměřená po celou sledovanou dobu, jelikož bude splňovat požadavek na spolehlivost (LOLE do 15 hodin/rok).</w:t>
      </w:r>
      <w:bookmarkEnd w:id="210"/>
    </w:p>
    <w:p>
      <w:pPr>
        <w:widowControl w:val="0"/>
        <w:spacing w:before="79" w:after="79" w:line="240" w:lineRule="exact"/>
        <w:rPr>
          <w:sz w:val="19"/>
          <w:szCs w:val="19"/>
        </w:rPr>
      </w:pPr>
    </w:p>
    <w:p>
      <w:pPr>
        <w:widowControl w:val="0"/>
        <w:spacing w:line="1" w:lineRule="exact"/>
        <w:sectPr>
          <w:headerReference w:type="default" r:id="rId255"/>
          <w:footerReference w:type="default" r:id="rId256"/>
          <w:headerReference w:type="even" r:id="rId257"/>
          <w:footerReference w:type="even" r:id="rId258"/>
          <w:footnotePr>
            <w:pos w:val="pageBottom"/>
            <w:numFmt w:val="decimal"/>
            <w:numRestart w:val="continuous"/>
          </w:footnotePr>
          <w:pgSz w:w="12142" w:h="17375"/>
          <w:pgMar w:top="752" w:right="680" w:bottom="752" w:left="1362" w:header="0" w:footer="3" w:gutter="0"/>
          <w:cols w:space="720"/>
          <w:noEndnote/>
          <w:rtlGutter w:val="0"/>
          <w:docGrid w:linePitch="360"/>
        </w:sectPr>
      </w:pPr>
    </w:p>
    <w:p>
      <w:pPr>
        <w:pStyle w:val="Style15"/>
        <w:keepNext/>
        <w:keepLines/>
        <w:framePr w:w="7070" w:h="240" w:wrap="none" w:vAnchor="text" w:hAnchor="page" w:x="840" w:y="21"/>
        <w:widowControl w:val="0"/>
        <w:shd w:val="clear" w:color="auto" w:fill="auto"/>
        <w:bidi w:val="0"/>
        <w:spacing w:before="0" w:after="0" w:line="240" w:lineRule="auto"/>
        <w:ind w:left="0" w:right="0" w:firstLine="0"/>
        <w:jc w:val="left"/>
      </w:pPr>
      <w:bookmarkStart w:id="211" w:name="bookmark211"/>
      <w:r>
        <w:rPr>
          <w:rStyle w:val="CharStyle16"/>
          <w:b/>
          <w:bCs/>
        </w:rPr>
        <w:t>Obr. 6.20 Saldo importu a exportu evropských zemí pro Konzervativní scénář 2030</w:t>
      </w:r>
      <w:bookmarkEnd w:id="211"/>
    </w:p>
    <w:p>
      <w:pPr>
        <w:pStyle w:val="Style37"/>
        <w:keepNext w:val="0"/>
        <w:keepLines w:val="0"/>
        <w:framePr w:w="562" w:h="187" w:wrap="none" w:vAnchor="text" w:hAnchor="page" w:x="6768" w:y="29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14 TWh</w:t>
      </w:r>
    </w:p>
    <w:p>
      <w:pPr>
        <w:pStyle w:val="Style37"/>
        <w:keepNext w:val="0"/>
        <w:keepLines w:val="0"/>
        <w:framePr w:w="552" w:h="379" w:wrap="none" w:vAnchor="text" w:hAnchor="page" w:x="8453" w:y="35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FI</w:t>
        <w:br/>
        <w:t>+7 TWh</w:t>
      </w:r>
    </w:p>
    <w:p>
      <w:pPr>
        <w:pStyle w:val="Style37"/>
        <w:keepNext w:val="0"/>
        <w:keepLines w:val="0"/>
        <w:framePr w:w="475" w:h="379" w:wrap="none" w:vAnchor="text" w:hAnchor="page" w:x="2549" w:y="683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160"/>
        <w:jc w:val="left"/>
        <w:rPr>
          <w:sz w:val="12"/>
          <w:szCs w:val="12"/>
        </w:rPr>
      </w:pPr>
      <w:r>
        <w:rPr>
          <w:rStyle w:val="CharStyle38"/>
          <w:b/>
          <w:bCs/>
          <w:color w:val="FFFFFF"/>
          <w:sz w:val="12"/>
          <w:szCs w:val="12"/>
        </w:rPr>
        <w:t>UK ■ 1 TWh</w:t>
      </w:r>
    </w:p>
    <w:p>
      <w:pPr>
        <w:pStyle w:val="Style37"/>
        <w:keepNext w:val="0"/>
        <w:keepLines w:val="0"/>
        <w:framePr w:w="624" w:h="331" w:wrap="none" w:vAnchor="text" w:hAnchor="page" w:x="3398" w:y="853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FR</w:t>
        <w:br/>
        <w:t>+24 TWh</w:t>
      </w:r>
    </w:p>
    <w:p>
      <w:pPr>
        <w:pStyle w:val="Style37"/>
        <w:keepNext w:val="0"/>
        <w:keepLines w:val="0"/>
        <w:framePr w:w="514" w:h="350" w:wrap="none" w:vAnchor="text" w:hAnchor="page" w:x="2174"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ES</w:t>
      </w:r>
    </w:p>
    <w:p>
      <w:pPr>
        <w:pStyle w:val="Style37"/>
        <w:keepNext w:val="0"/>
        <w:keepLines w:val="0"/>
        <w:framePr w:w="514" w:h="350" w:wrap="none" w:vAnchor="text" w:hAnchor="page" w:x="2174"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-3 TWh</w:t>
      </w:r>
    </w:p>
    <w:p>
      <w:pPr>
        <w:pStyle w:val="Style37"/>
        <w:keepNext w:val="0"/>
        <w:keepLines w:val="0"/>
        <w:framePr w:w="648" w:h="379" w:wrap="none" w:vAnchor="text" w:hAnchor="page" w:x="4939" w:y="4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NO</w:t>
        <w:br/>
        <w:t>+30 TWh</w:t>
      </w:r>
    </w:p>
    <w:p>
      <w:pPr>
        <w:pStyle w:val="Style37"/>
        <w:keepNext w:val="0"/>
        <w:keepLines w:val="0"/>
        <w:framePr w:w="490" w:h="350" w:wrap="none" w:vAnchor="text" w:hAnchor="page" w:x="8477" w:y="47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EE</w:t>
      </w:r>
    </w:p>
    <w:p>
      <w:pPr>
        <w:pStyle w:val="Style37"/>
        <w:keepNext w:val="0"/>
        <w:keepLines w:val="0"/>
        <w:framePr w:w="490" w:h="350" w:wrap="none" w:vAnchor="text" w:hAnchor="page" w:x="8477" w:y="47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-5 TWh</w:t>
      </w:r>
    </w:p>
    <w:p>
      <w:pPr>
        <w:pStyle w:val="Style37"/>
        <w:keepNext w:val="0"/>
        <w:keepLines w:val="0"/>
        <w:framePr w:w="475" w:h="379" w:wrap="none" w:vAnchor="text" w:hAnchor="page" w:x="8611" w:y="551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LV</w:t>
        <w:br/>
        <w:t>1 TWh</w:t>
      </w:r>
    </w:p>
    <w:p>
      <w:pPr>
        <w:pStyle w:val="Style37"/>
        <w:keepNext w:val="0"/>
        <w:keepLines w:val="0"/>
        <w:framePr w:w="360" w:h="552" w:wrap="none" w:vAnchor="text" w:hAnchor="page" w:x="835" w:y="10959"/>
        <w:widowControl w:val="0"/>
        <w:shd w:val="clear" w:color="auto" w:fill="auto"/>
        <w:bidi w:val="0"/>
        <w:spacing w:before="0" w:after="0" w:line="300" w:lineRule="auto"/>
        <w:ind w:left="0" w:right="0" w:firstLine="0"/>
        <w:jc w:val="left"/>
        <w:rPr>
          <w:sz w:val="12"/>
          <w:szCs w:val="12"/>
        </w:rPr>
      </w:pPr>
      <w:r>
        <w:rPr>
          <w:rStyle w:val="CharStyle38"/>
          <w:b/>
          <w:bCs/>
          <w:color w:val="ED6B5F"/>
          <w:sz w:val="12"/>
          <w:szCs w:val="12"/>
        </w:rPr>
        <w:t>PT -2 TWh</w:t>
      </w:r>
    </w:p>
    <w:p>
      <w:pPr>
        <w:pStyle w:val="Style37"/>
        <w:keepNext w:val="0"/>
        <w:keepLines w:val="0"/>
        <w:framePr w:w="619" w:h="590" w:wrap="none" w:vAnchor="text" w:hAnchor="page" w:x="4162" w:y="5924"/>
        <w:widowControl w:val="0"/>
        <w:shd w:val="clear" w:color="auto" w:fill="auto"/>
        <w:bidi w:val="0"/>
        <w:spacing w:before="0" w:after="0" w:line="240" w:lineRule="auto"/>
        <w:ind w:left="0" w:right="0" w:firstLine="280"/>
        <w:jc w:val="left"/>
        <w:rPr>
          <w:sz w:val="12"/>
          <w:szCs w:val="12"/>
        </w:rPr>
      </w:pPr>
      <w:r>
        <w:rPr>
          <w:rStyle w:val="CharStyle38"/>
          <w:b/>
          <w:bCs/>
          <w:color w:val="ED6B5F"/>
          <w:sz w:val="12"/>
          <w:szCs w:val="12"/>
        </w:rPr>
        <w:t>DK</w:t>
      </w:r>
    </w:p>
    <w:p>
      <w:pPr>
        <w:pStyle w:val="Style37"/>
        <w:keepNext w:val="0"/>
        <w:keepLines w:val="0"/>
        <w:framePr w:w="619" w:h="590" w:wrap="none" w:vAnchor="text" w:hAnchor="page" w:x="4162" w:y="5924"/>
        <w:widowControl w:val="0"/>
        <w:shd w:val="clear" w:color="auto" w:fill="auto"/>
        <w:bidi w:val="0"/>
        <w:spacing w:before="0" w:after="80" w:line="240" w:lineRule="auto"/>
        <w:ind w:left="0" w:right="0" w:firstLine="0"/>
        <w:jc w:val="left"/>
        <w:rPr>
          <w:sz w:val="12"/>
          <w:szCs w:val="12"/>
        </w:rPr>
      </w:pPr>
      <w:r>
        <w:rPr>
          <w:rStyle w:val="CharStyle38"/>
          <w:b/>
          <w:bCs/>
          <w:color w:val="ED6B5F"/>
          <w:sz w:val="12"/>
          <w:szCs w:val="12"/>
        </w:rPr>
        <w:t>-8 TWh</w:t>
      </w:r>
    </w:p>
    <w:p>
      <w:pPr>
        <w:pStyle w:val="Style37"/>
        <w:keepNext w:val="0"/>
        <w:keepLines w:val="0"/>
        <w:framePr w:w="619" w:h="590" w:wrap="none" w:vAnchor="text" w:hAnchor="page" w:x="4162" w:y="5924"/>
        <w:widowControl w:val="0"/>
        <w:shd w:val="clear" w:color="auto" w:fill="auto"/>
        <w:bidi w:val="0"/>
        <w:spacing w:before="0" w:after="40" w:line="240" w:lineRule="auto"/>
        <w:ind w:left="0" w:right="0" w:firstLine="0"/>
        <w:jc w:val="left"/>
        <w:rPr>
          <w:sz w:val="12"/>
          <w:szCs w:val="12"/>
        </w:rPr>
      </w:pPr>
      <w:r>
        <w:rPr>
          <w:rStyle w:val="CharStyle38"/>
          <w:b/>
          <w:bCs/>
          <w:color w:val="076BB4"/>
          <w:sz w:val="12"/>
          <w:szCs w:val="12"/>
        </w:rPr>
        <w:t>NL</w:t>
      </w:r>
    </w:p>
    <w:p>
      <w:pPr>
        <w:pStyle w:val="Style37"/>
        <w:keepNext w:val="0"/>
        <w:keepLines w:val="0"/>
        <w:framePr w:w="648" w:h="379" w:wrap="none" w:vAnchor="text" w:hAnchor="page" w:x="5107" w:y="71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DE</w:t>
        <w:br/>
        <w:t>+98 TWh</w:t>
      </w:r>
    </w:p>
    <w:p>
      <w:pPr>
        <w:pStyle w:val="Style37"/>
        <w:keepNext w:val="0"/>
        <w:keepLines w:val="0"/>
        <w:framePr w:w="547" w:h="374" w:wrap="none" w:vAnchor="text" w:hAnchor="page" w:x="7022" w:y="697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PL</w:t>
        <w:br/>
        <w:t>■ 20 TWh</w:t>
      </w:r>
    </w:p>
    <w:p>
      <w:pPr>
        <w:pStyle w:val="Style37"/>
        <w:keepNext w:val="0"/>
        <w:keepLines w:val="0"/>
        <w:framePr w:w="485" w:h="331" w:wrap="none" w:vAnchor="text" w:hAnchor="page" w:x="4642" w:y="769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LU</w:t>
        <w:br/>
        <w:t>8 TWh</w:t>
      </w:r>
    </w:p>
    <w:p>
      <w:pPr>
        <w:pStyle w:val="Style37"/>
        <w:keepNext w:val="0"/>
        <w:keepLines w:val="0"/>
        <w:framePr w:w="480" w:h="331" w:wrap="none" w:vAnchor="text" w:hAnchor="page" w:x="4680" w:y="85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CH</w:t>
        <w:br/>
        <w:t>■ 4 TWh</w:t>
      </w:r>
    </w:p>
    <w:p>
      <w:pPr>
        <w:pStyle w:val="Style37"/>
        <w:keepNext w:val="0"/>
        <w:keepLines w:val="0"/>
        <w:framePr w:w="557" w:h="379" w:wrap="none" w:vAnchor="text" w:hAnchor="page" w:x="5136" w:y="900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IT</w:t>
        <w:br/>
        <w:t>■ 52 TWh</w:t>
      </w:r>
    </w:p>
    <w:p>
      <w:pPr>
        <w:pStyle w:val="Style37"/>
        <w:keepNext w:val="0"/>
        <w:keepLines w:val="0"/>
        <w:framePr w:w="557" w:h="346" w:wrap="none" w:vAnchor="text" w:hAnchor="page" w:x="6062" w:y="768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CZ</w:t>
        <w:br/>
        <w:t>14 TWh</w:t>
      </w:r>
    </w:p>
    <w:p>
      <w:pPr>
        <w:pStyle w:val="Style37"/>
        <w:keepNext w:val="0"/>
        <w:keepLines w:val="0"/>
        <w:framePr w:w="509" w:h="379" w:wrap="none" w:vAnchor="text" w:hAnchor="page" w:x="6024" w:y="82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AT</w:t>
        <w:br/>
        <w:t>-6 TWh</w:t>
      </w:r>
    </w:p>
    <w:p>
      <w:pPr>
        <w:pStyle w:val="Style37"/>
        <w:keepNext w:val="0"/>
        <w:keepLines w:val="0"/>
        <w:framePr w:w="552" w:h="379" w:wrap="none" w:vAnchor="text" w:hAnchor="page" w:x="6912" w:y="80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left"/>
        <w:rPr>
          <w:sz w:val="12"/>
          <w:szCs w:val="12"/>
        </w:rPr>
      </w:pPr>
      <w:r>
        <w:rPr>
          <w:rStyle w:val="CharStyle38"/>
          <w:b/>
          <w:bCs/>
          <w:color w:val="FFFFFF"/>
          <w:sz w:val="12"/>
          <w:szCs w:val="12"/>
        </w:rPr>
        <w:t>y SK +6 TWh</w:t>
      </w:r>
    </w:p>
    <w:p>
      <w:pPr>
        <w:pStyle w:val="Style37"/>
        <w:keepNext w:val="0"/>
        <w:keepLines w:val="0"/>
        <w:framePr w:w="960" w:h="355" w:wrap="none" w:vAnchor="text" w:hAnchor="page" w:x="6086"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right"/>
        <w:rPr>
          <w:sz w:val="12"/>
          <w:szCs w:val="12"/>
        </w:rPr>
      </w:pPr>
      <w:r>
        <w:rPr>
          <w:rStyle w:val="CharStyle38"/>
          <w:b/>
          <w:bCs/>
          <w:color w:val="FFFFFF"/>
          <w:sz w:val="12"/>
          <w:szCs w:val="12"/>
        </w:rPr>
        <w:t>2 TWh HR^</w:t>
      </w:r>
    </w:p>
    <w:p>
      <w:pPr>
        <w:pStyle w:val="Style37"/>
        <w:keepNext w:val="0"/>
        <w:keepLines w:val="0"/>
        <w:framePr w:w="960" w:h="355" w:wrap="none" w:vAnchor="text" w:hAnchor="page" w:x="6086"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right"/>
        <w:rPr>
          <w:sz w:val="12"/>
          <w:szCs w:val="12"/>
        </w:rPr>
      </w:pPr>
      <w:r>
        <w:rPr>
          <w:rStyle w:val="CharStyle38"/>
          <w:b/>
          <w:bCs/>
          <w:color w:val="FFFFFF"/>
          <w:sz w:val="12"/>
          <w:szCs w:val="12"/>
        </w:rPr>
        <w:t>J+5 TWh</w:t>
      </w:r>
    </w:p>
    <w:p>
      <w:pPr>
        <w:pStyle w:val="Style37"/>
        <w:keepNext w:val="0"/>
        <w:keepLines w:val="0"/>
        <w:framePr w:w="480" w:h="379" w:wrap="none" w:vAnchor="text" w:hAnchor="page" w:x="6854" w:y="856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HU</w:t>
        <w:br/>
        <w:t>■ 6 TWh</w:t>
      </w:r>
    </w:p>
    <w:p>
      <w:pPr>
        <w:pStyle w:val="Style37"/>
        <w:keepNext w:val="0"/>
        <w:keepLines w:val="0"/>
        <w:framePr w:w="475" w:h="182" w:wrap="none" w:vAnchor="text" w:hAnchor="page" w:x="6773" w:y="944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 5 TWh</w:t>
      </w:r>
    </w:p>
    <w:p>
      <w:pPr>
        <w:pStyle w:val="Style37"/>
        <w:keepNext w:val="0"/>
        <w:keepLines w:val="0"/>
        <w:framePr w:w="466" w:h="360" w:wrap="none" w:vAnchor="text" w:hAnchor="page" w:x="7440" w:y="9318"/>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RS</w:t>
        <w:br/>
        <w:t>■ 1 TWh</w:t>
      </w:r>
    </w:p>
    <w:p>
      <w:pPr>
        <w:pStyle w:val="Style37"/>
        <w:keepNext w:val="0"/>
        <w:keepLines w:val="0"/>
        <w:framePr w:w="581" w:h="374" w:wrap="none" w:vAnchor="text" w:hAnchor="page" w:x="8088" w:y="597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LT</w:t>
        <w:br/>
        <w:t>+6 TWh</w:t>
      </w:r>
    </w:p>
    <w:p>
      <w:pPr>
        <w:pStyle w:val="Style37"/>
        <w:keepNext w:val="0"/>
        <w:keepLines w:val="0"/>
        <w:framePr w:w="490" w:h="182" w:wrap="none" w:vAnchor="text" w:hAnchor="page" w:x="8122" w:y="898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-2 TWh</w:t>
      </w:r>
    </w:p>
    <w:p>
      <w:pPr>
        <w:pStyle w:val="Style37"/>
        <w:keepNext w:val="0"/>
        <w:keepLines w:val="0"/>
        <w:framePr w:w="547" w:h="379" w:wrap="none" w:vAnchor="text" w:hAnchor="page" w:x="6730" w:y="9894"/>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ME</w:t>
        <w:br/>
        <w:t>+1 TWh</w:t>
      </w:r>
    </w:p>
    <w:p>
      <w:pPr>
        <w:pStyle w:val="Style37"/>
        <w:keepNext w:val="0"/>
        <w:keepLines w:val="0"/>
        <w:framePr w:w="466" w:h="379" w:wrap="none" w:vAnchor="text" w:hAnchor="page" w:x="8251" w:y="96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BG</w:t>
        <w:br/>
        <w:t>■ 5 TWh</w:t>
      </w:r>
    </w:p>
    <w:p>
      <w:pPr>
        <w:pStyle w:val="Style37"/>
        <w:keepNext w:val="0"/>
        <w:keepLines w:val="0"/>
        <w:framePr w:w="408" w:h="178" w:wrap="none" w:vAnchor="text" w:hAnchor="page" w:x="7651" w:y="10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2 TWI</w:t>
      </w:r>
    </w:p>
    <w:p>
      <w:pPr>
        <w:pStyle w:val="Style37"/>
        <w:keepNext w:val="0"/>
        <w:keepLines w:val="0"/>
        <w:framePr w:w="552" w:h="442" w:wrap="none" w:vAnchor="text" w:hAnchor="page" w:x="6163" w:y="11425"/>
        <w:widowControl w:val="0"/>
        <w:shd w:val="clear" w:color="auto" w:fill="auto"/>
        <w:bidi w:val="0"/>
        <w:spacing w:before="0" w:after="0" w:line="310" w:lineRule="auto"/>
        <w:ind w:left="0" w:right="0" w:firstLine="0"/>
        <w:jc w:val="left"/>
        <w:rPr>
          <w:sz w:val="12"/>
          <w:szCs w:val="12"/>
        </w:rPr>
      </w:pPr>
      <w:r>
        <w:rPr>
          <w:rStyle w:val="CharStyle38"/>
          <w:b/>
          <w:bCs/>
          <w:color w:val="ED6B5F"/>
          <w:sz w:val="12"/>
          <w:szCs w:val="12"/>
          <w:vertAlign w:val="superscript"/>
        </w:rPr>
        <w:t>X</w:t>
      </w:r>
      <w:r>
        <w:rPr>
          <w:rStyle w:val="CharStyle38"/>
          <w:b/>
          <w:bCs/>
          <w:color w:val="ED6B5F"/>
          <w:sz w:val="12"/>
          <w:szCs w:val="12"/>
        </w:rPr>
        <w:t xml:space="preserve"> MT -2 TWh</w:t>
      </w:r>
    </w:p>
    <w:p>
      <w:pPr>
        <w:pStyle w:val="Style37"/>
        <w:keepNext w:val="0"/>
        <w:keepLines w:val="0"/>
        <w:framePr w:w="360" w:h="499" w:wrap="none" w:vAnchor="text" w:hAnchor="page" w:x="7056" w:y="10455"/>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AL</w:t>
        <w:br/>
        <w:t>TWh</w:t>
      </w:r>
    </w:p>
    <w:p>
      <w:pPr>
        <w:pStyle w:val="Style37"/>
        <w:keepNext w:val="0"/>
        <w:keepLines w:val="0"/>
        <w:framePr w:w="552" w:h="355" w:wrap="none" w:vAnchor="text" w:hAnchor="page" w:x="7531"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i/>
          <w:iCs/>
          <w:color w:val="FFFFFF"/>
          <w:sz w:val="12"/>
          <w:szCs w:val="12"/>
        </w:rPr>
        <w:t>J</w:t>
      </w:r>
      <w:r>
        <w:rPr>
          <w:rStyle w:val="CharStyle38"/>
          <w:b/>
          <w:bCs/>
          <w:color w:val="FFFFFF"/>
          <w:sz w:val="12"/>
          <w:szCs w:val="12"/>
        </w:rPr>
        <w:t xml:space="preserve"> GR</w:t>
      </w:r>
    </w:p>
    <w:p>
      <w:pPr>
        <w:pStyle w:val="Style37"/>
        <w:keepNext w:val="0"/>
        <w:keepLines w:val="0"/>
        <w:framePr w:w="552" w:h="355" w:wrap="none" w:vAnchor="text" w:hAnchor="page" w:x="7531"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+0 TWh</w:t>
      </w:r>
    </w:p>
    <w:p>
      <w:pPr>
        <w:pStyle w:val="Style37"/>
        <w:keepNext w:val="0"/>
        <w:keepLines w:val="0"/>
        <w:framePr w:w="600" w:h="355" w:wrap="none" w:vAnchor="text" w:hAnchor="page" w:x="9686" w:y="10599"/>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TR</w:t>
        <w:br/>
        <w:t>-14 TWh</w:t>
      </w:r>
    </w:p>
    <w:p>
      <w:pPr>
        <w:widowControl w:val="0"/>
        <w:spacing w:line="360" w:lineRule="exact"/>
      </w:pPr>
      <w:r>
        <w:drawing>
          <wp:anchor distT="0" distB="0" distL="0" distR="0" simplePos="0" relativeHeight="62914803" behindDoc="1" locked="0" layoutInCell="1" allowOverlap="1">
            <wp:simplePos x="0" y="0"/>
            <wp:positionH relativeFrom="margin">
              <wp:posOffset>-301625</wp:posOffset>
            </wp:positionH>
            <wp:positionV relativeFrom="margin">
              <wp:posOffset>713740</wp:posOffset>
            </wp:positionV>
            <wp:extent cx="6278880" cy="6967855"/>
            <wp:wrapNone/>
            <wp:docPr id="391" name="Shape 391"/>
            <a:graphic xmlns:a="http://schemas.openxmlformats.org/drawingml/2006/main">
              <a:graphicData uri="http://schemas.openxmlformats.org/drawingml/2006/picture">
                <pic:pic xmlns:pic="http://schemas.openxmlformats.org/drawingml/2006/picture">
                  <pic:nvPicPr>
                    <pic:cNvPr id="392" name="Picture box 392"/>
                    <pic:cNvPicPr/>
                  </pic:nvPicPr>
                  <pic:blipFill>
                    <a:blip r:embed="rId259"/>
                    <a:stretch/>
                  </pic:blipFill>
                  <pic:spPr>
                    <a:xfrm>
                      <a:ext cx="6278880" cy="6967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type w:val="continuous"/>
          <w:pgSz w:w="12142" w:h="17375"/>
          <w:pgMar w:top="752" w:right="680" w:bottom="752" w:left="680" w:header="0" w:footer="3" w:gutter="682"/>
          <w:cols w:space="720"/>
          <w:noEndnote/>
          <w:rtlGutter w:val="0"/>
          <w:docGrid w:linePitch="360"/>
        </w:sectPr>
      </w:pPr>
    </w:p>
    <w:p>
      <w:pPr>
        <w:widowControl w:val="0"/>
        <w:spacing w:line="139" w:lineRule="exact"/>
        <w:rPr>
          <w:sz w:val="11"/>
          <w:szCs w:val="11"/>
        </w:rPr>
      </w:pPr>
    </w:p>
    <w:p>
      <w:pPr>
        <w:widowControl w:val="0"/>
        <w:spacing w:line="1" w:lineRule="exact"/>
        <w:sectPr>
          <w:footnotePr>
            <w:pos w:val="pageBottom"/>
            <w:numFmt w:val="decimal"/>
            <w:numRestart w:val="continuous"/>
          </w:footnotePr>
          <w:pgSz w:w="12142" w:h="17375"/>
          <w:pgMar w:top="1003" w:right="680" w:bottom="586" w:left="1362" w:header="0" w:footer="3" w:gutter="0"/>
          <w:cols w:space="720"/>
          <w:noEndnote/>
          <w:rtlGutter w:val="0"/>
          <w:docGrid w:linePitch="360"/>
        </w:sectPr>
      </w:pPr>
    </w:p>
    <w:p>
      <w:pPr>
        <w:pStyle w:val="Style15"/>
        <w:keepNext/>
        <w:keepLines/>
        <w:framePr w:w="7075" w:h="240" w:wrap="none" w:vAnchor="text" w:hAnchor="page" w:x="1517" w:y="21"/>
        <w:widowControl w:val="0"/>
        <w:shd w:val="clear" w:color="auto" w:fill="auto"/>
        <w:bidi w:val="0"/>
        <w:spacing w:before="0" w:after="0" w:line="240" w:lineRule="auto"/>
        <w:ind w:left="0" w:right="0" w:firstLine="0"/>
        <w:jc w:val="left"/>
      </w:pPr>
      <w:bookmarkStart w:id="213" w:name="bookmark213"/>
      <w:r>
        <w:rPr>
          <w:rStyle w:val="CharStyle16"/>
          <w:b/>
          <w:bCs/>
        </w:rPr>
        <w:t>Obr. 6.21 Saldo importu a exportu evropských zemí pro Konzervativní scénář 2040</w:t>
      </w:r>
      <w:bookmarkEnd w:id="213"/>
    </w:p>
    <w:p>
      <w:pPr>
        <w:pStyle w:val="Style2"/>
        <w:keepNext w:val="0"/>
        <w:keepLines w:val="0"/>
        <w:framePr w:w="365" w:h="518" w:wrap="none" w:vAnchor="text" w:hAnchor="page" w:x="1512" w:y="10960"/>
        <w:widowControl w:val="0"/>
        <w:shd w:val="clear" w:color="auto" w:fill="auto"/>
        <w:bidi w:val="0"/>
        <w:spacing w:before="0" w:after="0" w:line="300" w:lineRule="auto"/>
        <w:ind w:left="0" w:right="0" w:firstLine="0"/>
        <w:jc w:val="center"/>
        <w:rPr>
          <w:sz w:val="12"/>
          <w:szCs w:val="12"/>
        </w:rPr>
      </w:pPr>
      <w:bookmarkStart w:id="215" w:name="bookmark215"/>
      <w:r>
        <w:rPr>
          <w:rStyle w:val="CharStyle3"/>
          <w:b/>
          <w:bCs/>
          <w:color w:val="076BB4"/>
          <w:sz w:val="12"/>
          <w:szCs w:val="12"/>
        </w:rPr>
        <w:t>PT +5 TWh</w:t>
      </w:r>
      <w:bookmarkEnd w:id="215"/>
    </w:p>
    <w:p>
      <w:pPr>
        <w:pStyle w:val="Style2"/>
        <w:keepNext w:val="0"/>
        <w:keepLines w:val="0"/>
        <w:framePr w:w="475" w:h="350" w:wrap="none" w:vAnchor="text" w:hAnchor="page" w:x="1949" w:y="6678"/>
        <w:widowControl w:val="0"/>
        <w:shd w:val="clear" w:color="auto" w:fill="auto"/>
        <w:bidi w:val="0"/>
        <w:spacing w:before="0" w:after="0" w:line="240" w:lineRule="auto"/>
        <w:ind w:left="0" w:right="0" w:firstLine="160"/>
        <w:jc w:val="left"/>
        <w:rPr>
          <w:sz w:val="12"/>
          <w:szCs w:val="12"/>
        </w:rPr>
      </w:pPr>
      <w:r>
        <w:rPr>
          <w:rStyle w:val="CharStyle3"/>
          <w:b/>
          <w:bCs/>
          <w:color w:val="ED6B5F"/>
          <w:sz w:val="12"/>
          <w:szCs w:val="12"/>
        </w:rPr>
        <w:t>IE</w:t>
      </w:r>
    </w:p>
    <w:p>
      <w:pPr>
        <w:pStyle w:val="Style2"/>
        <w:keepNext w:val="0"/>
        <w:keepLines w:val="0"/>
        <w:framePr w:w="475" w:h="350" w:wrap="none" w:vAnchor="text" w:hAnchor="page" w:x="1949" w:y="6678"/>
        <w:widowControl w:val="0"/>
        <w:shd w:val="clear" w:color="auto" w:fill="auto"/>
        <w:bidi w:val="0"/>
        <w:spacing w:before="0" w:after="0" w:line="240" w:lineRule="auto"/>
        <w:ind w:left="0" w:right="0" w:firstLine="0"/>
        <w:jc w:val="left"/>
        <w:rPr>
          <w:sz w:val="12"/>
          <w:szCs w:val="12"/>
        </w:rPr>
      </w:pPr>
      <w:r>
        <w:rPr>
          <w:rStyle w:val="CharStyle3"/>
          <w:b/>
          <w:bCs/>
          <w:color w:val="ED6B5F"/>
          <w:sz w:val="12"/>
          <w:szCs w:val="12"/>
        </w:rPr>
        <w:t>• 0 TWh</w:t>
      </w:r>
    </w:p>
    <w:p>
      <w:pPr>
        <w:pStyle w:val="Style2"/>
        <w:keepNext w:val="0"/>
        <w:keepLines w:val="0"/>
        <w:framePr w:w="470" w:h="379" w:wrap="none" w:vAnchor="text" w:hAnchor="page" w:x="6927" w:y="11483"/>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MT • 2 TWh</w:t>
      </w:r>
    </w:p>
    <w:p>
      <w:pPr>
        <w:pStyle w:val="Style2"/>
        <w:keepNext w:val="0"/>
        <w:keepLines w:val="0"/>
        <w:framePr w:w="466" w:h="379" w:wrap="none" w:vAnchor="text" w:hAnchor="page" w:x="7450" w:y="9894"/>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ME ■ 1 TWh</w:t>
      </w:r>
    </w:p>
    <w:p>
      <w:pPr>
        <w:pStyle w:val="Style2"/>
        <w:keepNext w:val="0"/>
        <w:keepLines w:val="0"/>
        <w:framePr w:w="365" w:h="499" w:wrap="none" w:vAnchor="text" w:hAnchor="page" w:x="7738" w:y="10456"/>
        <w:widowControl w:val="0"/>
        <w:shd w:val="clear" w:color="auto" w:fill="auto"/>
        <w:bidi w:val="0"/>
        <w:spacing w:before="0" w:after="0" w:line="218" w:lineRule="auto"/>
        <w:ind w:left="0" w:right="0" w:firstLine="0"/>
        <w:jc w:val="both"/>
        <w:rPr>
          <w:sz w:val="12"/>
          <w:szCs w:val="12"/>
        </w:rPr>
      </w:pPr>
      <w:r>
        <w:rPr>
          <w:rStyle w:val="CharStyle3"/>
          <w:b/>
          <w:bCs/>
          <w:color w:val="076BB4"/>
          <w:sz w:val="12"/>
          <w:szCs w:val="12"/>
        </w:rPr>
        <w:t>AL" +6 TWh</w:t>
      </w:r>
    </w:p>
    <w:p>
      <w:pPr>
        <w:pStyle w:val="Style2"/>
        <w:keepNext w:val="0"/>
        <w:keepLines w:val="0"/>
        <w:framePr w:w="619" w:h="590" w:wrap="none" w:vAnchor="text" w:hAnchor="page" w:x="4843" w:y="5924"/>
        <w:widowControl w:val="0"/>
        <w:shd w:val="clear" w:color="auto" w:fill="auto"/>
        <w:bidi w:val="0"/>
        <w:spacing w:before="0" w:after="0" w:line="240" w:lineRule="auto"/>
        <w:ind w:left="0" w:right="0" w:firstLine="280"/>
        <w:jc w:val="left"/>
        <w:rPr>
          <w:sz w:val="12"/>
          <w:szCs w:val="12"/>
        </w:rPr>
      </w:pPr>
      <w:r>
        <w:rPr>
          <w:rStyle w:val="CharStyle3"/>
          <w:b/>
          <w:bCs/>
          <w:color w:val="ED6B5F"/>
          <w:sz w:val="12"/>
          <w:szCs w:val="12"/>
        </w:rPr>
        <w:t>DK</w:t>
      </w:r>
    </w:p>
    <w:p>
      <w:pPr>
        <w:pStyle w:val="Style2"/>
        <w:keepNext w:val="0"/>
        <w:keepLines w:val="0"/>
        <w:framePr w:w="619" w:h="590" w:wrap="none" w:vAnchor="text" w:hAnchor="page" w:x="4843" w:y="5924"/>
        <w:widowControl w:val="0"/>
        <w:shd w:val="clear" w:color="auto" w:fill="auto"/>
        <w:bidi w:val="0"/>
        <w:spacing w:before="0" w:after="80" w:line="240" w:lineRule="auto"/>
        <w:ind w:left="0" w:right="0" w:firstLine="0"/>
        <w:jc w:val="left"/>
        <w:rPr>
          <w:sz w:val="12"/>
          <w:szCs w:val="12"/>
        </w:rPr>
      </w:pPr>
      <w:r>
        <w:rPr>
          <w:rStyle w:val="CharStyle3"/>
          <w:b/>
          <w:bCs/>
          <w:color w:val="ED6B5F"/>
          <w:sz w:val="12"/>
          <w:szCs w:val="12"/>
        </w:rPr>
        <w:t>-4 TWh</w:t>
      </w:r>
    </w:p>
    <w:p>
      <w:pPr>
        <w:pStyle w:val="Style2"/>
        <w:keepNext w:val="0"/>
        <w:keepLines w:val="0"/>
        <w:framePr w:w="619" w:h="590" w:wrap="none" w:vAnchor="text" w:hAnchor="page" w:x="4843" w:y="5924"/>
        <w:widowControl w:val="0"/>
        <w:shd w:val="clear" w:color="auto" w:fill="auto"/>
        <w:bidi w:val="0"/>
        <w:spacing w:before="0" w:after="40" w:line="240" w:lineRule="auto"/>
        <w:ind w:left="0" w:right="0" w:firstLine="0"/>
        <w:jc w:val="left"/>
        <w:rPr>
          <w:sz w:val="12"/>
          <w:szCs w:val="12"/>
        </w:rPr>
      </w:pPr>
      <w:r>
        <w:rPr>
          <w:rStyle w:val="CharStyle3"/>
          <w:b/>
          <w:bCs/>
          <w:color w:val="076BB4"/>
          <w:sz w:val="12"/>
          <w:szCs w:val="12"/>
        </w:rPr>
        <w:t>NL</w:t>
      </w:r>
    </w:p>
    <w:p>
      <w:pPr>
        <w:pStyle w:val="Style2"/>
        <w:keepNext w:val="0"/>
        <w:keepLines w:val="0"/>
        <w:framePr w:w="648" w:h="187" w:wrap="none" w:vAnchor="text" w:hAnchor="page" w:x="7325" w:y="29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+ 51 TWh</w:t>
      </w:r>
    </w:p>
    <w:p>
      <w:pPr>
        <w:pStyle w:val="Style2"/>
        <w:keepNext w:val="0"/>
        <w:keepLines w:val="0"/>
        <w:framePr w:w="629" w:h="182" w:wrap="none" w:vAnchor="text" w:hAnchor="page" w:x="8779" w:y="898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+19 TWh</w:t>
      </w:r>
    </w:p>
    <w:p>
      <w:pPr>
        <w:pStyle w:val="Style2"/>
        <w:keepNext w:val="0"/>
        <w:keepLines w:val="0"/>
        <w:framePr w:w="475" w:h="182" w:wrap="none" w:vAnchor="text" w:hAnchor="page" w:x="7455" w:y="944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5 TWh</w:t>
      </w:r>
    </w:p>
    <w:p>
      <w:pPr>
        <w:pStyle w:val="Style2"/>
        <w:keepNext w:val="0"/>
        <w:keepLines w:val="0"/>
        <w:framePr w:w="408" w:h="178" w:wrap="none" w:vAnchor="text" w:hAnchor="page" w:x="8333" w:y="10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center"/>
        <w:rPr>
          <w:sz w:val="12"/>
          <w:szCs w:val="12"/>
        </w:rPr>
      </w:pPr>
      <w:r>
        <w:rPr>
          <w:rStyle w:val="CharStyle3"/>
          <w:b/>
          <w:bCs/>
          <w:color w:val="FFFFFF"/>
          <w:sz w:val="12"/>
          <w:szCs w:val="12"/>
        </w:rPr>
        <w:t>5 TWI</w:t>
      </w:r>
    </w:p>
    <w:p>
      <w:pPr>
        <w:pStyle w:val="Style2"/>
        <w:keepNext w:val="0"/>
        <w:keepLines w:val="0"/>
        <w:framePr w:w="475" w:h="331" w:wrap="none" w:vAnchor="text" w:hAnchor="page" w:x="5323" w:y="76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LU 6 TWh</w:t>
      </w:r>
    </w:p>
    <w:p>
      <w:pPr>
        <w:pStyle w:val="Style2"/>
        <w:keepNext w:val="0"/>
        <w:keepLines w:val="0"/>
        <w:framePr w:w="475" w:h="331" w:wrap="none" w:vAnchor="text" w:hAnchor="page" w:x="5367" w:y="853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CH 1 TWh</w:t>
      </w:r>
    </w:p>
    <w:p>
      <w:pPr>
        <w:pStyle w:val="Style2"/>
        <w:keepNext w:val="0"/>
        <w:keepLines w:val="0"/>
        <w:framePr w:w="480" w:h="350" w:wrap="none" w:vAnchor="text" w:hAnchor="page" w:x="8107" w:y="932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RS</w:t>
      </w:r>
    </w:p>
    <w:p>
      <w:pPr>
        <w:pStyle w:val="Style2"/>
        <w:keepNext w:val="0"/>
        <w:keepLines w:val="0"/>
        <w:framePr w:w="480" w:h="350" w:wrap="none" w:vAnchor="text" w:hAnchor="page" w:x="8107" w:y="932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-9 TWh</w:t>
      </w:r>
    </w:p>
    <w:p>
      <w:pPr>
        <w:pStyle w:val="Style2"/>
        <w:keepNext w:val="0"/>
        <w:keepLines w:val="0"/>
        <w:framePr w:w="475" w:h="374" w:wrap="none" w:vAnchor="text" w:hAnchor="page" w:x="8827" w:y="59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LT 6 TWh</w:t>
      </w:r>
    </w:p>
    <w:p>
      <w:pPr>
        <w:pStyle w:val="Style2"/>
        <w:keepNext w:val="0"/>
        <w:keepLines w:val="0"/>
        <w:framePr w:w="547" w:h="355" w:wrap="none" w:vAnchor="text" w:hAnchor="page" w:x="8232"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GR</w:t>
      </w:r>
    </w:p>
    <w:p>
      <w:pPr>
        <w:pStyle w:val="Style2"/>
        <w:keepNext w:val="0"/>
        <w:keepLines w:val="0"/>
        <w:framePr w:w="547" w:h="355" w:wrap="none" w:vAnchor="text" w:hAnchor="page" w:x="8232"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11 TWh</w:t>
      </w:r>
    </w:p>
    <w:p>
      <w:pPr>
        <w:pStyle w:val="Style2"/>
        <w:keepNext w:val="0"/>
        <w:keepLines w:val="0"/>
        <w:framePr w:w="557" w:h="379" w:wrap="none" w:vAnchor="text" w:hAnchor="page" w:x="5693" w:y="4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NO 37 TWh</w:t>
      </w:r>
    </w:p>
    <w:p>
      <w:pPr>
        <w:pStyle w:val="Style2"/>
        <w:keepNext w:val="0"/>
        <w:keepLines w:val="0"/>
        <w:framePr w:w="557" w:h="379" w:wrap="none" w:vAnchor="text" w:hAnchor="page" w:x="7541" w:y="856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HU 36 TWh</w:t>
      </w:r>
    </w:p>
    <w:p>
      <w:pPr>
        <w:pStyle w:val="Style2"/>
        <w:keepNext w:val="0"/>
        <w:keepLines w:val="0"/>
        <w:framePr w:w="475" w:h="355" w:wrap="none" w:vAnchor="text" w:hAnchor="page" w:x="10411" w:y="10600"/>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TR ■ 6 TWh</w:t>
      </w:r>
    </w:p>
    <w:p>
      <w:pPr>
        <w:pStyle w:val="Style2"/>
        <w:keepNext w:val="0"/>
        <w:keepLines w:val="0"/>
        <w:framePr w:w="542" w:h="379" w:wrap="none" w:vAnchor="text" w:hAnchor="page" w:x="8871" w:y="968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BG +2 TWh</w:t>
      </w:r>
    </w:p>
    <w:p>
      <w:pPr>
        <w:pStyle w:val="Style2"/>
        <w:keepNext w:val="0"/>
        <w:keepLines w:val="0"/>
        <w:framePr w:w="494" w:h="350" w:wrap="none" w:vAnchor="text" w:hAnchor="page" w:x="9192"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40" w:line="240" w:lineRule="auto"/>
        <w:ind w:left="0" w:right="0" w:firstLine="180"/>
        <w:jc w:val="left"/>
        <w:rPr>
          <w:sz w:val="12"/>
          <w:szCs w:val="12"/>
        </w:rPr>
      </w:pPr>
      <w:r>
        <w:rPr>
          <w:rStyle w:val="CharStyle3"/>
          <w:b/>
          <w:bCs/>
          <w:color w:val="FFFFFF"/>
          <w:sz w:val="12"/>
          <w:szCs w:val="12"/>
        </w:rPr>
        <w:t>FI</w:t>
      </w:r>
    </w:p>
    <w:p>
      <w:pPr>
        <w:pStyle w:val="Style2"/>
        <w:keepNext w:val="0"/>
        <w:keepLines w:val="0"/>
        <w:framePr w:w="494" w:h="350" w:wrap="none" w:vAnchor="text" w:hAnchor="page" w:x="9192"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right"/>
        <w:rPr>
          <w:sz w:val="12"/>
          <w:szCs w:val="12"/>
        </w:rPr>
      </w:pPr>
      <w:r>
        <w:rPr>
          <w:rStyle w:val="CharStyle3"/>
          <w:b/>
          <w:bCs/>
          <w:color w:val="FFFFFF"/>
          <w:sz w:val="12"/>
          <w:szCs w:val="12"/>
        </w:rPr>
        <w:t>-7 TWh</w:t>
      </w:r>
    </w:p>
    <w:p>
      <w:pPr>
        <w:pStyle w:val="Style2"/>
        <w:keepNext w:val="0"/>
        <w:keepLines w:val="0"/>
        <w:framePr w:w="542" w:h="379" w:wrap="none" w:vAnchor="text" w:hAnchor="page" w:x="2866" w:y="101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ES ■ 13 TWh</w:t>
      </w:r>
    </w:p>
    <w:p>
      <w:pPr>
        <w:pStyle w:val="Style2"/>
        <w:keepNext w:val="0"/>
        <w:keepLines w:val="0"/>
        <w:framePr w:w="562" w:h="346" w:wrap="none" w:vAnchor="text" w:hAnchor="page" w:x="6739" w:y="768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CZ ■ 15 TWh</w:t>
      </w:r>
    </w:p>
    <w:p>
      <w:pPr>
        <w:pStyle w:val="Style2"/>
        <w:keepNext w:val="0"/>
        <w:keepLines w:val="0"/>
        <w:framePr w:w="547" w:h="374" w:wrap="none" w:vAnchor="text" w:hAnchor="page" w:x="7709" w:y="697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PL ■ 11 TWh</w:t>
      </w:r>
    </w:p>
    <w:p>
      <w:pPr>
        <w:pStyle w:val="Style2"/>
        <w:keepNext w:val="0"/>
        <w:keepLines w:val="0"/>
        <w:framePr w:w="552" w:h="370" w:wrap="none" w:vAnchor="text" w:hAnchor="page" w:x="7594" w:y="803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83" w:lineRule="auto"/>
        <w:ind w:left="0" w:right="0" w:firstLine="0"/>
        <w:jc w:val="left"/>
        <w:rPr>
          <w:sz w:val="12"/>
          <w:szCs w:val="12"/>
        </w:rPr>
      </w:pPr>
      <w:r>
        <w:rPr>
          <w:rStyle w:val="CharStyle3"/>
          <w:b/>
          <w:bCs/>
          <w:color w:val="FFFFFF"/>
          <w:sz w:val="12"/>
          <w:szCs w:val="12"/>
        </w:rPr>
        <w:t xml:space="preserve">y </w:t>
      </w:r>
      <w:r>
        <w:rPr>
          <w:rStyle w:val="CharStyle3"/>
          <w:b/>
          <w:bCs/>
          <w:smallCaps/>
          <w:color w:val="FFFFFF"/>
          <w:sz w:val="12"/>
          <w:szCs w:val="12"/>
        </w:rPr>
        <w:t xml:space="preserve">sk </w:t>
      </w:r>
      <w:r>
        <w:rPr>
          <w:rStyle w:val="CharStyle3"/>
          <w:b/>
          <w:bCs/>
          <w:color w:val="FFFFFF"/>
          <w:sz w:val="12"/>
          <w:szCs w:val="12"/>
        </w:rPr>
        <w:t>+0 TWh</w:t>
      </w:r>
    </w:p>
    <w:p>
      <w:pPr>
        <w:pStyle w:val="Style2"/>
        <w:keepNext w:val="0"/>
        <w:keepLines w:val="0"/>
        <w:framePr w:w="509" w:h="350" w:wrap="none" w:vAnchor="text" w:hAnchor="page" w:x="9135" w:y="47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140" w:firstLine="0"/>
        <w:jc w:val="right"/>
        <w:rPr>
          <w:sz w:val="12"/>
          <w:szCs w:val="12"/>
        </w:rPr>
      </w:pPr>
      <w:r>
        <w:rPr>
          <w:rStyle w:val="CharStyle3"/>
          <w:b/>
          <w:bCs/>
          <w:color w:val="FFFFFF"/>
          <w:sz w:val="12"/>
          <w:szCs w:val="12"/>
        </w:rPr>
        <w:t>EE</w:t>
      </w:r>
    </w:p>
    <w:p>
      <w:pPr>
        <w:pStyle w:val="Style2"/>
        <w:keepNext w:val="0"/>
        <w:keepLines w:val="0"/>
        <w:framePr w:w="509" w:h="350" w:wrap="none" w:vAnchor="text" w:hAnchor="page" w:x="9135" w:y="47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center"/>
        <w:rPr>
          <w:sz w:val="12"/>
          <w:szCs w:val="12"/>
        </w:rPr>
      </w:pPr>
      <w:r>
        <w:rPr>
          <w:rStyle w:val="CharStyle3"/>
          <w:b/>
          <w:bCs/>
          <w:color w:val="FFFFFF"/>
          <w:sz w:val="12"/>
          <w:szCs w:val="12"/>
        </w:rPr>
        <w:t>-0 TWh</w:t>
      </w:r>
    </w:p>
    <w:p>
      <w:pPr>
        <w:pStyle w:val="Style2"/>
        <w:keepNext w:val="0"/>
        <w:keepLines w:val="0"/>
        <w:framePr w:w="581" w:h="360" w:wrap="none" w:vAnchor="text" w:hAnchor="page" w:x="9221" w:y="551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66" w:lineRule="auto"/>
        <w:ind w:left="0" w:right="0" w:firstLine="0"/>
        <w:jc w:val="right"/>
        <w:rPr>
          <w:sz w:val="12"/>
          <w:szCs w:val="12"/>
        </w:rPr>
      </w:pPr>
      <w:r>
        <w:rPr>
          <w:rStyle w:val="CharStyle3"/>
          <w:b/>
          <w:bCs/>
          <w:color w:val="FFFFFF"/>
          <w:sz w:val="12"/>
          <w:szCs w:val="12"/>
        </w:rPr>
        <w:t>LV , +4 TWh</w:t>
      </w:r>
    </w:p>
    <w:p>
      <w:pPr>
        <w:pStyle w:val="Style2"/>
        <w:keepNext w:val="0"/>
        <w:keepLines w:val="0"/>
        <w:framePr w:w="562" w:h="379" w:wrap="none" w:vAnchor="text" w:hAnchor="page" w:x="5818" w:y="900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IT 52 TWh</w:t>
      </w:r>
    </w:p>
    <w:p>
      <w:pPr>
        <w:pStyle w:val="Style2"/>
        <w:keepNext w:val="0"/>
        <w:keepLines w:val="0"/>
        <w:framePr w:w="619" w:h="379" w:wrap="none" w:vAnchor="text" w:hAnchor="page" w:x="6648" w:y="829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AT +20 TWh</w:t>
      </w:r>
    </w:p>
    <w:p>
      <w:pPr>
        <w:pStyle w:val="Style2"/>
        <w:keepNext w:val="0"/>
        <w:keepLines w:val="0"/>
        <w:framePr w:w="648" w:h="379" w:wrap="none" w:vAnchor="text" w:hAnchor="page" w:x="3178" w:y="68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UK +25 TWh</w:t>
      </w:r>
    </w:p>
    <w:p>
      <w:pPr>
        <w:pStyle w:val="Style2"/>
        <w:keepNext w:val="0"/>
        <w:keepLines w:val="0"/>
        <w:framePr w:w="638" w:h="331" w:wrap="none" w:vAnchor="text" w:hAnchor="page" w:x="4071" w:y="85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FR +52 TWh</w:t>
      </w:r>
    </w:p>
    <w:p>
      <w:pPr>
        <w:pStyle w:val="Style2"/>
        <w:keepNext w:val="0"/>
        <w:keepLines w:val="0"/>
        <w:framePr w:w="643" w:h="379" w:wrap="none" w:vAnchor="text" w:hAnchor="page" w:x="5746" w:y="71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DE +61 TWh</w:t>
      </w:r>
    </w:p>
    <w:p>
      <w:pPr>
        <w:pStyle w:val="Style2"/>
        <w:keepNext w:val="0"/>
        <w:keepLines w:val="0"/>
        <w:framePr w:w="926" w:h="355" w:wrap="none" w:vAnchor="text" w:hAnchor="page" w:x="6783" w:y="8867"/>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26" w:lineRule="auto"/>
        <w:ind w:left="0" w:right="0" w:firstLine="0"/>
        <w:jc w:val="left"/>
        <w:rPr>
          <w:sz w:val="12"/>
          <w:szCs w:val="12"/>
        </w:rPr>
      </w:pPr>
      <w:r>
        <w:rPr>
          <w:rStyle w:val="CharStyle3"/>
          <w:b/>
          <w:bCs/>
          <w:color w:val="FFFFFF"/>
          <w:sz w:val="12"/>
          <w:szCs w:val="12"/>
        </w:rPr>
        <w:t>■ 1 TWh HR '■- '+3 TWh</w:t>
      </w:r>
    </w:p>
    <w:p>
      <w:pPr>
        <w:widowControl w:val="0"/>
        <w:spacing w:line="360" w:lineRule="exact"/>
      </w:pPr>
      <w:r>
        <w:drawing>
          <wp:anchor distT="0" distB="0" distL="0" distR="0" simplePos="0" relativeHeight="62914804" behindDoc="1" locked="0" layoutInCell="1" allowOverlap="1">
            <wp:simplePos x="0" y="0"/>
            <wp:positionH relativeFrom="page">
              <wp:posOffset>871220</wp:posOffset>
            </wp:positionH>
            <wp:positionV relativeFrom="paragraph">
              <wp:posOffset>414655</wp:posOffset>
            </wp:positionV>
            <wp:extent cx="6407150" cy="7235825"/>
            <wp:wrapNone/>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261"/>
                    <a:stretch/>
                  </pic:blipFill>
                  <pic:spPr>
                    <a:xfrm>
                      <a:ext cx="6407150" cy="7235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Restart w:val="continuous"/>
          </w:footnotePr>
          <w:type w:val="continuous"/>
          <w:pgSz w:w="12142" w:h="17375"/>
          <w:pgMar w:top="1003" w:right="680" w:bottom="586" w:left="680" w:header="0" w:footer="3" w:gutter="682"/>
          <w:cols w:space="720"/>
          <w:noEndnote/>
          <w:rtlGutter w:val="0"/>
          <w:docGrid w:linePitch="360"/>
        </w:sectPr>
      </w:pPr>
    </w:p>
    <w:p>
      <w:pPr>
        <w:widowControl w:val="0"/>
        <w:spacing w:line="1" w:lineRule="exact"/>
      </w:pPr>
      <w:r>
        <w:drawing>
          <wp:anchor distT="0" distB="283210" distL="1014730" distR="311150" simplePos="0" relativeHeight="125829482" behindDoc="0" locked="0" layoutInCell="1" allowOverlap="1">
            <wp:simplePos x="0" y="0"/>
            <wp:positionH relativeFrom="margin">
              <wp:posOffset>1015365</wp:posOffset>
            </wp:positionH>
            <wp:positionV relativeFrom="paragraph">
              <wp:posOffset>1749425</wp:posOffset>
            </wp:positionV>
            <wp:extent cx="572770" cy="1292225"/>
            <wp:wrapTopAndBottom/>
            <wp:docPr id="395" name="Shape 395"/>
            <a:graphic xmlns:a="http://schemas.openxmlformats.org/drawingml/2006/main">
              <a:graphicData uri="http://schemas.openxmlformats.org/drawingml/2006/picture">
                <pic:pic xmlns:pic="http://schemas.openxmlformats.org/drawingml/2006/picture">
                  <pic:nvPicPr>
                    <pic:cNvPr id="396" name="Picture box 396"/>
                    <pic:cNvPicPr/>
                  </pic:nvPicPr>
                  <pic:blipFill>
                    <a:blip r:embed="rId263"/>
                    <a:stretch/>
                  </pic:blipFill>
                  <pic:spPr>
                    <a:xfrm>
                      <a:ext cx="572770" cy="129222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margin">
                  <wp:posOffset>635</wp:posOffset>
                </wp:positionH>
                <wp:positionV relativeFrom="paragraph">
                  <wp:posOffset>3133090</wp:posOffset>
                </wp:positionV>
                <wp:extent cx="1898650" cy="189230"/>
                <wp:wrapNone/>
                <wp:docPr id="397" name="Shape 397"/>
                <a:graphic xmlns:a="http://schemas.openxmlformats.org/drawingml/2006/main">
                  <a:graphicData uri="http://schemas.microsoft.com/office/word/2010/wordprocessingShape">
                    <wps:wsp>
                      <wps:cNvSpPr txBox="1"/>
                      <wps:spPr>
                        <a:xfrm>
                          <a:ext cx="1898650" cy="18923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Progresivní 2025</w:t>
                            </w:r>
                          </w:p>
                        </w:txbxContent>
                      </wps:txbx>
                      <wps:bodyPr lIns="0" tIns="0" rIns="0" bIns="0">
                        <a:noAutoFit/>
                      </wps:bodyPr>
                    </wps:wsp>
                  </a:graphicData>
                </a:graphic>
              </wp:anchor>
            </w:drawing>
          </mc:Choice>
          <mc:Fallback>
            <w:pict>
              <v:shape id="_x0000_s1423" type="#_x0000_t202" style="position:absolute;margin-left:5.0000000000000003e-002pt;margin-top:246.70000000000002pt;width:149.5pt;height:14.9pt;z-index:25165779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Progresivní 2025</w:t>
                      </w:r>
                    </w:p>
                  </w:txbxContent>
                </v:textbox>
                <w10:wrap anchorx="margin"/>
              </v:shape>
            </w:pict>
          </mc:Fallback>
        </mc:AlternateContent>
      </w:r>
      <w:r>
        <w:drawing>
          <wp:anchor distT="0" distB="0" distL="114300" distR="114300" simplePos="0" relativeHeight="125829483" behindDoc="0" locked="0" layoutInCell="1" allowOverlap="1">
            <wp:simplePos x="0" y="0"/>
            <wp:positionH relativeFrom="margin">
              <wp:posOffset>2404745</wp:posOffset>
            </wp:positionH>
            <wp:positionV relativeFrom="paragraph">
              <wp:posOffset>1374775</wp:posOffset>
            </wp:positionV>
            <wp:extent cx="2023745" cy="1957070"/>
            <wp:wrapSquare wrapText="bothSides"/>
            <wp:docPr id="399" name="Shape 399"/>
            <a:graphic xmlns:a="http://schemas.openxmlformats.org/drawingml/2006/main">
              <a:graphicData uri="http://schemas.openxmlformats.org/drawingml/2006/picture">
                <pic:pic xmlns:pic="http://schemas.openxmlformats.org/drawingml/2006/picture">
                  <pic:nvPicPr>
                    <pic:cNvPr id="400" name="Picture box 400"/>
                    <pic:cNvPicPr/>
                  </pic:nvPicPr>
                  <pic:blipFill>
                    <a:blip r:embed="rId265"/>
                    <a:stretch/>
                  </pic:blipFill>
                  <pic:spPr>
                    <a:xfrm>
                      <a:ext cx="2023745" cy="1957070"/>
                    </a:xfrm>
                    <a:prstGeom prst="rect"/>
                  </pic:spPr>
                </pic:pic>
              </a:graphicData>
            </a:graphic>
          </wp:anchor>
        </w:drawing>
      </w:r>
      <w:r>
        <w:drawing>
          <wp:anchor distT="0" distB="313690" distL="114300" distR="114300" simplePos="0" relativeHeight="125829484" behindDoc="0" locked="0" layoutInCell="1" allowOverlap="1">
            <wp:simplePos x="0" y="0"/>
            <wp:positionH relativeFrom="margin">
              <wp:posOffset>5160010</wp:posOffset>
            </wp:positionH>
            <wp:positionV relativeFrom="paragraph">
              <wp:posOffset>1179830</wp:posOffset>
            </wp:positionV>
            <wp:extent cx="609600" cy="1877695"/>
            <wp:wrapSquare wrapText="bothSides"/>
            <wp:docPr id="401" name="Shape 401"/>
            <a:graphic xmlns:a="http://schemas.openxmlformats.org/drawingml/2006/main">
              <a:graphicData uri="http://schemas.openxmlformats.org/drawingml/2006/picture">
                <pic:pic xmlns:pic="http://schemas.openxmlformats.org/drawingml/2006/picture">
                  <pic:nvPicPr>
                    <pic:cNvPr id="402" name="Picture box 402"/>
                    <pic:cNvPicPr/>
                  </pic:nvPicPr>
                  <pic:blipFill>
                    <a:blip r:embed="rId267"/>
                    <a:stretch/>
                  </pic:blipFill>
                  <pic:spPr>
                    <a:xfrm>
                      <a:ext cx="609600" cy="1877695"/>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margin">
                  <wp:posOffset>5242560</wp:posOffset>
                </wp:positionH>
                <wp:positionV relativeFrom="paragraph">
                  <wp:posOffset>3133725</wp:posOffset>
                </wp:positionV>
                <wp:extent cx="448310" cy="237490"/>
                <wp:wrapNone/>
                <wp:docPr id="403" name="Shape 403"/>
                <a:graphic xmlns:a="http://schemas.openxmlformats.org/drawingml/2006/main">
                  <a:graphicData uri="http://schemas.microsoft.com/office/word/2010/wordprocessingShape">
                    <wps:wsp>
                      <wps:cNvSpPr txBox="1"/>
                      <wps:spPr>
                        <a:xfrm>
                          <a:ext cx="448310" cy="237490"/>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Progresivní 2040</w:t>
                            </w:r>
                          </w:p>
                        </w:txbxContent>
                      </wps:txbx>
                      <wps:bodyPr lIns="0" tIns="0" rIns="0" bIns="0">
                        <a:noAutoFit/>
                      </wps:bodyPr>
                    </wps:wsp>
                  </a:graphicData>
                </a:graphic>
              </wp:anchor>
            </w:drawing>
          </mc:Choice>
          <mc:Fallback>
            <w:pict>
              <v:shape id="_x0000_s1429" type="#_x0000_t202" style="position:absolute;margin-left:412.80000000000001pt;margin-top:246.75pt;width:35.300000000000004pt;height:18.699999999999999pt;z-index:251657797;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Progresivní 2040</w:t>
                      </w:r>
                    </w:p>
                  </w:txbxContent>
                </v:textbox>
                <w10:wrap anchorx="margin"/>
              </v:shape>
            </w:pict>
          </mc:Fallback>
        </mc:AlternateContent>
      </w:r>
    </w:p>
    <w:p>
      <w:pPr>
        <w:pStyle w:val="Style27"/>
        <w:keepNext/>
        <w:keepLines/>
        <w:widowControl w:val="0"/>
        <w:numPr>
          <w:ilvl w:val="2"/>
          <w:numId w:val="33"/>
        </w:numPr>
        <w:shd w:val="clear" w:color="auto" w:fill="auto"/>
        <w:tabs>
          <w:tab w:pos="627" w:val="left"/>
        </w:tabs>
        <w:bidi w:val="0"/>
        <w:spacing w:before="0" w:after="640" w:line="240" w:lineRule="auto"/>
        <w:ind w:left="0" w:right="0" w:firstLine="0"/>
        <w:jc w:val="left"/>
      </w:pPr>
      <w:bookmarkStart w:id="216" w:name="bookmark216"/>
      <w:r>
        <w:rPr>
          <w:rStyle w:val="CharStyle28"/>
          <w:b/>
          <w:bCs/>
        </w:rPr>
        <w:t>PROGRESIVNÍ SCÉNÁŘ</w:t>
      </w:r>
      <w:bookmarkEnd w:id="216"/>
    </w:p>
    <w:p>
      <w:pPr>
        <w:pStyle w:val="Style15"/>
        <w:keepNext/>
        <w:keepLines/>
        <w:widowControl w:val="0"/>
        <w:shd w:val="clear" w:color="auto" w:fill="auto"/>
        <w:bidi w:val="0"/>
        <w:spacing w:before="0" w:after="460" w:line="240" w:lineRule="auto"/>
        <w:ind w:left="0" w:right="0" w:firstLine="0"/>
        <w:jc w:val="left"/>
      </w:pPr>
      <w:bookmarkStart w:id="218" w:name="bookmark218"/>
      <w:r>
        <w:rPr>
          <w:rStyle w:val="CharStyle16"/>
          <w:b/>
          <w:bCs/>
        </w:rPr>
        <w:t>Obr. 6.22 Roční bilance v Progresivním scénáři pro jednotlivé roky a kategorie zdrojů</w:t>
      </w:r>
      <w:bookmarkEnd w:id="218"/>
    </w:p>
    <w:p>
      <w:pPr>
        <w:pStyle w:val="Style37"/>
        <w:keepNext w:val="0"/>
        <w:keepLines w:val="0"/>
        <w:widowControl w:val="0"/>
        <w:shd w:val="clear" w:color="auto" w:fill="auto"/>
        <w:bidi w:val="0"/>
        <w:spacing w:before="0" w:after="100" w:line="271" w:lineRule="auto"/>
        <w:ind w:left="0" w:right="0" w:firstLine="300"/>
        <w:jc w:val="left"/>
        <w:rPr>
          <w:sz w:val="12"/>
          <w:szCs w:val="12"/>
        </w:rPr>
      </w:pPr>
      <w:r>
        <w:rPr>
          <w:rStyle w:val="CharStyle38"/>
          <w:b/>
          <w:bCs/>
          <w:color w:val="006AB4"/>
          <w:sz w:val="12"/>
          <w:szCs w:val="12"/>
        </w:rPr>
        <w:t>110 000</w:t>
      </w:r>
    </w:p>
    <w:p>
      <w:pPr>
        <w:pStyle w:val="Style37"/>
        <w:keepNext w:val="0"/>
        <w:keepLines w:val="0"/>
        <w:widowControl w:val="0"/>
        <w:shd w:val="clear" w:color="auto" w:fill="auto"/>
        <w:bidi w:val="0"/>
        <w:spacing w:before="0" w:after="100" w:line="271" w:lineRule="auto"/>
        <w:ind w:left="0" w:right="0" w:firstLine="300"/>
        <w:jc w:val="left"/>
        <w:rPr>
          <w:sz w:val="12"/>
          <w:szCs w:val="12"/>
        </w:rPr>
      </w:pPr>
      <w:r>
        <w:rPr>
          <w:rStyle w:val="CharStyle38"/>
          <w:b/>
          <w:bCs/>
          <w:color w:val="006AB4"/>
          <w:sz w:val="12"/>
          <w:szCs w:val="12"/>
        </w:rPr>
        <w:t>100 000</w:t>
      </w:r>
    </w:p>
    <w:p>
      <w:pPr>
        <w:pStyle w:val="Style37"/>
        <w:keepNext w:val="0"/>
        <w:keepLines w:val="0"/>
        <w:widowControl w:val="0"/>
        <w:shd w:val="clear" w:color="auto" w:fill="auto"/>
        <w:bidi w:val="0"/>
        <w:spacing w:before="0" w:after="100" w:line="271" w:lineRule="auto"/>
        <w:ind w:left="0" w:right="0" w:firstLine="380"/>
        <w:jc w:val="left"/>
        <w:rPr>
          <w:sz w:val="12"/>
          <w:szCs w:val="12"/>
        </w:rPr>
      </w:pPr>
      <w:r>
        <w:rPr>
          <w:rStyle w:val="CharStyle38"/>
          <w:b/>
          <w:bCs/>
          <w:color w:val="006AB4"/>
          <w:sz w:val="12"/>
          <w:szCs w:val="12"/>
        </w:rPr>
        <w:t>90 000</w:t>
      </w:r>
    </w:p>
    <w:p>
      <w:pPr>
        <w:pStyle w:val="Style37"/>
        <w:keepNext w:val="0"/>
        <w:keepLines w:val="0"/>
        <w:widowControl w:val="0"/>
        <w:shd w:val="clear" w:color="auto" w:fill="auto"/>
        <w:tabs>
          <w:tab w:pos="384" w:val="left"/>
        </w:tabs>
        <w:bidi w:val="0"/>
        <w:spacing w:before="0" w:after="0" w:line="240" w:lineRule="auto"/>
        <w:ind w:left="0" w:right="0" w:firstLine="0"/>
        <w:jc w:val="left"/>
        <w:rPr>
          <w:sz w:val="12"/>
          <w:szCs w:val="12"/>
        </w:rPr>
      </w:pPr>
      <w:r>
        <w:rPr>
          <w:rStyle w:val="CharStyle38"/>
          <w:b/>
          <w:bCs/>
          <w:color w:val="006AB4"/>
          <w:sz w:val="12"/>
          <w:szCs w:val="12"/>
        </w:rPr>
        <w:t>„</w:t>
        <w:tab/>
        <w:t>80 000</w:t>
      </w:r>
    </w:p>
    <w:p>
      <w:pPr>
        <w:pStyle w:val="Style37"/>
        <w:keepNext w:val="0"/>
        <w:keepLines w:val="0"/>
        <w:widowControl w:val="0"/>
        <w:shd w:val="clear" w:color="auto" w:fill="auto"/>
        <w:bidi w:val="0"/>
        <w:spacing w:before="0" w:after="0" w:line="199" w:lineRule="auto"/>
        <w:ind w:left="0" w:right="0" w:firstLine="0"/>
        <w:jc w:val="left"/>
        <w:rPr>
          <w:sz w:val="12"/>
          <w:szCs w:val="12"/>
        </w:rPr>
      </w:pPr>
      <w:r>
        <w:rPr>
          <w:rStyle w:val="CharStyle38"/>
          <w:b/>
          <w:bCs/>
          <w:color w:val="006AB4"/>
          <w:sz w:val="12"/>
          <w:szCs w:val="12"/>
        </w:rPr>
        <w:t>-C</w:t>
      </w:r>
    </w:p>
    <w:p>
      <w:pPr>
        <w:pStyle w:val="Style37"/>
        <w:keepNext w:val="0"/>
        <w:keepLines w:val="0"/>
        <w:widowControl w:val="0"/>
        <w:shd w:val="clear" w:color="auto" w:fill="auto"/>
        <w:tabs>
          <w:tab w:pos="384" w:val="left"/>
        </w:tabs>
        <w:bidi w:val="0"/>
        <w:spacing w:before="0" w:after="0" w:line="240" w:lineRule="auto"/>
        <w:ind w:left="0" w:right="0" w:firstLine="0"/>
        <w:jc w:val="left"/>
        <w:rPr>
          <w:sz w:val="12"/>
          <w:szCs w:val="12"/>
        </w:rPr>
      </w:pPr>
      <w:r>
        <w:rPr>
          <w:rStyle w:val="CharStyle38"/>
          <w:b/>
          <w:bCs/>
          <w:color w:val="006AB4"/>
          <w:sz w:val="12"/>
          <w:szCs w:val="12"/>
        </w:rPr>
        <w:t>§</w:t>
        <w:tab/>
        <w:t>70 000</w:t>
      </w:r>
    </w:p>
    <w:p>
      <w:pPr>
        <w:pStyle w:val="Style75"/>
        <w:keepNext w:val="0"/>
        <w:keepLines w:val="0"/>
        <w:widowControl w:val="0"/>
        <w:shd w:val="clear" w:color="auto" w:fill="auto"/>
        <w:bidi w:val="0"/>
        <w:spacing w:before="0" w:after="40" w:line="180" w:lineRule="auto"/>
        <w:ind w:left="0" w:right="0" w:firstLine="0"/>
        <w:jc w:val="left"/>
      </w:pPr>
      <w:r>
        <w:rPr>
          <w:rStyle w:val="CharStyle76"/>
          <w:color w:val="006AB4"/>
        </w:rPr>
        <w:t>u</w:t>
      </w:r>
    </w:p>
    <w:p>
      <w:pPr>
        <w:pStyle w:val="Style37"/>
        <w:keepNext w:val="0"/>
        <w:keepLines w:val="0"/>
        <w:widowControl w:val="0"/>
        <w:shd w:val="clear" w:color="auto" w:fill="auto"/>
        <w:bidi w:val="0"/>
        <w:spacing w:before="0" w:after="100" w:line="240" w:lineRule="auto"/>
        <w:ind w:left="0" w:right="0" w:firstLine="0"/>
        <w:jc w:val="left"/>
        <w:rPr>
          <w:sz w:val="12"/>
          <w:szCs w:val="12"/>
        </w:rPr>
      </w:pPr>
      <w:r>
        <w:rPr>
          <w:rStyle w:val="CharStyle38"/>
          <w:b/>
          <w:bCs/>
          <w:color w:val="006AB4"/>
          <w:sz w:val="12"/>
          <w:szCs w:val="12"/>
        </w:rPr>
        <w:t>J 60 000 o &gt; 50 000</w:t>
      </w:r>
    </w:p>
    <w:p>
      <w:pPr>
        <w:pStyle w:val="Style37"/>
        <w:keepNext w:val="0"/>
        <w:keepLines w:val="0"/>
        <w:widowControl w:val="0"/>
        <w:shd w:val="clear" w:color="auto" w:fill="auto"/>
        <w:tabs>
          <w:tab w:pos="384" w:val="left"/>
        </w:tabs>
        <w:bidi w:val="0"/>
        <w:spacing w:before="0" w:after="0" w:line="240" w:lineRule="auto"/>
        <w:ind w:left="0" w:right="0" w:firstLine="0"/>
        <w:jc w:val="left"/>
        <w:rPr>
          <w:sz w:val="12"/>
          <w:szCs w:val="12"/>
        </w:rPr>
      </w:pPr>
      <w:r>
        <w:rPr>
          <w:rStyle w:val="CharStyle38"/>
          <w:b/>
          <w:bCs/>
          <w:color w:val="006AB4"/>
          <w:sz w:val="12"/>
          <w:szCs w:val="12"/>
        </w:rPr>
        <w:t>S</w:t>
        <w:tab/>
        <w:t>40 000</w:t>
      </w:r>
    </w:p>
    <w:p>
      <w:pPr>
        <w:pStyle w:val="Style37"/>
        <w:keepNext w:val="0"/>
        <w:keepLines w:val="0"/>
        <w:widowControl w:val="0"/>
        <w:shd w:val="clear" w:color="auto" w:fill="auto"/>
        <w:bidi w:val="0"/>
        <w:spacing w:before="0" w:after="0" w:line="180" w:lineRule="auto"/>
        <w:ind w:left="0" w:right="0" w:firstLine="0"/>
        <w:jc w:val="left"/>
        <w:rPr>
          <w:sz w:val="12"/>
          <w:szCs w:val="12"/>
        </w:rPr>
      </w:pPr>
      <w:r>
        <w:rPr>
          <w:rStyle w:val="CharStyle38"/>
          <w:b/>
          <w:bCs/>
          <w:color w:val="006AB4"/>
          <w:sz w:val="12"/>
          <w:szCs w:val="12"/>
        </w:rPr>
        <w:t>(U</w:t>
      </w:r>
    </w:p>
    <w:p>
      <w:pPr>
        <w:pStyle w:val="Style37"/>
        <w:keepNext w:val="0"/>
        <w:keepLines w:val="0"/>
        <w:widowControl w:val="0"/>
        <w:shd w:val="clear" w:color="auto" w:fill="auto"/>
        <w:bidi w:val="0"/>
        <w:spacing w:before="0" w:after="0" w:line="271" w:lineRule="auto"/>
        <w:ind w:left="0" w:right="0" w:firstLine="0"/>
        <w:jc w:val="left"/>
        <w:rPr>
          <w:sz w:val="12"/>
          <w:szCs w:val="12"/>
        </w:rPr>
      </w:pPr>
      <w:r>
        <w:rPr>
          <w:rStyle w:val="CharStyle38"/>
          <w:b/>
          <w:bCs/>
          <w:color w:val="006AB4"/>
          <w:sz w:val="12"/>
          <w:szCs w:val="12"/>
          <w:vertAlign w:val="superscript"/>
        </w:rPr>
        <w:t>Z</w:t>
      </w:r>
      <w:r>
        <w:rPr>
          <w:rStyle w:val="CharStyle38"/>
          <w:b/>
          <w:bCs/>
          <w:color w:val="006AB4"/>
          <w:sz w:val="12"/>
          <w:szCs w:val="12"/>
        </w:rPr>
        <w:t xml:space="preserve"> 30 000</w:t>
      </w:r>
    </w:p>
    <w:p>
      <w:pPr>
        <w:pStyle w:val="Style37"/>
        <w:keepNext w:val="0"/>
        <w:keepLines w:val="0"/>
        <w:widowControl w:val="0"/>
        <w:shd w:val="clear" w:color="auto" w:fill="auto"/>
        <w:bidi w:val="0"/>
        <w:spacing w:before="0" w:after="100" w:line="271" w:lineRule="auto"/>
        <w:ind w:left="0" w:right="0" w:firstLine="380"/>
        <w:jc w:val="left"/>
        <w:rPr>
          <w:sz w:val="12"/>
          <w:szCs w:val="12"/>
        </w:rPr>
      </w:pPr>
      <w:r>
        <w:rPr>
          <w:rStyle w:val="CharStyle38"/>
          <w:b/>
          <w:bCs/>
          <w:color w:val="006AB4"/>
          <w:sz w:val="12"/>
          <w:szCs w:val="12"/>
        </w:rPr>
        <w:t>20 000</w:t>
      </w:r>
    </w:p>
    <w:p>
      <w:pPr>
        <w:pStyle w:val="Style37"/>
        <w:keepNext w:val="0"/>
        <w:keepLines w:val="0"/>
        <w:widowControl w:val="0"/>
        <w:shd w:val="clear" w:color="auto" w:fill="auto"/>
        <w:bidi w:val="0"/>
        <w:spacing w:before="0" w:after="100" w:line="271" w:lineRule="auto"/>
        <w:ind w:left="0" w:right="0" w:firstLine="380"/>
        <w:jc w:val="left"/>
        <w:rPr>
          <w:sz w:val="12"/>
          <w:szCs w:val="12"/>
        </w:rPr>
      </w:pPr>
      <w:r>
        <w:rPr>
          <w:rStyle w:val="CharStyle38"/>
          <w:b/>
          <w:bCs/>
          <w:color w:val="006AB4"/>
          <w:sz w:val="12"/>
          <w:szCs w:val="12"/>
        </w:rPr>
        <w:t>10 000</w:t>
      </w:r>
    </w:p>
    <w:p>
      <w:pPr>
        <w:pStyle w:val="Style37"/>
        <w:keepNext w:val="0"/>
        <w:keepLines w:val="0"/>
        <w:widowControl w:val="0"/>
        <w:shd w:val="clear" w:color="auto" w:fill="auto"/>
        <w:bidi w:val="0"/>
        <w:spacing w:before="0" w:after="0" w:line="271" w:lineRule="auto"/>
        <w:ind w:left="0" w:right="0" w:firstLine="700"/>
        <w:jc w:val="left"/>
        <w:rPr>
          <w:sz w:val="12"/>
          <w:szCs w:val="12"/>
        </w:rPr>
        <w:sectPr>
          <w:footnotePr>
            <w:pos w:val="pageBottom"/>
            <w:numFmt w:val="decimal"/>
            <w:numRestart w:val="continuous"/>
          </w:footnotePr>
          <w:pgSz w:w="12142" w:h="17375"/>
          <w:pgMar w:top="1281" w:right="834" w:bottom="5635" w:left="834" w:header="0" w:footer="3" w:gutter="8875"/>
          <w:cols w:space="720"/>
          <w:noEndnote/>
          <w:rtlGutter w:val="0"/>
          <w:docGrid w:linePitch="360"/>
        </w:sectPr>
      </w:pPr>
      <w:r>
        <w:rPr>
          <w:rStyle w:val="CharStyle38"/>
          <w:b/>
          <w:bCs/>
          <w:color w:val="006AB4"/>
          <w:sz w:val="12"/>
          <w:szCs w:val="12"/>
        </w:rPr>
        <w:t>0</w:t>
      </w:r>
    </w:p>
    <w:p>
      <w:pPr>
        <w:widowControl w:val="0"/>
        <w:spacing w:line="205" w:lineRule="exact"/>
        <w:rPr>
          <w:sz w:val="16"/>
          <w:szCs w:val="16"/>
        </w:rPr>
      </w:pPr>
    </w:p>
    <w:p>
      <w:pPr>
        <w:widowControl w:val="0"/>
        <w:spacing w:line="1" w:lineRule="exact"/>
        <w:sectPr>
          <w:footnotePr>
            <w:pos w:val="pageBottom"/>
            <w:numFmt w:val="decimal"/>
            <w:numRestart w:val="continuous"/>
          </w:footnotePr>
          <w:type w:val="continuous"/>
          <w:pgSz w:w="12142" w:h="17375"/>
          <w:pgMar w:top="1281" w:right="0" w:bottom="5635"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85" behindDoc="0" locked="0" layoutInCell="1" allowOverlap="1">
                <wp:simplePos x="0" y="0"/>
                <wp:positionH relativeFrom="margin">
                  <wp:posOffset>4367530</wp:posOffset>
                </wp:positionH>
                <wp:positionV relativeFrom="paragraph">
                  <wp:posOffset>12700</wp:posOffset>
                </wp:positionV>
                <wp:extent cx="1143000" cy="514985"/>
                <wp:wrapSquare wrapText="bothSides"/>
                <wp:docPr id="405" name="Shape 405"/>
                <a:graphic xmlns:a="http://schemas.openxmlformats.org/drawingml/2006/main">
                  <a:graphicData uri="http://schemas.microsoft.com/office/word/2010/wordprocessingShape">
                    <wps:wsp>
                      <wps:cNvSpPr txBox="1"/>
                      <wps:spPr>
                        <a:xfrm>
                          <a:ext cx="1143000" cy="514985"/>
                        </a:xfrm>
                        <a:prstGeom prst="rect"/>
                        <a:solidFill>
                          <a:srgbClr val="F7FCFF"/>
                        </a:solidFill>
                      </wps:spPr>
                      <wps:txbx>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wps:txbx>
                      <wps:bodyPr lIns="0" tIns="0" rIns="0" bIns="0">
                        <a:noAutoFit/>
                      </wps:bodyPr>
                    </wps:wsp>
                  </a:graphicData>
                </a:graphic>
              </wp:anchor>
            </w:drawing>
          </mc:Choice>
          <mc:Fallback>
            <w:pict>
              <v:shape id="_x0000_s1431" type="#_x0000_t202" style="position:absolute;margin-left:343.90000000000003pt;margin-top:1.pt;width:90.pt;height:40.550000000000004pt;z-index:-125829268;mso-wrap-distance-left:9.pt;mso-wrap-distance-right:9.pt;mso-position-horizontal-relative:margin" fillcolor="#F7FCFF" stroked="f">
                <v:textbox inset="0,0,0,0">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v:textbox>
                <w10:wrap type="square" anchorx="margin"/>
              </v:shape>
            </w:pict>
          </mc:Fallback>
        </mc:AlternateContent>
      </w:r>
    </w:p>
    <w:p>
      <w:pPr>
        <w:pStyle w:val="Style75"/>
        <w:keepNext w:val="0"/>
        <w:keepLines w:val="0"/>
        <w:widowControl w:val="0"/>
        <w:shd w:val="clear" w:color="auto" w:fill="auto"/>
        <w:bidi w:val="0"/>
        <w:spacing w:before="0" w:after="60" w:line="240" w:lineRule="auto"/>
        <w:ind w:left="0" w:right="0" w:firstLine="920"/>
        <w:jc w:val="left"/>
      </w:pPr>
      <w:r>
        <w:rPr>
          <w:rStyle w:val="CharStyle76"/>
        </w:rPr>
        <w:t>| Nedodávka</w:t>
      </w:r>
    </w:p>
    <w:p>
      <w:pPr>
        <w:pStyle w:val="Style75"/>
        <w:keepNext w:val="0"/>
        <w:keepLines w:val="0"/>
        <w:widowControl w:val="0"/>
        <w:shd w:val="clear" w:color="auto" w:fill="auto"/>
        <w:bidi w:val="0"/>
        <w:spacing w:before="0" w:after="60" w:line="240" w:lineRule="auto"/>
        <w:ind w:left="1260" w:right="0" w:firstLine="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92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0" w:line="240" w:lineRule="auto"/>
        <w:ind w:left="0" w:right="0" w:firstLine="920"/>
        <w:jc w:val="left"/>
      </w:pPr>
      <w:r>
        <w:rPr>
          <w:rStyle w:val="CharStyle76"/>
          <w:color w:val="006AB4"/>
        </w:rPr>
        <w:t xml:space="preserve">| </w:t>
      </w:r>
      <w:r>
        <w:rPr>
          <w:rStyle w:val="CharStyle76"/>
        </w:rPr>
        <w:t>Bateriová akumulace</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1BB8ED"/>
        </w:rPr>
        <w:t xml:space="preserve">| </w:t>
      </w:r>
      <w:r>
        <w:rPr>
          <w:rStyle w:val="CharStyle76"/>
        </w:rPr>
        <w:t>Vodní a přečerpávací elektrárny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FED851"/>
        </w:rPr>
        <w:t xml:space="preserve">| </w:t>
      </w:r>
      <w:r>
        <w:rPr>
          <w:rStyle w:val="CharStyle76"/>
        </w:rPr>
        <w:t>Fotovoltaické elektrárny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84539C"/>
        </w:rPr>
        <w:t xml:space="preserve">| </w:t>
      </w:r>
      <w:r>
        <w:rPr>
          <w:rStyle w:val="CharStyle76"/>
        </w:rPr>
        <w:t>Větrné elektrárny</w:t>
      </w:r>
    </w:p>
    <w:p>
      <w:pPr>
        <w:pStyle w:val="Style7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2" w:h="17375"/>
          <w:pgMar w:top="1281" w:right="835" w:bottom="5635" w:left="835" w:header="0" w:footer="3" w:gutter="4118"/>
          <w:cols w:num="2" w:space="575"/>
          <w:noEndnote/>
          <w:rtlGutter w:val="0"/>
          <w:docGrid w:linePitch="360"/>
        </w:sectPr>
      </w:pPr>
      <w:r>
        <w:rPr>
          <w:rStyle w:val="CharStyle76"/>
          <w:color w:val="27A851"/>
        </w:rPr>
        <w:t xml:space="preserve">| </w:t>
      </w:r>
      <w:r>
        <w:rPr>
          <w:rStyle w:val="CharStyle76"/>
        </w:rPr>
        <w:t>Ostatní OZE</w:t>
      </w:r>
    </w:p>
    <w:p>
      <w:pPr>
        <w:widowControl w:val="0"/>
        <w:spacing w:before="100" w:after="100"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281" w:right="0" w:bottom="1281" w:left="0" w:header="0" w:footer="3" w:gutter="0"/>
          <w:cols w:space="720"/>
          <w:noEndnote/>
          <w:rtlGutter w:val="0"/>
          <w:docGrid w:linePitch="360"/>
        </w:sectPr>
      </w:pPr>
    </w:p>
    <w:tbl>
      <w:tblPr>
        <w:tblOverlap w:val="never"/>
        <w:jc w:val="center"/>
        <w:tblLayout w:type="fixed"/>
      </w:tblPr>
      <w:tblGrid>
        <w:gridCol w:w="2698"/>
        <w:gridCol w:w="1766"/>
        <w:gridCol w:w="1762"/>
        <w:gridCol w:w="1766"/>
        <w:gridCol w:w="1776"/>
      </w:tblGrid>
      <w:tr>
        <w:trPr>
          <w:trHeight w:val="278" w:hRule="exact"/>
        </w:trPr>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2025</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2030</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2035</w:t>
            </w:r>
          </w:p>
        </w:tc>
        <w:tc>
          <w:tcPr>
            <w:tcBorders>
              <w:top w:val="single" w:sz="4"/>
              <w:left w:val="single" w:sz="4"/>
              <w:righ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Progresivní 2040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Nedodávka</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798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Saldo dovozu a vývozu</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2 121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15 218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19 981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19 961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42 GWh</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36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256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718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1 401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2 605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3 452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3 495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3 554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5 658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12 469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13 782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14 518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1 484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2 349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5 258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7 280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3 374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3 109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2 605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2 784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3 273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9 298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18 195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15 437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24 961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9 039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Jaderné elektrárny</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27 883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28 381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27 921 GWh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36 326 GWh</w:t>
            </w:r>
          </w:p>
        </w:tc>
      </w:tr>
    </w:tbl>
    <w:p>
      <w:pPr>
        <w:sectPr>
          <w:footnotePr>
            <w:pos w:val="pageBottom"/>
            <w:numFmt w:val="decimal"/>
            <w:numRestart w:val="continuous"/>
          </w:footnotePr>
          <w:type w:val="continuous"/>
          <w:pgSz w:w="12142" w:h="17375"/>
          <w:pgMar w:top="1281" w:right="834" w:bottom="1281" w:left="834" w:header="0" w:footer="3" w:gutter="682"/>
          <w:cols w:space="720"/>
          <w:noEndnote/>
          <w:rtlGutter w:val="0"/>
          <w:docGrid w:linePitch="360"/>
        </w:sectPr>
      </w:pPr>
    </w:p>
    <w:p>
      <w:pPr>
        <w:widowControl w:val="0"/>
        <w:spacing w:line="1" w:lineRule="exact"/>
      </w:pPr>
      <w:r>
        <w:drawing>
          <wp:anchor distT="0" distB="925830" distL="0" distR="0" simplePos="0" relativeHeight="125829487" behindDoc="0" locked="0" layoutInCell="1" allowOverlap="1">
            <wp:simplePos x="0" y="0"/>
            <wp:positionH relativeFrom="margin">
              <wp:posOffset>15240</wp:posOffset>
            </wp:positionH>
            <wp:positionV relativeFrom="paragraph">
              <wp:posOffset>0</wp:posOffset>
            </wp:positionV>
            <wp:extent cx="6193790" cy="2334895"/>
            <wp:wrapTopAndBottom/>
            <wp:docPr id="407" name="Shape 407"/>
            <a:graphic xmlns:a="http://schemas.openxmlformats.org/drawingml/2006/main">
              <a:graphicData uri="http://schemas.openxmlformats.org/drawingml/2006/picture">
                <pic:pic xmlns:pic="http://schemas.openxmlformats.org/drawingml/2006/picture">
                  <pic:nvPicPr>
                    <pic:cNvPr id="408" name="Picture box 408"/>
                    <pic:cNvPicPr/>
                  </pic:nvPicPr>
                  <pic:blipFill>
                    <a:blip r:embed="rId269"/>
                    <a:stretch/>
                  </pic:blipFill>
                  <pic:spPr>
                    <a:xfrm>
                      <a:ext cx="6193790" cy="2334895"/>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margin">
                  <wp:posOffset>3782695</wp:posOffset>
                </wp:positionH>
                <wp:positionV relativeFrom="paragraph">
                  <wp:posOffset>2338070</wp:posOffset>
                </wp:positionV>
                <wp:extent cx="414655" cy="121920"/>
                <wp:wrapNone/>
                <wp:docPr id="409" name="Shape 409"/>
                <a:graphic xmlns:a="http://schemas.openxmlformats.org/drawingml/2006/main">
                  <a:graphicData uri="http://schemas.microsoft.com/office/word/2010/wordprocessingShape">
                    <wps:wsp>
                      <wps:cNvSpPr txBox="1"/>
                      <wps:spPr>
                        <a:xfrm>
                          <a:ext cx="414655"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wps:txbx>
                      <wps:bodyPr lIns="0" tIns="0" rIns="0" bIns="0">
                        <a:noAutoFit/>
                      </wps:bodyPr>
                    </wps:wsp>
                  </a:graphicData>
                </a:graphic>
              </wp:anchor>
            </w:drawing>
          </mc:Choice>
          <mc:Fallback>
            <w:pict>
              <v:shape id="_x0000_s1435" type="#_x0000_t202" style="position:absolute;margin-left:297.85000000000002pt;margin-top:184.09999999999999pt;width:32.649999999999999pt;height:9.5999999999999996pt;z-index:25165779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v:textbox>
                <w10:wrap anchorx="margin"/>
              </v:shape>
            </w:pict>
          </mc:Fallback>
        </mc:AlternateContent>
      </w:r>
      <w:r>
        <mc:AlternateContent>
          <mc:Choice Requires="wps">
            <w:drawing>
              <wp:anchor distT="2675890" distB="444500" distL="0" distR="0" simplePos="0" relativeHeight="125829488" behindDoc="0" locked="0" layoutInCell="1" allowOverlap="1">
                <wp:simplePos x="0" y="0"/>
                <wp:positionH relativeFrom="margin">
                  <wp:posOffset>798830</wp:posOffset>
                </wp:positionH>
                <wp:positionV relativeFrom="paragraph">
                  <wp:posOffset>2675890</wp:posOffset>
                </wp:positionV>
                <wp:extent cx="814070" cy="140335"/>
                <wp:wrapTopAndBottom/>
                <wp:docPr id="411" name="Shape 411"/>
                <a:graphic xmlns:a="http://schemas.openxmlformats.org/drawingml/2006/main">
                  <a:graphicData uri="http://schemas.microsoft.com/office/word/2010/wordprocessingShape">
                    <wps:wsp>
                      <wps:cNvSpPr txBox="1"/>
                      <wps:spPr>
                        <a:xfrm>
                          <a:ext cx="81407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2025</w:t>
                            </w:r>
                          </w:p>
                        </w:txbxContent>
                      </wps:txbx>
                      <wps:bodyPr wrap="none" lIns="0" tIns="0" rIns="0" bIns="0">
                        <a:noAutoFit/>
                      </wps:bodyPr>
                    </wps:wsp>
                  </a:graphicData>
                </a:graphic>
              </wp:anchor>
            </w:drawing>
          </mc:Choice>
          <mc:Fallback>
            <w:pict>
              <v:shape id="_x0000_s1437" type="#_x0000_t202" style="position:absolute;margin-left:62.899999999999999pt;margin-top:210.70000000000002pt;width:64.099999999999994pt;height:11.050000000000001pt;z-index:-125829265;mso-wrap-distance-left:0;mso-wrap-distance-top:210.70000000000002pt;mso-wrap-distance-right:0;mso-wrap-distance-bottom:35.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2025</w:t>
                      </w:r>
                    </w:p>
                  </w:txbxContent>
                </v:textbox>
                <w10:wrap type="topAndBottom" anchorx="margin"/>
              </v:shape>
            </w:pict>
          </mc:Fallback>
        </mc:AlternateContent>
      </w:r>
      <w:r>
        <mc:AlternateContent>
          <mc:Choice Requires="wps">
            <w:drawing>
              <wp:anchor distT="2675890" distB="444500" distL="0" distR="0" simplePos="0" relativeHeight="125829490" behindDoc="0" locked="0" layoutInCell="1" allowOverlap="1">
                <wp:simplePos x="0" y="0"/>
                <wp:positionH relativeFrom="margin">
                  <wp:posOffset>2112010</wp:posOffset>
                </wp:positionH>
                <wp:positionV relativeFrom="paragraph">
                  <wp:posOffset>2675890</wp:posOffset>
                </wp:positionV>
                <wp:extent cx="816610" cy="140335"/>
                <wp:wrapTopAndBottom/>
                <wp:docPr id="413" name="Shape 413"/>
                <a:graphic xmlns:a="http://schemas.openxmlformats.org/drawingml/2006/main">
                  <a:graphicData uri="http://schemas.microsoft.com/office/word/2010/wordprocessingShape">
                    <wps:wsp>
                      <wps:cNvSpPr txBox="1"/>
                      <wps:spPr>
                        <a:xfrm>
                          <a:ext cx="81661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2030</w:t>
                            </w:r>
                          </w:p>
                        </w:txbxContent>
                      </wps:txbx>
                      <wps:bodyPr wrap="none" lIns="0" tIns="0" rIns="0" bIns="0">
                        <a:noAutoFit/>
                      </wps:bodyPr>
                    </wps:wsp>
                  </a:graphicData>
                </a:graphic>
              </wp:anchor>
            </w:drawing>
          </mc:Choice>
          <mc:Fallback>
            <w:pict>
              <v:shape id="_x0000_s1439" type="#_x0000_t202" style="position:absolute;margin-left:166.30000000000001pt;margin-top:210.70000000000002pt;width:64.299999999999997pt;height:11.050000000000001pt;z-index:-125829263;mso-wrap-distance-left:0;mso-wrap-distance-top:210.70000000000002pt;mso-wrap-distance-right:0;mso-wrap-distance-bottom:35.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2030</w:t>
                      </w:r>
                    </w:p>
                  </w:txbxContent>
                </v:textbox>
                <w10:wrap type="topAndBottom" anchorx="margin"/>
              </v:shape>
            </w:pict>
          </mc:Fallback>
        </mc:AlternateContent>
      </w:r>
      <w:r>
        <mc:AlternateContent>
          <mc:Choice Requires="wps">
            <w:drawing>
              <wp:anchor distT="2675890" distB="444500" distL="0" distR="0" simplePos="0" relativeHeight="125829492" behindDoc="0" locked="0" layoutInCell="1" allowOverlap="1">
                <wp:simplePos x="0" y="0"/>
                <wp:positionH relativeFrom="margin">
                  <wp:posOffset>3429000</wp:posOffset>
                </wp:positionH>
                <wp:positionV relativeFrom="paragraph">
                  <wp:posOffset>2675890</wp:posOffset>
                </wp:positionV>
                <wp:extent cx="814070" cy="140335"/>
                <wp:wrapTopAndBottom/>
                <wp:docPr id="415" name="Shape 415"/>
                <a:graphic xmlns:a="http://schemas.openxmlformats.org/drawingml/2006/main">
                  <a:graphicData uri="http://schemas.microsoft.com/office/word/2010/wordprocessingShape">
                    <wps:wsp>
                      <wps:cNvSpPr txBox="1"/>
                      <wps:spPr>
                        <a:xfrm>
                          <a:ext cx="81407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2035</w:t>
                            </w:r>
                          </w:p>
                        </w:txbxContent>
                      </wps:txbx>
                      <wps:bodyPr wrap="none" lIns="0" tIns="0" rIns="0" bIns="0">
                        <a:noAutoFit/>
                      </wps:bodyPr>
                    </wps:wsp>
                  </a:graphicData>
                </a:graphic>
              </wp:anchor>
            </w:drawing>
          </mc:Choice>
          <mc:Fallback>
            <w:pict>
              <v:shape id="_x0000_s1441" type="#_x0000_t202" style="position:absolute;margin-left:270.pt;margin-top:210.70000000000002pt;width:64.099999999999994pt;height:11.050000000000001pt;z-index:-125829261;mso-wrap-distance-left:0;mso-wrap-distance-top:210.70000000000002pt;mso-wrap-distance-right:0;mso-wrap-distance-bottom:35.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2035</w:t>
                      </w:r>
                    </w:p>
                  </w:txbxContent>
                </v:textbox>
                <w10:wrap type="topAndBottom" anchorx="margin"/>
              </v:shape>
            </w:pict>
          </mc:Fallback>
        </mc:AlternateContent>
      </w:r>
      <w:r>
        <mc:AlternateContent>
          <mc:Choice Requires="wps">
            <w:drawing>
              <wp:anchor distT="2675890" distB="444500" distL="0" distR="0" simplePos="0" relativeHeight="125829494" behindDoc="0" locked="0" layoutInCell="1" allowOverlap="1">
                <wp:simplePos x="0" y="0"/>
                <wp:positionH relativeFrom="margin">
                  <wp:posOffset>4745990</wp:posOffset>
                </wp:positionH>
                <wp:positionV relativeFrom="paragraph">
                  <wp:posOffset>2675890</wp:posOffset>
                </wp:positionV>
                <wp:extent cx="816610" cy="140335"/>
                <wp:wrapTopAndBottom/>
                <wp:docPr id="417" name="Shape 417"/>
                <a:graphic xmlns:a="http://schemas.openxmlformats.org/drawingml/2006/main">
                  <a:graphicData uri="http://schemas.microsoft.com/office/word/2010/wordprocessingShape">
                    <wps:wsp>
                      <wps:cNvSpPr txBox="1"/>
                      <wps:spPr>
                        <a:xfrm>
                          <a:ext cx="81661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2040</w:t>
                            </w:r>
                          </w:p>
                        </w:txbxContent>
                      </wps:txbx>
                      <wps:bodyPr wrap="none" lIns="0" tIns="0" rIns="0" bIns="0">
                        <a:noAutoFit/>
                      </wps:bodyPr>
                    </wps:wsp>
                  </a:graphicData>
                </a:graphic>
              </wp:anchor>
            </w:drawing>
          </mc:Choice>
          <mc:Fallback>
            <w:pict>
              <v:shape id="_x0000_s1443" type="#_x0000_t202" style="position:absolute;margin-left:373.69999999999999pt;margin-top:210.70000000000002pt;width:64.299999999999997pt;height:11.050000000000001pt;z-index:-125829259;mso-wrap-distance-left:0;mso-wrap-distance-top:210.70000000000002pt;mso-wrap-distance-right:0;mso-wrap-distance-bottom:35.pt;mso-position-horizontal-relative:margin"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Progresivní 2040</w:t>
                      </w:r>
                    </w:p>
                  </w:txbxContent>
                </v:textbox>
                <w10:wrap type="topAndBottom" anchorx="margin"/>
              </v:shape>
            </w:pict>
          </mc:Fallback>
        </mc:AlternateContent>
      </w:r>
    </w:p>
    <w:p>
      <w:pPr>
        <w:pStyle w:val="Style15"/>
        <w:keepNext/>
        <w:keepLines/>
        <w:widowControl w:val="0"/>
        <w:shd w:val="clear" w:color="auto" w:fill="auto"/>
        <w:bidi w:val="0"/>
        <w:spacing w:before="0" w:after="0" w:line="240" w:lineRule="auto"/>
        <w:ind w:left="0" w:right="0" w:firstLine="0"/>
        <w:jc w:val="left"/>
        <w:sectPr>
          <w:headerReference w:type="default" r:id="rId271"/>
          <w:footerReference w:type="default" r:id="rId272"/>
          <w:headerReference w:type="even" r:id="rId273"/>
          <w:footerReference w:type="even" r:id="rId274"/>
          <w:footnotePr>
            <w:pos w:val="pageBottom"/>
            <w:numFmt w:val="decimal"/>
            <w:numRestart w:val="continuous"/>
          </w:footnotePr>
          <w:pgSz w:w="12142" w:h="17375"/>
          <w:pgMar w:top="1910" w:right="930" w:bottom="2376" w:left="930" w:header="0" w:footer="3" w:gutter="586"/>
          <w:cols w:space="720"/>
          <w:noEndnote/>
          <w:rtlGutter w:val="0"/>
          <w:docGrid w:linePitch="360"/>
        </w:sectPr>
      </w:pPr>
      <w:bookmarkStart w:id="220" w:name="bookmark220"/>
      <w:r>
        <w:rPr>
          <w:rStyle w:val="CharStyle16"/>
          <w:b/>
          <w:bCs/>
        </w:rPr>
        <w:t>Obr. 6.24 Celková roční a) přeshraniční výměna a b) zmařená energie v Progresivním scénáři v jednotlivých letech</w:t>
      </w:r>
      <w:bookmarkEnd w:id="220"/>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511" w:right="0" w:bottom="782" w:left="0" w:header="0" w:footer="3" w:gutter="0"/>
          <w:cols w:space="720"/>
          <w:noEndnote/>
          <w:rtlGutter w:val="0"/>
          <w:docGrid w:linePitch="360"/>
        </w:sectPr>
      </w:pPr>
    </w:p>
    <w:p>
      <w:pPr>
        <w:pStyle w:val="Style2"/>
        <w:keepNext w:val="0"/>
        <w:keepLines w:val="0"/>
        <w:framePr w:w="187" w:h="182" w:wrap="none" w:vAnchor="text" w:hAnchor="page" w:x="2141" w:y="21"/>
        <w:widowControl w:val="0"/>
        <w:shd w:val="clear" w:color="auto" w:fill="auto"/>
        <w:bidi w:val="0"/>
        <w:spacing w:before="0" w:after="0" w:line="240" w:lineRule="auto"/>
        <w:ind w:left="0" w:right="0" w:firstLine="0"/>
        <w:jc w:val="left"/>
        <w:rPr>
          <w:sz w:val="12"/>
          <w:szCs w:val="12"/>
        </w:rPr>
      </w:pPr>
      <w:r>
        <w:rPr>
          <w:rStyle w:val="CharStyle3"/>
          <w:b/>
          <w:bCs/>
          <w:sz w:val="12"/>
          <w:szCs w:val="12"/>
        </w:rPr>
        <w:t>30</w:t>
      </w:r>
    </w:p>
    <w:p>
      <w:pPr>
        <w:pStyle w:val="Style2"/>
        <w:keepNext w:val="0"/>
        <w:keepLines w:val="0"/>
        <w:framePr w:w="154" w:h="211" w:wrap="none" w:vAnchor="text" w:hAnchor="page" w:x="1522" w:y="1312"/>
        <w:widowControl w:val="0"/>
        <w:shd w:val="clear" w:color="auto" w:fill="auto"/>
        <w:bidi w:val="0"/>
        <w:spacing w:before="0" w:after="0" w:line="240" w:lineRule="auto"/>
        <w:ind w:left="0" w:right="0" w:firstLine="0"/>
        <w:jc w:val="left"/>
        <w:rPr>
          <w:sz w:val="13"/>
          <w:szCs w:val="13"/>
        </w:rPr>
      </w:pPr>
      <w:r>
        <w:rPr>
          <w:rStyle w:val="CharStyle3"/>
          <w:b/>
          <w:bCs/>
          <w:sz w:val="13"/>
          <w:szCs w:val="13"/>
        </w:rPr>
        <w:t>§</w:t>
      </w:r>
    </w:p>
    <w:p>
      <w:pPr>
        <w:pStyle w:val="Style2"/>
        <w:keepNext w:val="0"/>
        <w:keepLines w:val="0"/>
        <w:framePr w:w="130" w:h="130" w:wrap="none" w:vAnchor="text" w:hAnchor="page" w:x="1546" w:y="1619"/>
        <w:widowControl w:val="0"/>
        <w:shd w:val="clear" w:color="auto" w:fill="auto"/>
        <w:bidi w:val="0"/>
        <w:spacing w:before="0" w:after="0" w:line="240" w:lineRule="auto"/>
        <w:ind w:left="0" w:right="0" w:firstLine="0"/>
        <w:jc w:val="both"/>
        <w:rPr>
          <w:sz w:val="8"/>
          <w:szCs w:val="8"/>
        </w:rPr>
      </w:pPr>
      <w:r>
        <w:rPr>
          <w:rStyle w:val="CharStyle3"/>
          <w:b/>
          <w:bCs/>
          <w:sz w:val="8"/>
          <w:szCs w:val="8"/>
        </w:rPr>
        <w:t>OJ</w:t>
      </w:r>
    </w:p>
    <w:p>
      <w:pPr>
        <w:pStyle w:val="Style2"/>
        <w:keepNext w:val="0"/>
        <w:keepLines w:val="0"/>
        <w:framePr w:w="130" w:h="130" w:wrap="none" w:vAnchor="text" w:hAnchor="page" w:x="1546" w:y="1883"/>
        <w:widowControl w:val="0"/>
        <w:shd w:val="clear" w:color="auto" w:fill="auto"/>
        <w:bidi w:val="0"/>
        <w:spacing w:before="0" w:after="0" w:line="240" w:lineRule="auto"/>
        <w:ind w:left="0" w:right="0" w:firstLine="0"/>
        <w:jc w:val="both"/>
        <w:rPr>
          <w:sz w:val="8"/>
          <w:szCs w:val="8"/>
        </w:rPr>
      </w:pPr>
      <w:r>
        <w:rPr>
          <w:rStyle w:val="CharStyle3"/>
          <w:b/>
          <w:bCs/>
          <w:sz w:val="8"/>
          <w:szCs w:val="8"/>
        </w:rPr>
        <w:t>tu</w:t>
      </w:r>
    </w:p>
    <w:p>
      <w:pPr>
        <w:pStyle w:val="Style2"/>
        <w:keepNext w:val="0"/>
        <w:keepLines w:val="0"/>
        <w:framePr w:w="451" w:h="211" w:wrap="none" w:vAnchor="text" w:hAnchor="page" w:x="5870" w:y="4249"/>
        <w:widowControl w:val="0"/>
        <w:shd w:val="clear" w:color="auto" w:fill="auto"/>
        <w:bidi w:val="0"/>
        <w:spacing w:before="0" w:after="0" w:line="240" w:lineRule="auto"/>
        <w:ind w:left="0" w:right="0" w:firstLine="0"/>
        <w:jc w:val="center"/>
        <w:rPr>
          <w:sz w:val="16"/>
          <w:szCs w:val="16"/>
        </w:rPr>
      </w:pPr>
      <w:r>
        <w:rPr>
          <w:rStyle w:val="CharStyle3"/>
          <w:color w:val="000000"/>
          <w:sz w:val="16"/>
          <w:szCs w:val="16"/>
        </w:rPr>
        <w:t>Saldo</w:t>
      </w:r>
    </w:p>
    <w:p>
      <w:pPr>
        <w:pStyle w:val="Style2"/>
        <w:keepNext w:val="0"/>
        <w:keepLines w:val="0"/>
        <w:framePr w:w="1402" w:h="216" w:wrap="none" w:vAnchor="text" w:hAnchor="page" w:x="7838" w:y="424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Progresivní scénář</w:t>
      </w:r>
    </w:p>
    <w:p>
      <w:pPr>
        <w:pStyle w:val="Style2"/>
        <w:keepNext w:val="0"/>
        <w:keepLines w:val="0"/>
        <w:framePr w:w="552" w:h="216" w:wrap="none" w:vAnchor="text" w:hAnchor="page" w:x="4325" w:y="424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Import</w:t>
      </w:r>
    </w:p>
    <w:p>
      <w:pPr>
        <w:pStyle w:val="Style2"/>
        <w:keepNext w:val="0"/>
        <w:keepLines w:val="0"/>
        <w:framePr w:w="187" w:h="182" w:wrap="none" w:vAnchor="text" w:hAnchor="page" w:x="2141" w:y="395"/>
        <w:widowControl w:val="0"/>
        <w:shd w:val="clear" w:color="auto" w:fill="auto"/>
        <w:bidi w:val="0"/>
        <w:spacing w:before="0" w:after="0" w:line="240" w:lineRule="auto"/>
        <w:ind w:left="0" w:right="0" w:firstLine="0"/>
        <w:jc w:val="left"/>
        <w:rPr>
          <w:sz w:val="12"/>
          <w:szCs w:val="12"/>
        </w:rPr>
      </w:pPr>
      <w:r>
        <w:rPr>
          <w:rStyle w:val="CharStyle3"/>
          <w:b/>
          <w:bCs/>
          <w:sz w:val="12"/>
          <w:szCs w:val="12"/>
        </w:rPr>
        <w:t>25</w:t>
      </w:r>
    </w:p>
    <w:p>
      <w:pPr>
        <w:pStyle w:val="Style75"/>
        <w:keepNext w:val="0"/>
        <w:keepLines w:val="0"/>
        <w:framePr w:w="533" w:h="216" w:wrap="none" w:vAnchor="text" w:hAnchor="page" w:x="2774" w:y="4230"/>
        <w:widowControl w:val="0"/>
        <w:shd w:val="clear" w:color="auto" w:fill="auto"/>
        <w:bidi w:val="0"/>
        <w:spacing w:before="0" w:after="0" w:line="240" w:lineRule="auto"/>
        <w:ind w:left="0" w:right="0" w:firstLine="0"/>
        <w:jc w:val="left"/>
      </w:pPr>
      <w:bookmarkStart w:id="222" w:name="bookmark222"/>
      <w:r>
        <w:rPr>
          <w:rStyle w:val="CharStyle76"/>
        </w:rPr>
        <w:t>Export</w:t>
      </w:r>
      <w:bookmarkEnd w:id="222"/>
    </w:p>
    <w:p>
      <w:pPr>
        <w:pStyle w:val="Style2"/>
        <w:keepNext w:val="0"/>
        <w:keepLines w:val="0"/>
        <w:framePr w:w="182" w:h="202" w:wrap="none" w:vAnchor="text" w:hAnchor="page" w:x="9312" w:y="3726"/>
        <w:widowControl w:val="0"/>
        <w:shd w:val="clear" w:color="auto" w:fill="auto"/>
        <w:bidi w:val="0"/>
        <w:spacing w:before="0" w:after="0" w:line="240" w:lineRule="auto"/>
        <w:ind w:left="0" w:right="0" w:firstLine="0"/>
        <w:jc w:val="left"/>
        <w:rPr>
          <w:sz w:val="13"/>
          <w:szCs w:val="13"/>
        </w:rPr>
      </w:pPr>
      <w:r>
        <w:rPr>
          <w:rStyle w:val="CharStyle3"/>
          <w:b/>
          <w:bCs/>
          <w:sz w:val="13"/>
          <w:szCs w:val="13"/>
        </w:rPr>
        <w:t>b)</w:t>
      </w:r>
    </w:p>
    <w:p>
      <w:pPr>
        <w:widowControl w:val="0"/>
        <w:spacing w:line="360" w:lineRule="exact"/>
      </w:pPr>
      <w:r>
        <w:drawing>
          <wp:anchor distT="0" distB="0" distL="0" distR="0" simplePos="0" relativeHeight="62914813" behindDoc="1" locked="0" layoutInCell="1" allowOverlap="1">
            <wp:simplePos x="0" y="0"/>
            <wp:positionH relativeFrom="page">
              <wp:posOffset>75565</wp:posOffset>
            </wp:positionH>
            <wp:positionV relativeFrom="paragraph">
              <wp:posOffset>3212465</wp:posOffset>
            </wp:positionV>
            <wp:extent cx="670560" cy="1334770"/>
            <wp:wrapNone/>
            <wp:docPr id="427" name="Shape 427"/>
            <a:graphic xmlns:a="http://schemas.openxmlformats.org/drawingml/2006/main">
              <a:graphicData uri="http://schemas.openxmlformats.org/drawingml/2006/picture">
                <pic:pic xmlns:pic="http://schemas.openxmlformats.org/drawingml/2006/picture">
                  <pic:nvPicPr>
                    <pic:cNvPr id="428" name="Picture box 428"/>
                    <pic:cNvPicPr/>
                  </pic:nvPicPr>
                  <pic:blipFill>
                    <a:blip r:embed="rId275"/>
                    <a:stretch/>
                  </pic:blipFill>
                  <pic:spPr>
                    <a:xfrm>
                      <a:ext cx="670560" cy="1334770"/>
                    </a:xfrm>
                    <a:prstGeom prst="rect"/>
                  </pic:spPr>
                </pic:pic>
              </a:graphicData>
            </a:graphic>
          </wp:anchor>
        </w:drawing>
      </w:r>
      <w:r>
        <w:drawing>
          <wp:anchor distT="222250" distB="0" distL="0" distR="969010" simplePos="0" relativeHeight="62914814" behindDoc="1" locked="0" layoutInCell="1" allowOverlap="1">
            <wp:simplePos x="0" y="0"/>
            <wp:positionH relativeFrom="page">
              <wp:posOffset>746125</wp:posOffset>
            </wp:positionH>
            <wp:positionV relativeFrom="paragraph">
              <wp:posOffset>234950</wp:posOffset>
            </wp:positionV>
            <wp:extent cx="4151630" cy="4321810"/>
            <wp:wrapNone/>
            <wp:docPr id="429" name="Shape 429"/>
            <a:graphic xmlns:a="http://schemas.openxmlformats.org/drawingml/2006/main">
              <a:graphicData uri="http://schemas.openxmlformats.org/drawingml/2006/picture">
                <pic:pic xmlns:pic="http://schemas.openxmlformats.org/drawingml/2006/picture">
                  <pic:nvPicPr>
                    <pic:cNvPr id="430" name="Picture box 430"/>
                    <pic:cNvPicPr/>
                  </pic:nvPicPr>
                  <pic:blipFill>
                    <a:blip r:embed="rId277"/>
                    <a:stretch/>
                  </pic:blipFill>
                  <pic:spPr>
                    <a:xfrm>
                      <a:ext cx="4151630" cy="4321810"/>
                    </a:xfrm>
                    <a:prstGeom prst="rect"/>
                  </pic:spPr>
                </pic:pic>
              </a:graphicData>
            </a:graphic>
          </wp:anchor>
        </w:drawing>
      </w:r>
      <w:r>
        <w:drawing>
          <wp:anchor distT="267970" distB="0" distL="0" distR="0" simplePos="0" relativeHeight="62914815" behindDoc="1" locked="0" layoutInCell="1" allowOverlap="1">
            <wp:simplePos x="0" y="0"/>
            <wp:positionH relativeFrom="page">
              <wp:posOffset>1343660</wp:posOffset>
            </wp:positionH>
            <wp:positionV relativeFrom="paragraph">
              <wp:posOffset>518160</wp:posOffset>
            </wp:positionV>
            <wp:extent cx="2614930" cy="1713230"/>
            <wp:wrapNone/>
            <wp:docPr id="431" name="Shape 431"/>
            <a:graphic xmlns:a="http://schemas.openxmlformats.org/drawingml/2006/main">
              <a:graphicData uri="http://schemas.openxmlformats.org/drawingml/2006/picture">
                <pic:pic xmlns:pic="http://schemas.openxmlformats.org/drawingml/2006/picture">
                  <pic:nvPicPr>
                    <pic:cNvPr id="432" name="Picture box 432"/>
                    <pic:cNvPicPr/>
                  </pic:nvPicPr>
                  <pic:blipFill>
                    <a:blip r:embed="rId279"/>
                    <a:stretch/>
                  </pic:blipFill>
                  <pic:spPr>
                    <a:xfrm>
                      <a:ext cx="2614930" cy="1713230"/>
                    </a:xfrm>
                    <a:prstGeom prst="rect"/>
                  </pic:spPr>
                </pic:pic>
              </a:graphicData>
            </a:graphic>
          </wp:anchor>
        </w:drawing>
      </w:r>
      <w:r>
        <w:drawing>
          <wp:anchor distT="0" distB="265430" distL="0" distR="0" simplePos="0" relativeHeight="62914816" behindDoc="1" locked="0" layoutInCell="1" allowOverlap="1">
            <wp:simplePos x="0" y="0"/>
            <wp:positionH relativeFrom="page">
              <wp:posOffset>4251325</wp:posOffset>
            </wp:positionH>
            <wp:positionV relativeFrom="paragraph">
              <wp:posOffset>18415</wp:posOffset>
            </wp:positionV>
            <wp:extent cx="2919730" cy="2212975"/>
            <wp:wrapNone/>
            <wp:docPr id="433" name="Shape 433"/>
            <a:graphic xmlns:a="http://schemas.openxmlformats.org/drawingml/2006/main">
              <a:graphicData uri="http://schemas.openxmlformats.org/drawingml/2006/picture">
                <pic:pic xmlns:pic="http://schemas.openxmlformats.org/drawingml/2006/picture">
                  <pic:nvPicPr>
                    <pic:cNvPr id="434" name="Picture box 434"/>
                    <pic:cNvPicPr/>
                  </pic:nvPicPr>
                  <pic:blipFill>
                    <a:blip r:embed="rId281"/>
                    <a:stretch/>
                  </pic:blipFill>
                  <pic:spPr>
                    <a:xfrm>
                      <a:ext cx="2919730" cy="2212975"/>
                    </a:xfrm>
                    <a:prstGeom prst="rect"/>
                  </pic:spPr>
                </pic:pic>
              </a:graphicData>
            </a:graphic>
          </wp:anchor>
        </w:drawing>
      </w:r>
      <w:r>
        <w:drawing>
          <wp:anchor distT="0" distB="0" distL="0" distR="0" simplePos="0" relativeHeight="62914817" behindDoc="1" locked="0" layoutInCell="1" allowOverlap="1">
            <wp:simplePos x="0" y="0"/>
            <wp:positionH relativeFrom="page">
              <wp:posOffset>4071620</wp:posOffset>
            </wp:positionH>
            <wp:positionV relativeFrom="paragraph">
              <wp:posOffset>3212465</wp:posOffset>
            </wp:positionV>
            <wp:extent cx="1664335" cy="1334770"/>
            <wp:wrapNone/>
            <wp:docPr id="435" name="Shape 435"/>
            <a:graphic xmlns:a="http://schemas.openxmlformats.org/drawingml/2006/main">
              <a:graphicData uri="http://schemas.openxmlformats.org/drawingml/2006/picture">
                <pic:pic xmlns:pic="http://schemas.openxmlformats.org/drawingml/2006/picture">
                  <pic:nvPicPr>
                    <pic:cNvPr id="436" name="Picture box 436"/>
                    <pic:cNvPicPr/>
                  </pic:nvPicPr>
                  <pic:blipFill>
                    <a:blip r:embed="rId283"/>
                    <a:stretch/>
                  </pic:blipFill>
                  <pic:spPr>
                    <a:xfrm>
                      <a:ext cx="1664335" cy="1334770"/>
                    </a:xfrm>
                    <a:prstGeom prst="rect"/>
                  </pic:spPr>
                </pic:pic>
              </a:graphicData>
            </a:graphic>
          </wp:anchor>
        </w:drawing>
      </w:r>
      <w:r>
        <w:drawing>
          <wp:anchor distT="0" distB="0" distL="0" distR="0" simplePos="0" relativeHeight="62914818" behindDoc="1" locked="0" layoutInCell="1" allowOverlap="1">
            <wp:simplePos x="0" y="0"/>
            <wp:positionH relativeFrom="page">
              <wp:posOffset>5735955</wp:posOffset>
            </wp:positionH>
            <wp:positionV relativeFrom="paragraph">
              <wp:posOffset>3212465</wp:posOffset>
            </wp:positionV>
            <wp:extent cx="1657985" cy="1334770"/>
            <wp:wrapNone/>
            <wp:docPr id="437" name="Shape 437"/>
            <a:graphic xmlns:a="http://schemas.openxmlformats.org/drawingml/2006/main">
              <a:graphicData uri="http://schemas.openxmlformats.org/drawingml/2006/picture">
                <pic:pic xmlns:pic="http://schemas.openxmlformats.org/drawingml/2006/picture">
                  <pic:nvPicPr>
                    <pic:cNvPr id="438" name="Picture box 438"/>
                    <pic:cNvPicPr/>
                  </pic:nvPicPr>
                  <pic:blipFill>
                    <a:blip r:embed="rId285"/>
                    <a:stretch/>
                  </pic:blipFill>
                  <pic:spPr>
                    <a:xfrm>
                      <a:ext cx="1657985"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6" w:line="1" w:lineRule="exact"/>
      </w:pPr>
    </w:p>
    <w:p>
      <w:pPr>
        <w:widowControl w:val="0"/>
        <w:spacing w:line="1" w:lineRule="exact"/>
        <w:sectPr>
          <w:footnotePr>
            <w:pos w:val="pageBottom"/>
            <w:numFmt w:val="decimal"/>
            <w:numRestart w:val="continuous"/>
          </w:footnotePr>
          <w:type w:val="continuous"/>
          <w:pgSz w:w="12142" w:h="17375"/>
          <w:pgMar w:top="1511" w:right="119" w:bottom="782" w:left="119" w:header="0" w:footer="3" w:gutter="384"/>
          <w:cols w:space="720"/>
          <w:noEndnote/>
          <w:rtlGutter/>
          <w:docGrid w:linePitch="360"/>
        </w:sectPr>
      </w:pPr>
    </w:p>
    <w:p>
      <w:pPr>
        <w:widowControl w:val="0"/>
        <w:jc w:val="left"/>
        <w:rPr>
          <w:sz w:val="2"/>
          <w:szCs w:val="2"/>
        </w:rPr>
      </w:pPr>
      <w:r>
        <w:drawing>
          <wp:inline>
            <wp:extent cx="5955665" cy="3413760"/>
            <wp:docPr id="439" name="Picutre 439"/>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87"/>
                    <a:stretch/>
                  </pic:blipFill>
                  <pic:spPr>
                    <a:xfrm>
                      <a:ext cx="5955665" cy="3413760"/>
                    </a:xfrm>
                    <a:prstGeom prst="rect"/>
                  </pic:spPr>
                </pic:pic>
              </a:graphicData>
            </a:graphic>
          </wp:inline>
        </w:drawing>
      </w:r>
    </w:p>
    <w:p>
      <w:pPr>
        <w:widowControl w:val="0"/>
        <w:spacing w:after="1419" w:line="1" w:lineRule="exact"/>
      </w:pPr>
    </w:p>
    <w:p>
      <w:pPr>
        <w:pStyle w:val="Style19"/>
        <w:keepNext w:val="0"/>
        <w:keepLines w:val="0"/>
        <w:widowControl w:val="0"/>
        <w:shd w:val="clear" w:color="auto" w:fill="auto"/>
        <w:bidi w:val="0"/>
        <w:spacing w:before="0" w:after="0"/>
        <w:ind w:left="0" w:right="0" w:firstLine="0"/>
        <w:jc w:val="left"/>
        <w:sectPr>
          <w:headerReference w:type="default" r:id="rId289"/>
          <w:footerReference w:type="default" r:id="rId290"/>
          <w:headerReference w:type="even" r:id="rId291"/>
          <w:footerReference w:type="even" r:id="rId292"/>
          <w:footnotePr>
            <w:pos w:val="pageBottom"/>
            <w:numFmt w:val="decimal"/>
            <w:numRestart w:val="continuous"/>
          </w:footnotePr>
          <w:pgSz w:w="12142" w:h="17375"/>
          <w:pgMar w:top="2299" w:right="834" w:bottom="2299" w:left="834" w:header="0" w:footer="3" w:gutter="3336"/>
          <w:cols w:space="720"/>
          <w:noEndnote/>
          <w:rtlGutter w:val="0"/>
          <w:docGrid w:linePitch="360"/>
        </w:sectPr>
      </w:pPr>
      <w:r>
        <w:rPr>
          <w:rStyle w:val="CharStyle20"/>
        </w:rPr>
        <w:t>V Progresivním scénáři se uvažuje útlum uhelných zdrojů k roku 2033. Hodnota LOLE v roce 2030 nabývá zanedbatelné hodnoty, avšak v roce 2035 se LOLE již pohybuje ve výši 146 hodin a EENS na úrovni 305 GWh. V roce 2040 pak LOLE dosahuje hodnoty až 389 hodin s EENS ve výši 798 GWh. Progresivní scénář nesplňuje požadavky na spolehlivost dodávek elektrické energie již v roce 2035. Soustava by tak byla zdrojově značně nepřiměřená, a to kvůli ukončení výroby elektrické energie z uhelných zdrojů už v roce 2033 bez náhrady v podobě nových zdrojů.</w:t>
      </w:r>
    </w:p>
    <w:p>
      <w:pPr>
        <w:widowControl w:val="0"/>
        <w:spacing w:line="139" w:lineRule="exact"/>
        <w:rPr>
          <w:sz w:val="11"/>
          <w:szCs w:val="11"/>
        </w:rPr>
      </w:pPr>
    </w:p>
    <w:p>
      <w:pPr>
        <w:widowControl w:val="0"/>
        <w:spacing w:line="1" w:lineRule="exact"/>
        <w:sectPr>
          <w:headerReference w:type="default" r:id="rId293"/>
          <w:footerReference w:type="default" r:id="rId294"/>
          <w:headerReference w:type="even" r:id="rId295"/>
          <w:footerReference w:type="even" r:id="rId296"/>
          <w:footnotePr>
            <w:pos w:val="pageBottom"/>
            <w:numFmt w:val="decimal"/>
            <w:numRestart w:val="continuous"/>
          </w:footnotePr>
          <w:pgSz w:w="12142" w:h="17375"/>
          <w:pgMar w:top="1003" w:right="680" w:bottom="586" w:left="1362" w:header="0" w:footer="3" w:gutter="0"/>
          <w:cols w:space="720"/>
          <w:noEndnote/>
          <w:rtlGutter w:val="0"/>
          <w:docGrid w:linePitch="360"/>
        </w:sectPr>
      </w:pPr>
    </w:p>
    <w:p>
      <w:pPr>
        <w:pStyle w:val="Style15"/>
        <w:keepNext/>
        <w:keepLines/>
        <w:framePr w:w="6850" w:h="240" w:wrap="none" w:vAnchor="text" w:hAnchor="page" w:x="1517" w:y="21"/>
        <w:widowControl w:val="0"/>
        <w:shd w:val="clear" w:color="auto" w:fill="auto"/>
        <w:bidi w:val="0"/>
        <w:spacing w:before="0" w:after="0" w:line="240" w:lineRule="auto"/>
        <w:ind w:left="0" w:right="0" w:firstLine="0"/>
        <w:jc w:val="left"/>
      </w:pPr>
      <w:bookmarkStart w:id="223" w:name="bookmark223"/>
      <w:r>
        <w:rPr>
          <w:rStyle w:val="CharStyle16"/>
          <w:b/>
          <w:bCs/>
        </w:rPr>
        <w:t>Obr. 6.26 Saldo importu a exportu evropských zemí pro Progresivní scénář 2030</w:t>
      </w:r>
      <w:bookmarkEnd w:id="223"/>
    </w:p>
    <w:p>
      <w:pPr>
        <w:pStyle w:val="Style2"/>
        <w:keepNext w:val="0"/>
        <w:keepLines w:val="0"/>
        <w:framePr w:w="216" w:h="182" w:wrap="none" w:vAnchor="text" w:hAnchor="page" w:x="4843" w:y="6332"/>
        <w:widowControl w:val="0"/>
        <w:shd w:val="clear" w:color="auto" w:fill="auto"/>
        <w:bidi w:val="0"/>
        <w:spacing w:before="0" w:after="0" w:line="240" w:lineRule="auto"/>
        <w:ind w:left="0" w:right="0" w:firstLine="0"/>
        <w:jc w:val="left"/>
        <w:rPr>
          <w:sz w:val="12"/>
          <w:szCs w:val="12"/>
        </w:rPr>
      </w:pPr>
      <w:r>
        <w:rPr>
          <w:rStyle w:val="CharStyle3"/>
          <w:b/>
          <w:bCs/>
          <w:color w:val="076BB4"/>
          <w:sz w:val="12"/>
          <w:szCs w:val="12"/>
        </w:rPr>
        <w:t>NL</w:t>
      </w:r>
    </w:p>
    <w:p>
      <w:pPr>
        <w:pStyle w:val="Style2"/>
        <w:keepNext w:val="0"/>
        <w:keepLines w:val="0"/>
        <w:framePr w:w="360" w:h="499" w:wrap="none" w:vAnchor="text" w:hAnchor="page" w:x="7738" w:y="10456"/>
        <w:widowControl w:val="0"/>
        <w:shd w:val="clear" w:color="auto" w:fill="auto"/>
        <w:bidi w:val="0"/>
        <w:spacing w:before="0" w:after="0" w:line="300" w:lineRule="auto"/>
        <w:ind w:left="0" w:right="0" w:firstLine="0"/>
        <w:jc w:val="center"/>
        <w:rPr>
          <w:sz w:val="12"/>
          <w:szCs w:val="12"/>
        </w:rPr>
      </w:pPr>
      <w:r>
        <w:rPr>
          <w:rStyle w:val="CharStyle3"/>
          <w:b/>
          <w:bCs/>
          <w:color w:val="076BB4"/>
          <w:sz w:val="12"/>
          <w:szCs w:val="12"/>
        </w:rPr>
        <w:t>AL TWh</w:t>
      </w:r>
    </w:p>
    <w:p>
      <w:pPr>
        <w:pStyle w:val="Style2"/>
        <w:keepNext w:val="0"/>
        <w:keepLines w:val="0"/>
        <w:framePr w:w="470" w:h="379" w:wrap="none" w:vAnchor="text" w:hAnchor="page" w:x="6927" w:y="11478"/>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MT ■ 2 TWh</w:t>
      </w:r>
    </w:p>
    <w:p>
      <w:pPr>
        <w:pStyle w:val="Style2"/>
        <w:keepNext w:val="0"/>
        <w:keepLines w:val="0"/>
        <w:framePr w:w="365" w:h="514" w:wrap="none" w:vAnchor="text" w:hAnchor="page" w:x="1512" w:y="10960"/>
        <w:widowControl w:val="0"/>
        <w:shd w:val="clear" w:color="auto" w:fill="auto"/>
        <w:bidi w:val="0"/>
        <w:spacing w:before="0" w:after="0" w:line="300" w:lineRule="auto"/>
        <w:ind w:left="0" w:right="0" w:firstLine="0"/>
        <w:jc w:val="center"/>
        <w:rPr>
          <w:sz w:val="12"/>
          <w:szCs w:val="12"/>
        </w:rPr>
      </w:pPr>
      <w:bookmarkStart w:id="225" w:name="bookmark225"/>
      <w:r>
        <w:rPr>
          <w:rStyle w:val="CharStyle3"/>
          <w:b/>
          <w:bCs/>
          <w:color w:val="ED6B5F"/>
          <w:sz w:val="12"/>
          <w:szCs w:val="12"/>
        </w:rPr>
        <w:t>PT -2 TWh</w:t>
      </w:r>
      <w:bookmarkEnd w:id="225"/>
    </w:p>
    <w:p>
      <w:pPr>
        <w:pStyle w:val="Style2"/>
        <w:keepNext w:val="0"/>
        <w:keepLines w:val="0"/>
        <w:framePr w:w="552" w:h="360" w:wrap="none" w:vAnchor="text" w:hAnchor="page" w:x="7407" w:y="9904"/>
        <w:widowControl w:val="0"/>
        <w:shd w:val="clear" w:color="auto" w:fill="auto"/>
        <w:bidi w:val="0"/>
        <w:spacing w:before="0" w:after="0" w:line="283" w:lineRule="auto"/>
        <w:ind w:left="0" w:right="0" w:firstLine="0"/>
        <w:jc w:val="center"/>
        <w:rPr>
          <w:sz w:val="12"/>
          <w:szCs w:val="12"/>
        </w:rPr>
      </w:pPr>
      <w:r>
        <w:rPr>
          <w:rStyle w:val="CharStyle3"/>
          <w:b/>
          <w:bCs/>
          <w:color w:val="076BB4"/>
          <w:sz w:val="12"/>
          <w:szCs w:val="12"/>
        </w:rPr>
        <w:t>ME +1 TWh</w:t>
      </w:r>
    </w:p>
    <w:p>
      <w:pPr>
        <w:pStyle w:val="Style2"/>
        <w:keepNext w:val="0"/>
        <w:keepLines w:val="0"/>
        <w:framePr w:w="475" w:h="379" w:wrap="none" w:vAnchor="text" w:hAnchor="page" w:x="4992" w:y="5924"/>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DK ■ 8 TWh</w:t>
      </w:r>
    </w:p>
    <w:p>
      <w:pPr>
        <w:pStyle w:val="Style2"/>
        <w:keepNext w:val="0"/>
        <w:keepLines w:val="0"/>
        <w:framePr w:w="566" w:h="187" w:wrap="none" w:vAnchor="text" w:hAnchor="page" w:x="7445" w:y="29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right"/>
        <w:rPr>
          <w:sz w:val="12"/>
          <w:szCs w:val="12"/>
        </w:rPr>
      </w:pPr>
      <w:r>
        <w:rPr>
          <w:rStyle w:val="CharStyle3"/>
          <w:b/>
          <w:bCs/>
          <w:color w:val="FFFFFF"/>
          <w:sz w:val="12"/>
          <w:szCs w:val="12"/>
        </w:rPr>
        <w:t>14 TWh</w:t>
      </w:r>
    </w:p>
    <w:p>
      <w:pPr>
        <w:pStyle w:val="Style2"/>
        <w:keepNext w:val="0"/>
        <w:keepLines w:val="0"/>
        <w:framePr w:w="466" w:h="182" w:wrap="none" w:vAnchor="text" w:hAnchor="page" w:x="8823" w:y="898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1 TWh</w:t>
      </w:r>
    </w:p>
    <w:p>
      <w:pPr>
        <w:pStyle w:val="Style2"/>
        <w:keepNext w:val="0"/>
        <w:keepLines w:val="0"/>
        <w:framePr w:w="475" w:h="182" w:wrap="none" w:vAnchor="text" w:hAnchor="page" w:x="7455" w:y="944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5 TWh</w:t>
      </w:r>
    </w:p>
    <w:p>
      <w:pPr>
        <w:pStyle w:val="Style2"/>
        <w:keepNext w:val="0"/>
        <w:keepLines w:val="0"/>
        <w:framePr w:w="408" w:h="178" w:wrap="none" w:vAnchor="text" w:hAnchor="page" w:x="8333" w:y="10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center"/>
        <w:rPr>
          <w:sz w:val="12"/>
          <w:szCs w:val="12"/>
        </w:rPr>
      </w:pPr>
      <w:r>
        <w:rPr>
          <w:rStyle w:val="CharStyle3"/>
          <w:b/>
          <w:bCs/>
          <w:color w:val="FFFFFF"/>
          <w:sz w:val="12"/>
          <w:szCs w:val="12"/>
        </w:rPr>
        <w:t>2 TWI</w:t>
      </w:r>
    </w:p>
    <w:p>
      <w:pPr>
        <w:pStyle w:val="Style2"/>
        <w:keepNext w:val="0"/>
        <w:keepLines w:val="0"/>
        <w:framePr w:w="475" w:h="331" w:wrap="none" w:vAnchor="text" w:hAnchor="page" w:x="5362" w:y="853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CH ■ 4 TWh</w:t>
      </w:r>
    </w:p>
    <w:p>
      <w:pPr>
        <w:pStyle w:val="Style2"/>
        <w:keepNext w:val="0"/>
        <w:keepLines w:val="0"/>
        <w:framePr w:w="461" w:h="379" w:wrap="none" w:vAnchor="text" w:hAnchor="page" w:x="8933" w:y="968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BG ■ 5 TWh</w:t>
      </w:r>
    </w:p>
    <w:p>
      <w:pPr>
        <w:pStyle w:val="Style2"/>
        <w:keepNext w:val="0"/>
        <w:keepLines w:val="0"/>
        <w:framePr w:w="480" w:h="331" w:wrap="none" w:vAnchor="text" w:hAnchor="page" w:x="5323" w:y="76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LU 8 TWh</w:t>
      </w:r>
    </w:p>
    <w:p>
      <w:pPr>
        <w:pStyle w:val="Style2"/>
        <w:keepNext w:val="0"/>
        <w:keepLines w:val="0"/>
        <w:framePr w:w="470" w:h="360" w:wrap="none" w:vAnchor="text" w:hAnchor="page" w:x="8117" w:y="9318"/>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RS ■ 1 TWh</w:t>
      </w:r>
    </w:p>
    <w:p>
      <w:pPr>
        <w:pStyle w:val="Style2"/>
        <w:keepNext w:val="0"/>
        <w:keepLines w:val="0"/>
        <w:framePr w:w="480" w:h="379" w:wrap="none" w:vAnchor="text" w:hAnchor="page" w:x="9288" w:y="551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LV ■ 1 TWh</w:t>
      </w:r>
    </w:p>
    <w:p>
      <w:pPr>
        <w:pStyle w:val="Style2"/>
        <w:keepNext w:val="0"/>
        <w:keepLines w:val="0"/>
        <w:framePr w:w="466" w:h="379" w:wrap="none" w:vAnchor="text" w:hAnchor="page" w:x="2904" w:y="101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ES ■ 3 TWh</w:t>
      </w:r>
    </w:p>
    <w:p>
      <w:pPr>
        <w:pStyle w:val="Style2"/>
        <w:keepNext w:val="0"/>
        <w:keepLines w:val="0"/>
        <w:framePr w:w="475" w:h="379" w:wrap="none" w:vAnchor="text" w:hAnchor="page" w:x="7536" w:y="856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HU ■ 6 TWh</w:t>
      </w:r>
    </w:p>
    <w:p>
      <w:pPr>
        <w:pStyle w:val="Style2"/>
        <w:keepNext w:val="0"/>
        <w:keepLines w:val="0"/>
        <w:framePr w:w="509" w:h="379" w:wrap="none" w:vAnchor="text" w:hAnchor="page" w:x="6706" w:y="829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AT -6 TWh</w:t>
      </w:r>
    </w:p>
    <w:p>
      <w:pPr>
        <w:pStyle w:val="Style2"/>
        <w:keepNext w:val="0"/>
        <w:keepLines w:val="0"/>
        <w:framePr w:w="466" w:h="379" w:wrap="none" w:vAnchor="text" w:hAnchor="page" w:x="9178" w:y="47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EE ■ 5 TWh</w:t>
      </w:r>
    </w:p>
    <w:p>
      <w:pPr>
        <w:pStyle w:val="Style2"/>
        <w:keepNext w:val="0"/>
        <w:keepLines w:val="0"/>
        <w:framePr w:w="470" w:h="379" w:wrap="none" w:vAnchor="text" w:hAnchor="page" w:x="3231" w:y="68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UK 1 TWh</w:t>
      </w:r>
    </w:p>
    <w:p>
      <w:pPr>
        <w:pStyle w:val="Style2"/>
        <w:keepNext w:val="0"/>
        <w:keepLines w:val="0"/>
        <w:framePr w:w="552" w:h="355" w:wrap="none" w:vAnchor="text" w:hAnchor="page" w:x="8213"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i/>
          <w:iCs/>
          <w:color w:val="FFFFFF"/>
          <w:sz w:val="12"/>
          <w:szCs w:val="12"/>
        </w:rPr>
        <w:t>J</w:t>
      </w:r>
      <w:r>
        <w:rPr>
          <w:rStyle w:val="CharStyle3"/>
          <w:b/>
          <w:bCs/>
          <w:color w:val="FFFFFF"/>
          <w:sz w:val="12"/>
          <w:szCs w:val="12"/>
        </w:rPr>
        <w:t xml:space="preserve"> GR</w:t>
      </w:r>
    </w:p>
    <w:p>
      <w:pPr>
        <w:pStyle w:val="Style2"/>
        <w:keepNext w:val="0"/>
        <w:keepLines w:val="0"/>
        <w:framePr w:w="552" w:h="355" w:wrap="none" w:vAnchor="text" w:hAnchor="page" w:x="8213"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+0 TWh</w:t>
      </w:r>
    </w:p>
    <w:p>
      <w:pPr>
        <w:pStyle w:val="Style2"/>
        <w:keepNext w:val="0"/>
        <w:keepLines w:val="0"/>
        <w:framePr w:w="552" w:h="355" w:wrap="none" w:vAnchor="text" w:hAnchor="page" w:x="10416" w:y="10600"/>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TR ■ 14 TWh</w:t>
      </w:r>
    </w:p>
    <w:p>
      <w:pPr>
        <w:pStyle w:val="Style2"/>
        <w:keepNext w:val="0"/>
        <w:keepLines w:val="0"/>
        <w:framePr w:w="557" w:h="346" w:wrap="none" w:vAnchor="text" w:hAnchor="page" w:x="6744" w:y="768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CZ 15 TWh</w:t>
      </w:r>
    </w:p>
    <w:p>
      <w:pPr>
        <w:pStyle w:val="Style2"/>
        <w:keepNext w:val="0"/>
        <w:keepLines w:val="0"/>
        <w:framePr w:w="547" w:h="374" w:wrap="none" w:vAnchor="text" w:hAnchor="page" w:x="7704" w:y="697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PL ■ 20 TWh</w:t>
      </w:r>
    </w:p>
    <w:p>
      <w:pPr>
        <w:pStyle w:val="Style2"/>
        <w:keepNext w:val="0"/>
        <w:keepLines w:val="0"/>
        <w:framePr w:w="552" w:h="370" w:wrap="none" w:vAnchor="text" w:hAnchor="page" w:x="7594" w:y="803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83" w:lineRule="auto"/>
        <w:ind w:left="0" w:right="0" w:firstLine="0"/>
        <w:jc w:val="left"/>
        <w:rPr>
          <w:sz w:val="12"/>
          <w:szCs w:val="12"/>
        </w:rPr>
      </w:pPr>
      <w:r>
        <w:rPr>
          <w:rStyle w:val="CharStyle3"/>
          <w:b/>
          <w:bCs/>
          <w:color w:val="FFFFFF"/>
          <w:sz w:val="12"/>
          <w:szCs w:val="12"/>
        </w:rPr>
        <w:t xml:space="preserve">y </w:t>
      </w:r>
      <w:r>
        <w:rPr>
          <w:rStyle w:val="CharStyle3"/>
          <w:b/>
          <w:bCs/>
          <w:smallCaps/>
          <w:color w:val="FFFFFF"/>
          <w:sz w:val="12"/>
          <w:szCs w:val="12"/>
        </w:rPr>
        <w:t xml:space="preserve">sk </w:t>
      </w:r>
      <w:r>
        <w:rPr>
          <w:rStyle w:val="CharStyle3"/>
          <w:b/>
          <w:bCs/>
          <w:color w:val="FFFFFF"/>
          <w:sz w:val="12"/>
          <w:szCs w:val="12"/>
        </w:rPr>
        <w:t>+6 TWh</w:t>
      </w:r>
    </w:p>
    <w:p>
      <w:pPr>
        <w:pStyle w:val="Style2"/>
        <w:keepNext w:val="0"/>
        <w:keepLines w:val="0"/>
        <w:framePr w:w="562" w:h="379" w:wrap="none" w:vAnchor="text" w:hAnchor="page" w:x="5818" w:y="900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IT 52 TWh</w:t>
      </w:r>
    </w:p>
    <w:p>
      <w:pPr>
        <w:pStyle w:val="Style2"/>
        <w:keepNext w:val="0"/>
        <w:keepLines w:val="0"/>
        <w:framePr w:w="581" w:h="355" w:wrap="none" w:vAnchor="text" w:hAnchor="page" w:x="8770" w:y="59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LT +6 TWh</w:t>
      </w:r>
    </w:p>
    <w:p>
      <w:pPr>
        <w:pStyle w:val="Style2"/>
        <w:keepNext w:val="0"/>
        <w:keepLines w:val="0"/>
        <w:framePr w:w="643" w:h="379" w:wrap="none" w:vAnchor="text" w:hAnchor="page" w:x="5621" w:y="4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NO +31 TWh</w:t>
      </w:r>
    </w:p>
    <w:p>
      <w:pPr>
        <w:pStyle w:val="Style2"/>
        <w:keepNext w:val="0"/>
        <w:keepLines w:val="0"/>
        <w:framePr w:w="643" w:h="379" w:wrap="none" w:vAnchor="text" w:hAnchor="page" w:x="5789" w:y="71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DE +98 TWh</w:t>
      </w:r>
    </w:p>
    <w:p>
      <w:pPr>
        <w:pStyle w:val="Style2"/>
        <w:keepNext w:val="0"/>
        <w:keepLines w:val="0"/>
        <w:framePr w:w="552" w:h="379" w:wrap="none" w:vAnchor="text" w:hAnchor="page" w:x="9135"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FI +7 TWh</w:t>
      </w:r>
    </w:p>
    <w:p>
      <w:pPr>
        <w:pStyle w:val="Style2"/>
        <w:keepNext w:val="0"/>
        <w:keepLines w:val="0"/>
        <w:framePr w:w="638" w:h="331" w:wrap="none" w:vAnchor="text" w:hAnchor="page" w:x="4071" w:y="85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FR +24 TWh</w:t>
      </w:r>
    </w:p>
    <w:p>
      <w:pPr>
        <w:pStyle w:val="Style2"/>
        <w:keepNext w:val="0"/>
        <w:keepLines w:val="0"/>
        <w:framePr w:w="946" w:h="355" w:wrap="none" w:vAnchor="text" w:hAnchor="page" w:x="6763" w:y="8867"/>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xml:space="preserve">■ 2 TWh HR </w:t>
      </w:r>
      <w:r>
        <w:rPr>
          <w:rStyle w:val="CharStyle3"/>
          <w:b/>
          <w:bCs/>
          <w:color w:val="FFFFFF"/>
          <w:sz w:val="12"/>
          <w:szCs w:val="12"/>
          <w:vertAlign w:val="superscript"/>
        </w:rPr>
        <w:t>r</w:t>
      </w:r>
      <w:r>
        <w:rPr>
          <w:rStyle w:val="CharStyle3"/>
          <w:b/>
          <w:bCs/>
          <w:color w:val="FFFFFF"/>
          <w:sz w:val="12"/>
          <w:szCs w:val="12"/>
        </w:rPr>
        <w:t>- : +5 TWh</w:t>
      </w:r>
    </w:p>
    <w:p>
      <w:pPr>
        <w:widowControl w:val="0"/>
        <w:spacing w:line="360" w:lineRule="exact"/>
      </w:pPr>
      <w:r>
        <w:drawing>
          <wp:anchor distT="0" distB="0" distL="0" distR="0" simplePos="0" relativeHeight="62914837" behindDoc="1" locked="0" layoutInCell="1" allowOverlap="1">
            <wp:simplePos x="0" y="0"/>
            <wp:positionH relativeFrom="page">
              <wp:posOffset>871220</wp:posOffset>
            </wp:positionH>
            <wp:positionV relativeFrom="paragraph">
              <wp:posOffset>414655</wp:posOffset>
            </wp:positionV>
            <wp:extent cx="6407150" cy="7235825"/>
            <wp:wrapNone/>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297"/>
                    <a:stretch/>
                  </pic:blipFill>
                  <pic:spPr>
                    <a:xfrm>
                      <a:ext cx="6407150" cy="7235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Restart w:val="continuous"/>
          </w:footnotePr>
          <w:type w:val="continuous"/>
          <w:pgSz w:w="12142" w:h="17375"/>
          <w:pgMar w:top="1003" w:right="680" w:bottom="586" w:left="680" w:header="0" w:footer="3" w:gutter="682"/>
          <w:cols w:space="720"/>
          <w:noEndnote/>
          <w:rtlGutter w:val="0"/>
          <w:docGrid w:linePitch="360"/>
        </w:sectPr>
      </w:pPr>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pgSz w:w="12142" w:h="17375"/>
          <w:pgMar w:top="752" w:right="680" w:bottom="752" w:left="1362" w:header="0" w:footer="3" w:gutter="0"/>
          <w:cols w:space="720"/>
          <w:noEndnote/>
          <w:rtlGutter w:val="0"/>
          <w:docGrid w:linePitch="360"/>
        </w:sectPr>
      </w:pPr>
    </w:p>
    <w:p>
      <w:pPr>
        <w:pStyle w:val="Style15"/>
        <w:keepNext/>
        <w:keepLines/>
        <w:framePr w:w="6845" w:h="240" w:wrap="none" w:vAnchor="text" w:hAnchor="page" w:x="840" w:y="21"/>
        <w:widowControl w:val="0"/>
        <w:shd w:val="clear" w:color="auto" w:fill="auto"/>
        <w:bidi w:val="0"/>
        <w:spacing w:before="0" w:after="0" w:line="240" w:lineRule="auto"/>
        <w:ind w:left="0" w:right="0" w:firstLine="0"/>
        <w:jc w:val="left"/>
      </w:pPr>
      <w:bookmarkStart w:id="226" w:name="bookmark226"/>
      <w:r>
        <w:rPr>
          <w:rStyle w:val="CharStyle16"/>
          <w:b/>
          <w:bCs/>
        </w:rPr>
        <w:t>Obr. 6.27 Saldo importu a exportu evropských zemí pro Progresivní scénář 2040</w:t>
      </w:r>
      <w:bookmarkEnd w:id="226"/>
    </w:p>
    <w:p>
      <w:pPr>
        <w:pStyle w:val="Style37"/>
        <w:keepNext w:val="0"/>
        <w:keepLines w:val="0"/>
        <w:framePr w:w="643" w:h="187" w:wrap="none" w:vAnchor="text" w:hAnchor="page" w:x="6648" w:y="29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+50 TWh</w:t>
      </w:r>
    </w:p>
    <w:p>
      <w:pPr>
        <w:pStyle w:val="Style37"/>
        <w:keepNext w:val="0"/>
        <w:keepLines w:val="0"/>
        <w:framePr w:w="475" w:h="379" w:wrap="none" w:vAnchor="text" w:hAnchor="page" w:x="8534" w:y="35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FI</w:t>
        <w:br/>
        <w:t>■ 7 TWh</w:t>
      </w:r>
    </w:p>
    <w:p>
      <w:pPr>
        <w:pStyle w:val="Style37"/>
        <w:keepNext w:val="0"/>
        <w:keepLines w:val="0"/>
        <w:framePr w:w="475" w:h="350" w:wrap="none" w:vAnchor="text" w:hAnchor="page" w:x="1267" w:y="6678"/>
        <w:widowControl w:val="0"/>
        <w:shd w:val="clear" w:color="auto" w:fill="auto"/>
        <w:bidi w:val="0"/>
        <w:spacing w:before="0" w:after="0" w:line="240" w:lineRule="auto"/>
        <w:ind w:left="0" w:right="0" w:firstLine="160"/>
        <w:jc w:val="left"/>
        <w:rPr>
          <w:sz w:val="12"/>
          <w:szCs w:val="12"/>
        </w:rPr>
      </w:pPr>
      <w:r>
        <w:rPr>
          <w:rStyle w:val="CharStyle38"/>
          <w:b/>
          <w:bCs/>
          <w:color w:val="ED6B5F"/>
          <w:sz w:val="12"/>
          <w:szCs w:val="12"/>
        </w:rPr>
        <w:t>IE</w:t>
      </w:r>
    </w:p>
    <w:p>
      <w:pPr>
        <w:pStyle w:val="Style37"/>
        <w:keepNext w:val="0"/>
        <w:keepLines w:val="0"/>
        <w:framePr w:w="475" w:h="350" w:wrap="none" w:vAnchor="text" w:hAnchor="page" w:x="1267" w:y="6678"/>
        <w:widowControl w:val="0"/>
        <w:shd w:val="clear" w:color="auto" w:fill="auto"/>
        <w:bidi w:val="0"/>
        <w:spacing w:before="0" w:after="0" w:line="240" w:lineRule="auto"/>
        <w:ind w:left="0" w:right="0" w:firstLine="0"/>
        <w:jc w:val="left"/>
        <w:rPr>
          <w:sz w:val="12"/>
          <w:szCs w:val="12"/>
        </w:rPr>
      </w:pPr>
      <w:r>
        <w:rPr>
          <w:rStyle w:val="CharStyle38"/>
          <w:b/>
          <w:bCs/>
          <w:color w:val="ED6B5F"/>
          <w:sz w:val="12"/>
          <w:szCs w:val="12"/>
        </w:rPr>
        <w:t>■ 0 TWh</w:t>
      </w:r>
    </w:p>
    <w:p>
      <w:pPr>
        <w:pStyle w:val="Style37"/>
        <w:keepNext w:val="0"/>
        <w:keepLines w:val="0"/>
        <w:framePr w:w="643" w:h="379" w:wrap="none" w:vAnchor="text" w:hAnchor="page" w:x="2501" w:y="683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UK</w:t>
        <w:br/>
        <w:t>+25 TWh</w:t>
      </w:r>
    </w:p>
    <w:p>
      <w:pPr>
        <w:pStyle w:val="Style37"/>
        <w:keepNext w:val="0"/>
        <w:keepLines w:val="0"/>
        <w:framePr w:w="638" w:h="331" w:wrap="none" w:vAnchor="text" w:hAnchor="page" w:x="3389" w:y="853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FR</w:t>
        <w:br/>
        <w:t>+51 TWh</w:t>
      </w:r>
    </w:p>
    <w:p>
      <w:pPr>
        <w:pStyle w:val="Style37"/>
        <w:keepNext w:val="0"/>
        <w:keepLines w:val="0"/>
        <w:framePr w:w="562" w:h="379" w:wrap="none" w:vAnchor="text" w:hAnchor="page" w:x="5006" w:y="4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NO</w:t>
        <w:br/>
        <w:t>■ 40 TWh</w:t>
      </w:r>
    </w:p>
    <w:p>
      <w:pPr>
        <w:pStyle w:val="Style37"/>
        <w:keepNext w:val="0"/>
        <w:keepLines w:val="0"/>
        <w:framePr w:w="547" w:h="379" w:wrap="none" w:vAnchor="text" w:hAnchor="page" w:x="8453" w:y="47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EE</w:t>
        <w:br/>
        <w:t>+0 TWh</w:t>
      </w:r>
    </w:p>
    <w:p>
      <w:pPr>
        <w:pStyle w:val="Style37"/>
        <w:keepNext w:val="0"/>
        <w:keepLines w:val="0"/>
        <w:framePr w:w="581" w:h="360" w:wrap="none" w:vAnchor="text" w:hAnchor="page" w:x="8539" w:y="551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66" w:lineRule="auto"/>
        <w:ind w:left="0" w:right="0" w:firstLine="180"/>
        <w:jc w:val="left"/>
        <w:rPr>
          <w:sz w:val="12"/>
          <w:szCs w:val="12"/>
        </w:rPr>
      </w:pPr>
      <w:r>
        <w:rPr>
          <w:rStyle w:val="CharStyle38"/>
          <w:b/>
          <w:bCs/>
          <w:color w:val="FFFFFF"/>
          <w:sz w:val="12"/>
          <w:szCs w:val="12"/>
        </w:rPr>
        <w:t>LV , +4 TWh</w:t>
      </w:r>
    </w:p>
    <w:p>
      <w:pPr>
        <w:pStyle w:val="Style37"/>
        <w:keepNext w:val="0"/>
        <w:keepLines w:val="0"/>
        <w:framePr w:w="590" w:h="379" w:wrap="none" w:vAnchor="text" w:hAnchor="page" w:x="2136"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ES</w:t>
        <w:br/>
        <w:t>-13 TWh</w:t>
      </w:r>
    </w:p>
    <w:p>
      <w:pPr>
        <w:pStyle w:val="Style37"/>
        <w:keepNext w:val="0"/>
        <w:keepLines w:val="0"/>
        <w:framePr w:w="360" w:h="552" w:wrap="none" w:vAnchor="text" w:hAnchor="page" w:x="835" w:y="10959"/>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PT</w:t>
        <w:br/>
        <w:t>+5</w:t>
        <w:br/>
        <w:t>TWh</w:t>
      </w:r>
    </w:p>
    <w:p>
      <w:pPr>
        <w:pStyle w:val="Style37"/>
        <w:keepNext w:val="0"/>
        <w:keepLines w:val="0"/>
        <w:framePr w:w="619" w:h="590" w:wrap="none" w:vAnchor="text" w:hAnchor="page" w:x="4162" w:y="5924"/>
        <w:widowControl w:val="0"/>
        <w:shd w:val="clear" w:color="auto" w:fill="auto"/>
        <w:bidi w:val="0"/>
        <w:spacing w:before="0" w:after="0" w:line="240" w:lineRule="auto"/>
        <w:ind w:left="0" w:right="0" w:firstLine="280"/>
        <w:jc w:val="left"/>
        <w:rPr>
          <w:sz w:val="12"/>
          <w:szCs w:val="12"/>
        </w:rPr>
      </w:pPr>
      <w:r>
        <w:rPr>
          <w:rStyle w:val="CharStyle38"/>
          <w:b/>
          <w:bCs/>
          <w:color w:val="ED6B5F"/>
          <w:sz w:val="12"/>
          <w:szCs w:val="12"/>
        </w:rPr>
        <w:t>DK</w:t>
      </w:r>
    </w:p>
    <w:p>
      <w:pPr>
        <w:pStyle w:val="Style37"/>
        <w:keepNext w:val="0"/>
        <w:keepLines w:val="0"/>
        <w:framePr w:w="619" w:h="590" w:wrap="none" w:vAnchor="text" w:hAnchor="page" w:x="4162" w:y="5924"/>
        <w:widowControl w:val="0"/>
        <w:shd w:val="clear" w:color="auto" w:fill="auto"/>
        <w:bidi w:val="0"/>
        <w:spacing w:before="0" w:after="80" w:line="240" w:lineRule="auto"/>
        <w:ind w:left="0" w:right="0" w:firstLine="0"/>
        <w:jc w:val="left"/>
        <w:rPr>
          <w:sz w:val="12"/>
          <w:szCs w:val="12"/>
        </w:rPr>
      </w:pPr>
      <w:r>
        <w:rPr>
          <w:rStyle w:val="CharStyle38"/>
          <w:b/>
          <w:bCs/>
          <w:color w:val="ED6B5F"/>
          <w:sz w:val="12"/>
          <w:szCs w:val="12"/>
        </w:rPr>
        <w:t>-4 TWh</w:t>
      </w:r>
    </w:p>
    <w:p>
      <w:pPr>
        <w:pStyle w:val="Style37"/>
        <w:keepNext w:val="0"/>
        <w:keepLines w:val="0"/>
        <w:framePr w:w="619" w:h="590" w:wrap="none" w:vAnchor="text" w:hAnchor="page" w:x="4162" w:y="5924"/>
        <w:widowControl w:val="0"/>
        <w:shd w:val="clear" w:color="auto" w:fill="auto"/>
        <w:bidi w:val="0"/>
        <w:spacing w:before="0" w:after="40" w:line="240" w:lineRule="auto"/>
        <w:ind w:left="0" w:right="0" w:firstLine="0"/>
        <w:jc w:val="left"/>
        <w:rPr>
          <w:sz w:val="12"/>
          <w:szCs w:val="12"/>
        </w:rPr>
      </w:pPr>
      <w:r>
        <w:rPr>
          <w:rStyle w:val="CharStyle38"/>
          <w:b/>
          <w:bCs/>
          <w:color w:val="076BB4"/>
          <w:sz w:val="12"/>
          <w:szCs w:val="12"/>
        </w:rPr>
        <w:t>NL</w:t>
      </w:r>
    </w:p>
    <w:p>
      <w:pPr>
        <w:pStyle w:val="Style37"/>
        <w:keepNext w:val="0"/>
        <w:keepLines w:val="0"/>
        <w:framePr w:w="643" w:h="379" w:wrap="none" w:vAnchor="text" w:hAnchor="page" w:x="5064" w:y="71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DE</w:t>
        <w:br/>
        <w:t>+62 TWh</w:t>
      </w:r>
    </w:p>
    <w:p>
      <w:pPr>
        <w:pStyle w:val="Style37"/>
        <w:keepNext w:val="0"/>
        <w:keepLines w:val="0"/>
        <w:framePr w:w="547" w:h="374" w:wrap="none" w:vAnchor="text" w:hAnchor="page" w:x="7027" w:y="697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PL</w:t>
        <w:br/>
        <w:t>■ 10 TWh</w:t>
      </w:r>
    </w:p>
    <w:p>
      <w:pPr>
        <w:pStyle w:val="Style37"/>
        <w:keepNext w:val="0"/>
        <w:keepLines w:val="0"/>
        <w:framePr w:w="480" w:h="331" w:wrap="none" w:vAnchor="text" w:hAnchor="page" w:x="4642" w:y="769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LU</w:t>
        <w:br/>
        <w:t>6 TWh</w:t>
      </w:r>
    </w:p>
    <w:p>
      <w:pPr>
        <w:pStyle w:val="Style37"/>
        <w:keepNext w:val="0"/>
        <w:keepLines w:val="0"/>
        <w:framePr w:w="480" w:h="331" w:wrap="none" w:vAnchor="text" w:hAnchor="page" w:x="4685" w:y="85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CH</w:t>
        <w:br/>
        <w:t>1 TWh</w:t>
      </w:r>
    </w:p>
    <w:p>
      <w:pPr>
        <w:pStyle w:val="Style37"/>
        <w:keepNext w:val="0"/>
        <w:keepLines w:val="0"/>
        <w:framePr w:w="562" w:h="379" w:wrap="none" w:vAnchor="text" w:hAnchor="page" w:x="5136" w:y="900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IT</w:t>
        <w:br/>
        <w:t>■ 50 TWh</w:t>
      </w:r>
    </w:p>
    <w:p>
      <w:pPr>
        <w:pStyle w:val="Style37"/>
        <w:keepNext w:val="0"/>
        <w:keepLines w:val="0"/>
        <w:framePr w:w="566" w:h="346" w:wrap="none" w:vAnchor="text" w:hAnchor="page" w:x="6058" w:y="768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CZ</w:t>
        <w:br/>
        <w:t>■ 20 TWh</w:t>
      </w:r>
    </w:p>
    <w:p>
      <w:pPr>
        <w:pStyle w:val="Style37"/>
        <w:keepNext w:val="0"/>
        <w:keepLines w:val="0"/>
        <w:framePr w:w="619" w:h="379" w:wrap="none" w:vAnchor="text" w:hAnchor="page" w:x="5971" w:y="82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AT</w:t>
        <w:br/>
        <w:t>+20 TWh</w:t>
      </w:r>
    </w:p>
    <w:p>
      <w:pPr>
        <w:pStyle w:val="Style37"/>
        <w:keepNext w:val="0"/>
        <w:keepLines w:val="0"/>
        <w:framePr w:w="552" w:h="379" w:wrap="none" w:vAnchor="text" w:hAnchor="page" w:x="6912" w:y="80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left"/>
        <w:rPr>
          <w:sz w:val="12"/>
          <w:szCs w:val="12"/>
        </w:rPr>
      </w:pPr>
      <w:r>
        <w:rPr>
          <w:rStyle w:val="CharStyle38"/>
          <w:b/>
          <w:bCs/>
          <w:color w:val="FFFFFF"/>
          <w:sz w:val="12"/>
          <w:szCs w:val="12"/>
        </w:rPr>
        <w:t>y SK +0 TWh</w:t>
      </w:r>
    </w:p>
    <w:p>
      <w:pPr>
        <w:pStyle w:val="Style37"/>
        <w:keepNext w:val="0"/>
        <w:keepLines w:val="0"/>
        <w:framePr w:w="926" w:h="355" w:wrap="none" w:vAnchor="text" w:hAnchor="page" w:x="6101"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18" w:lineRule="auto"/>
        <w:ind w:left="0" w:right="0" w:firstLine="0"/>
        <w:jc w:val="left"/>
        <w:rPr>
          <w:sz w:val="12"/>
          <w:szCs w:val="12"/>
        </w:rPr>
      </w:pPr>
      <w:r>
        <w:rPr>
          <w:rStyle w:val="CharStyle38"/>
          <w:b/>
          <w:bCs/>
          <w:color w:val="FFFFFF"/>
          <w:sz w:val="12"/>
          <w:szCs w:val="12"/>
        </w:rPr>
        <w:t>■ 1 TWh HR t-&gt;í+3 TWh</w:t>
      </w:r>
    </w:p>
    <w:p>
      <w:pPr>
        <w:pStyle w:val="Style37"/>
        <w:keepNext w:val="0"/>
        <w:keepLines w:val="0"/>
        <w:framePr w:w="557" w:h="379" w:wrap="none" w:vAnchor="text" w:hAnchor="page" w:x="6859" w:y="856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HU</w:t>
        <w:br/>
        <w:t>35 TWh</w:t>
      </w:r>
    </w:p>
    <w:p>
      <w:pPr>
        <w:pStyle w:val="Style37"/>
        <w:keepNext w:val="0"/>
        <w:keepLines w:val="0"/>
        <w:framePr w:w="475" w:h="182" w:wrap="none" w:vAnchor="text" w:hAnchor="page" w:x="6773" w:y="944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 5 TWh</w:t>
      </w:r>
    </w:p>
    <w:p>
      <w:pPr>
        <w:pStyle w:val="Style37"/>
        <w:keepNext w:val="0"/>
        <w:keepLines w:val="0"/>
        <w:framePr w:w="475" w:h="360" w:wrap="none" w:vAnchor="text" w:hAnchor="page" w:x="7430" w:y="932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RS</w:t>
        <w:br/>
        <w:t>-9 TWh</w:t>
      </w:r>
    </w:p>
    <w:p>
      <w:pPr>
        <w:pStyle w:val="Style37"/>
        <w:keepNext w:val="0"/>
        <w:keepLines w:val="0"/>
        <w:framePr w:w="485" w:h="355" w:wrap="none" w:vAnchor="text" w:hAnchor="page" w:x="6749" w:y="9894"/>
        <w:widowControl w:val="0"/>
        <w:shd w:val="clear" w:color="auto" w:fill="auto"/>
        <w:bidi w:val="0"/>
        <w:spacing w:before="0" w:after="0" w:line="240" w:lineRule="auto"/>
        <w:ind w:left="0" w:right="0" w:firstLine="0"/>
        <w:jc w:val="right"/>
        <w:rPr>
          <w:sz w:val="12"/>
          <w:szCs w:val="12"/>
        </w:rPr>
      </w:pPr>
      <w:r>
        <w:rPr>
          <w:rStyle w:val="CharStyle38"/>
          <w:b/>
          <w:bCs/>
          <w:color w:val="ED6B5F"/>
          <w:sz w:val="12"/>
          <w:szCs w:val="12"/>
        </w:rPr>
        <w:t>ME</w:t>
      </w:r>
    </w:p>
    <w:p>
      <w:pPr>
        <w:pStyle w:val="Style37"/>
        <w:keepNext w:val="0"/>
        <w:keepLines w:val="0"/>
        <w:framePr w:w="485" w:h="355" w:wrap="none" w:vAnchor="text" w:hAnchor="page" w:x="6749" w:y="9894"/>
        <w:widowControl w:val="0"/>
        <w:shd w:val="clear" w:color="auto" w:fill="auto"/>
        <w:bidi w:val="0"/>
        <w:spacing w:before="0" w:after="0" w:line="240" w:lineRule="auto"/>
        <w:ind w:left="0" w:right="0" w:firstLine="0"/>
        <w:jc w:val="right"/>
        <w:rPr>
          <w:sz w:val="12"/>
          <w:szCs w:val="12"/>
        </w:rPr>
      </w:pPr>
      <w:r>
        <w:rPr>
          <w:rStyle w:val="CharStyle38"/>
          <w:b/>
          <w:bCs/>
          <w:color w:val="ED6B5F"/>
          <w:sz w:val="12"/>
          <w:szCs w:val="12"/>
        </w:rPr>
        <w:t>-1 TWh</w:t>
      </w:r>
    </w:p>
    <w:p>
      <w:pPr>
        <w:pStyle w:val="Style37"/>
        <w:keepNext w:val="0"/>
        <w:keepLines w:val="0"/>
        <w:framePr w:w="408" w:h="178" w:wrap="none" w:vAnchor="text" w:hAnchor="page" w:x="7651" w:y="10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5 TWI</w:t>
      </w:r>
    </w:p>
    <w:p>
      <w:pPr>
        <w:pStyle w:val="Style37"/>
        <w:keepNext w:val="0"/>
        <w:keepLines w:val="0"/>
        <w:framePr w:w="475" w:h="374" w:wrap="none" w:vAnchor="text" w:hAnchor="page" w:x="8146" w:y="597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LT</w:t>
        <w:br/>
        <w:t>6 TWh</w:t>
      </w:r>
    </w:p>
    <w:p>
      <w:pPr>
        <w:pStyle w:val="Style37"/>
        <w:keepNext w:val="0"/>
        <w:keepLines w:val="0"/>
        <w:framePr w:w="629" w:h="182" w:wrap="none" w:vAnchor="text" w:hAnchor="page" w:x="8098" w:y="898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+19 TWh</w:t>
      </w:r>
    </w:p>
    <w:p>
      <w:pPr>
        <w:pStyle w:val="Style37"/>
        <w:keepNext w:val="0"/>
        <w:keepLines w:val="0"/>
        <w:framePr w:w="547" w:h="379" w:wrap="none" w:vAnchor="text" w:hAnchor="page" w:x="8189" w:y="968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BG</w:t>
        <w:br/>
        <w:t>+2 TWh</w:t>
      </w:r>
    </w:p>
    <w:p>
      <w:pPr>
        <w:pStyle w:val="Style37"/>
        <w:keepNext w:val="0"/>
        <w:keepLines w:val="0"/>
        <w:framePr w:w="552" w:h="442" w:wrap="none" w:vAnchor="text" w:hAnchor="page" w:x="6163" w:y="11425"/>
        <w:widowControl w:val="0"/>
        <w:shd w:val="clear" w:color="auto" w:fill="auto"/>
        <w:bidi w:val="0"/>
        <w:spacing w:before="0" w:after="0" w:line="310" w:lineRule="auto"/>
        <w:ind w:left="0" w:right="0" w:firstLine="0"/>
        <w:jc w:val="left"/>
        <w:rPr>
          <w:sz w:val="12"/>
          <w:szCs w:val="12"/>
        </w:rPr>
      </w:pPr>
      <w:r>
        <w:rPr>
          <w:rStyle w:val="CharStyle38"/>
          <w:b/>
          <w:bCs/>
          <w:color w:val="ED6B5F"/>
          <w:sz w:val="12"/>
          <w:szCs w:val="12"/>
          <w:vertAlign w:val="superscript"/>
        </w:rPr>
        <w:t>X</w:t>
      </w:r>
      <w:r>
        <w:rPr>
          <w:rStyle w:val="CharStyle38"/>
          <w:b/>
          <w:bCs/>
          <w:color w:val="ED6B5F"/>
          <w:sz w:val="12"/>
          <w:szCs w:val="12"/>
        </w:rPr>
        <w:t xml:space="preserve"> MT -2 TWh</w:t>
      </w:r>
    </w:p>
    <w:p>
      <w:pPr>
        <w:pStyle w:val="Style37"/>
        <w:keepNext w:val="0"/>
        <w:keepLines w:val="0"/>
        <w:framePr w:w="370" w:h="499" w:wrap="none" w:vAnchor="text" w:hAnchor="page" w:x="7056" w:y="10455"/>
        <w:widowControl w:val="0"/>
        <w:shd w:val="clear" w:color="auto" w:fill="auto"/>
        <w:bidi w:val="0"/>
        <w:spacing w:before="0" w:after="0" w:line="67" w:lineRule="exact"/>
        <w:ind w:left="0" w:right="0" w:firstLine="0"/>
        <w:jc w:val="left"/>
        <w:rPr>
          <w:sz w:val="12"/>
          <w:szCs w:val="12"/>
        </w:rPr>
      </w:pPr>
      <w:r>
        <w:rPr>
          <w:rStyle w:val="CharStyle38"/>
          <w:b/>
          <w:bCs/>
          <w:color w:val="076BB4"/>
          <w:sz w:val="12"/>
          <w:szCs w:val="12"/>
          <w:vertAlign w:val="superscript"/>
        </w:rPr>
        <w:t>A</w:t>
      </w:r>
      <w:r>
        <w:rPr>
          <w:rStyle w:val="CharStyle38"/>
          <w:b/>
          <w:bCs/>
          <w:color w:val="076BB4"/>
          <w:sz w:val="12"/>
          <w:szCs w:val="12"/>
        </w:rPr>
        <w:t>S +6</w:t>
      </w:r>
    </w:p>
    <w:p>
      <w:pPr>
        <w:pStyle w:val="Style37"/>
        <w:keepNext w:val="0"/>
        <w:keepLines w:val="0"/>
        <w:framePr w:w="370" w:h="499" w:wrap="none" w:vAnchor="text" w:hAnchor="page" w:x="7056" w:y="10455"/>
        <w:widowControl w:val="0"/>
        <w:shd w:val="clear" w:color="auto" w:fill="auto"/>
        <w:bidi w:val="0"/>
        <w:spacing w:before="0" w:after="0" w:line="67" w:lineRule="exact"/>
        <w:ind w:left="0" w:right="0" w:firstLine="0"/>
        <w:jc w:val="left"/>
        <w:rPr>
          <w:sz w:val="12"/>
          <w:szCs w:val="12"/>
        </w:rPr>
      </w:pPr>
      <w:r>
        <w:rPr>
          <w:rStyle w:val="CharStyle38"/>
          <w:b/>
          <w:bCs/>
          <w:color w:val="076BB4"/>
          <w:sz w:val="12"/>
          <w:szCs w:val="12"/>
        </w:rPr>
        <w:t>TWh</w:t>
      </w:r>
    </w:p>
    <w:p>
      <w:pPr>
        <w:pStyle w:val="Style37"/>
        <w:keepNext w:val="0"/>
        <w:keepLines w:val="0"/>
        <w:framePr w:w="547" w:h="355" w:wrap="none" w:vAnchor="text" w:hAnchor="page" w:x="7550"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both"/>
        <w:rPr>
          <w:sz w:val="12"/>
          <w:szCs w:val="12"/>
        </w:rPr>
      </w:pPr>
      <w:r>
        <w:rPr>
          <w:rStyle w:val="CharStyle38"/>
          <w:b/>
          <w:bCs/>
          <w:i/>
          <w:iCs/>
          <w:color w:val="FFFFFF"/>
          <w:sz w:val="12"/>
          <w:szCs w:val="12"/>
        </w:rPr>
        <w:t>f</w:t>
      </w:r>
      <w:r>
        <w:rPr>
          <w:rStyle w:val="CharStyle38"/>
          <w:b/>
          <w:bCs/>
          <w:color w:val="FFFFFF"/>
          <w:sz w:val="12"/>
          <w:szCs w:val="12"/>
        </w:rPr>
        <w:t xml:space="preserve"> GR</w:t>
      </w:r>
    </w:p>
    <w:p>
      <w:pPr>
        <w:pStyle w:val="Style37"/>
        <w:keepNext w:val="0"/>
        <w:keepLines w:val="0"/>
        <w:framePr w:w="547" w:h="355" w:wrap="none" w:vAnchor="text" w:hAnchor="page" w:x="7550"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both"/>
        <w:rPr>
          <w:sz w:val="12"/>
          <w:szCs w:val="12"/>
        </w:rPr>
      </w:pPr>
      <w:r>
        <w:rPr>
          <w:rStyle w:val="CharStyle38"/>
          <w:b/>
          <w:bCs/>
          <w:color w:val="FFFFFF"/>
          <w:sz w:val="12"/>
          <w:szCs w:val="12"/>
        </w:rPr>
        <w:t>■ 11 TWh</w:t>
      </w:r>
    </w:p>
    <w:p>
      <w:pPr>
        <w:pStyle w:val="Style37"/>
        <w:keepNext w:val="0"/>
        <w:keepLines w:val="0"/>
        <w:framePr w:w="518" w:h="355" w:wrap="none" w:vAnchor="text" w:hAnchor="page" w:x="9686" w:y="10599"/>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TR</w:t>
        <w:br/>
        <w:t>-6 TWh</w:t>
      </w:r>
    </w:p>
    <w:p>
      <w:pPr>
        <w:widowControl w:val="0"/>
        <w:spacing w:line="360" w:lineRule="exact"/>
      </w:pPr>
      <w:r>
        <w:drawing>
          <wp:anchor distT="0" distB="0" distL="0" distR="0" simplePos="0" relativeHeight="62914838" behindDoc="1" locked="0" layoutInCell="1" allowOverlap="1">
            <wp:simplePos x="0" y="0"/>
            <wp:positionH relativeFrom="margin">
              <wp:posOffset>-167640</wp:posOffset>
            </wp:positionH>
            <wp:positionV relativeFrom="margin">
              <wp:posOffset>713740</wp:posOffset>
            </wp:positionV>
            <wp:extent cx="6144895" cy="6967855"/>
            <wp:wrapNone/>
            <wp:docPr id="460" name="Shape 460"/>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299"/>
                    <a:stretch/>
                  </pic:blipFill>
                  <pic:spPr>
                    <a:xfrm>
                      <a:ext cx="6144895" cy="6967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type w:val="continuous"/>
          <w:pgSz w:w="12142" w:h="17375"/>
          <w:pgMar w:top="752" w:right="680" w:bottom="752" w:left="680" w:header="0" w:footer="3" w:gutter="682"/>
          <w:cols w:space="720"/>
          <w:noEndnote/>
          <w:rtlGutter w:val="0"/>
          <w:docGrid w:linePitch="360"/>
        </w:sectPr>
      </w:pPr>
    </w:p>
    <w:p>
      <w:pPr>
        <w:widowControl w:val="0"/>
        <w:spacing w:line="1" w:lineRule="exact"/>
      </w:pPr>
      <w:r>
        <w:drawing>
          <wp:anchor distT="25400" distB="342265" distL="63500" distR="63500" simplePos="0" relativeHeight="125829496" behindDoc="0" locked="0" layoutInCell="1" allowOverlap="1">
            <wp:simplePos x="0" y="0"/>
            <wp:positionH relativeFrom="margin">
              <wp:posOffset>597535</wp:posOffset>
            </wp:positionH>
            <wp:positionV relativeFrom="paragraph">
              <wp:posOffset>1036320</wp:posOffset>
            </wp:positionV>
            <wp:extent cx="5620385" cy="2018030"/>
            <wp:wrapSquare wrapText="left"/>
            <wp:docPr id="462" name="Shape 462"/>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301"/>
                    <a:stretch/>
                  </pic:blipFill>
                  <pic:spPr>
                    <a:xfrm>
                      <a:ext cx="5620385" cy="201803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margin">
                  <wp:posOffset>990600</wp:posOffset>
                </wp:positionH>
                <wp:positionV relativeFrom="paragraph">
                  <wp:posOffset>3130550</wp:posOffset>
                </wp:positionV>
                <wp:extent cx="600710" cy="240665"/>
                <wp:wrapNone/>
                <wp:docPr id="464" name="Shape 464"/>
                <a:graphic xmlns:a="http://schemas.openxmlformats.org/drawingml/2006/main">
                  <a:graphicData uri="http://schemas.microsoft.com/office/word/2010/wordprocessingShape">
                    <wps:wsp>
                      <wps:cNvSpPr txBox="1"/>
                      <wps:spPr>
                        <a:xfrm>
                          <a:ext cx="600710" cy="240665"/>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2025</w:t>
                            </w:r>
                          </w:p>
                        </w:txbxContent>
                      </wps:txbx>
                      <wps:bodyPr lIns="0" tIns="0" rIns="0" bIns="0">
                        <a:noAutoFit/>
                      </wps:bodyPr>
                    </wps:wsp>
                  </a:graphicData>
                </a:graphic>
              </wp:anchor>
            </w:drawing>
          </mc:Choice>
          <mc:Fallback>
            <w:pict>
              <v:shape id="_x0000_s1490" type="#_x0000_t202" style="position:absolute;margin-left:78.pt;margin-top:246.5pt;width:47.300000000000004pt;height:18.949999999999999pt;z-index:251657801;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2025</w:t>
                      </w:r>
                    </w:p>
                  </w:txbxContent>
                </v:textbox>
                <w10:wrap anchorx="margin"/>
              </v:shape>
            </w:pict>
          </mc:Fallback>
        </mc:AlternateContent>
      </w:r>
      <w:r>
        <mc:AlternateContent>
          <mc:Choice Requires="wps">
            <w:drawing>
              <wp:anchor distT="0" distB="0" distL="0" distR="0" simplePos="0" relativeHeight="503316556" behindDoc="0" locked="0" layoutInCell="1" allowOverlap="1">
                <wp:simplePos x="0" y="0"/>
                <wp:positionH relativeFrom="margin">
                  <wp:posOffset>2383790</wp:posOffset>
                </wp:positionH>
                <wp:positionV relativeFrom="paragraph">
                  <wp:posOffset>3130550</wp:posOffset>
                </wp:positionV>
                <wp:extent cx="600710" cy="240665"/>
                <wp:wrapNone/>
                <wp:docPr id="466" name="Shape 466"/>
                <a:graphic xmlns:a="http://schemas.openxmlformats.org/drawingml/2006/main">
                  <a:graphicData uri="http://schemas.microsoft.com/office/word/2010/wordprocessingShape">
                    <wps:wsp>
                      <wps:cNvSpPr txBox="1"/>
                      <wps:spPr>
                        <a:xfrm>
                          <a:ext cx="600710" cy="240665"/>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2030</w:t>
                            </w:r>
                          </w:p>
                        </w:txbxContent>
                      </wps:txbx>
                      <wps:bodyPr lIns="0" tIns="0" rIns="0" bIns="0">
                        <a:noAutoFit/>
                      </wps:bodyPr>
                    </wps:wsp>
                  </a:graphicData>
                </a:graphic>
              </wp:anchor>
            </w:drawing>
          </mc:Choice>
          <mc:Fallback>
            <w:pict>
              <v:shape id="_x0000_s1492" type="#_x0000_t202" style="position:absolute;margin-left:187.70000000000002pt;margin-top:246.5pt;width:47.300000000000004pt;height:18.949999999999999pt;z-index:25165780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2030</w:t>
                      </w:r>
                    </w:p>
                  </w:txbxContent>
                </v:textbox>
                <w10:wrap anchorx="margin"/>
              </v:shape>
            </w:pict>
          </mc:Fallback>
        </mc:AlternateContent>
      </w:r>
      <w:r>
        <mc:AlternateContent>
          <mc:Choice Requires="wps">
            <w:drawing>
              <wp:anchor distT="0" distB="0" distL="0" distR="0" simplePos="0" relativeHeight="503316558" behindDoc="0" locked="0" layoutInCell="1" allowOverlap="1">
                <wp:simplePos x="0" y="0"/>
                <wp:positionH relativeFrom="margin">
                  <wp:posOffset>3773805</wp:posOffset>
                </wp:positionH>
                <wp:positionV relativeFrom="paragraph">
                  <wp:posOffset>3130550</wp:posOffset>
                </wp:positionV>
                <wp:extent cx="603250" cy="240665"/>
                <wp:wrapNone/>
                <wp:docPr id="468" name="Shape 468"/>
                <a:graphic xmlns:a="http://schemas.openxmlformats.org/drawingml/2006/main">
                  <a:graphicData uri="http://schemas.microsoft.com/office/word/2010/wordprocessingShape">
                    <wps:wsp>
                      <wps:cNvSpPr txBox="1"/>
                      <wps:spPr>
                        <a:xfrm>
                          <a:ext cx="603250" cy="240665"/>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2035</w:t>
                            </w:r>
                          </w:p>
                        </w:txbxContent>
                      </wps:txbx>
                      <wps:bodyPr lIns="0" tIns="0" rIns="0" bIns="0">
                        <a:noAutoFit/>
                      </wps:bodyPr>
                    </wps:wsp>
                  </a:graphicData>
                </a:graphic>
              </wp:anchor>
            </w:drawing>
          </mc:Choice>
          <mc:Fallback>
            <w:pict>
              <v:shape id="_x0000_s1494" type="#_x0000_t202" style="position:absolute;margin-left:297.15000000000003pt;margin-top:246.5pt;width:47.5pt;height:18.949999999999999pt;z-index:25165780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2035</w:t>
                      </w:r>
                    </w:p>
                  </w:txbxContent>
                </v:textbox>
                <w10:wrap anchorx="margin"/>
              </v:shape>
            </w:pict>
          </mc:Fallback>
        </mc:AlternateContent>
      </w:r>
      <w:r>
        <mc:AlternateContent>
          <mc:Choice Requires="wps">
            <w:drawing>
              <wp:anchor distT="0" distB="0" distL="0" distR="0" simplePos="0" relativeHeight="503316560" behindDoc="0" locked="0" layoutInCell="1" allowOverlap="1">
                <wp:simplePos x="0" y="0"/>
                <wp:positionH relativeFrom="margin">
                  <wp:posOffset>5166360</wp:posOffset>
                </wp:positionH>
                <wp:positionV relativeFrom="paragraph">
                  <wp:posOffset>3130550</wp:posOffset>
                </wp:positionV>
                <wp:extent cx="600710" cy="240665"/>
                <wp:wrapNone/>
                <wp:docPr id="470" name="Shape 470"/>
                <a:graphic xmlns:a="http://schemas.openxmlformats.org/drawingml/2006/main">
                  <a:graphicData uri="http://schemas.microsoft.com/office/word/2010/wordprocessingShape">
                    <wps:wsp>
                      <wps:cNvSpPr txBox="1"/>
                      <wps:spPr>
                        <a:xfrm>
                          <a:ext cx="600710" cy="240665"/>
                        </a:xfrm>
                        <a:prstGeom prst="rect"/>
                        <a:noFill/>
                      </wps:spPr>
                      <wps:txbx>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2040</w:t>
                            </w:r>
                          </w:p>
                        </w:txbxContent>
                      </wps:txbx>
                      <wps:bodyPr lIns="0" tIns="0" rIns="0" bIns="0">
                        <a:noAutoFit/>
                      </wps:bodyPr>
                    </wps:wsp>
                  </a:graphicData>
                </a:graphic>
              </wp:anchor>
            </w:drawing>
          </mc:Choice>
          <mc:Fallback>
            <w:pict>
              <v:shape id="_x0000_s1496" type="#_x0000_t202" style="position:absolute;margin-left:406.80000000000001pt;margin-top:246.5pt;width:47.300000000000004pt;height:18.949999999999999pt;z-index:251657807;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93" w:lineRule="auto"/>
                        <w:ind w:left="0" w:right="0" w:firstLine="0"/>
                        <w:jc w:val="center"/>
                        <w:rPr>
                          <w:sz w:val="12"/>
                          <w:szCs w:val="12"/>
                        </w:rPr>
                      </w:pPr>
                      <w:r>
                        <w:rPr>
                          <w:rStyle w:val="CharStyle3"/>
                          <w:b/>
                          <w:bCs/>
                          <w:sz w:val="12"/>
                          <w:szCs w:val="12"/>
                        </w:rPr>
                        <w:t>Dekarbonizační 2040</w:t>
                      </w:r>
                    </w:p>
                  </w:txbxContent>
                </v:textbox>
                <w10:wrap anchorx="margin"/>
              </v:shape>
            </w:pict>
          </mc:Fallback>
        </mc:AlternateContent>
      </w:r>
      <w:r>
        <mc:AlternateContent>
          <mc:Choice Requires="wps">
            <w:drawing>
              <wp:anchor distT="0" distB="0" distL="38100" distR="38100" simplePos="0" relativeHeight="125829497" behindDoc="0" locked="0" layoutInCell="1" allowOverlap="1">
                <wp:simplePos x="0" y="0"/>
                <wp:positionH relativeFrom="margin">
                  <wp:posOffset>572770</wp:posOffset>
                </wp:positionH>
                <wp:positionV relativeFrom="paragraph">
                  <wp:posOffset>3557270</wp:posOffset>
                </wp:positionV>
                <wp:extent cx="1329055" cy="643255"/>
                <wp:wrapSquare wrapText="right"/>
                <wp:docPr id="472" name="Shape 472"/>
                <a:graphic xmlns:a="http://schemas.openxmlformats.org/drawingml/2006/main">
                  <a:graphicData uri="http://schemas.microsoft.com/office/word/2010/wordprocessingShape">
                    <wps:wsp>
                      <wps:cNvSpPr txBox="1"/>
                      <wps:spPr>
                        <a:xfrm>
                          <a:ext cx="1329055" cy="643255"/>
                        </a:xfrm>
                        <a:prstGeom prst="rect"/>
                        <a:solidFill>
                          <a:srgbClr val="F7FCFF"/>
                        </a:solidFill>
                      </wps:spPr>
                      <wps:txbx>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wps:txbx>
                      <wps:bodyPr lIns="0" tIns="0" rIns="0" bIns="0">
                        <a:noAutoFit/>
                      </wps:bodyPr>
                    </wps:wsp>
                  </a:graphicData>
                </a:graphic>
              </wp:anchor>
            </w:drawing>
          </mc:Choice>
          <mc:Fallback>
            <w:pict>
              <v:shape id="_x0000_s1498" type="#_x0000_t202" style="position:absolute;margin-left:45.100000000000001pt;margin-top:280.10000000000002pt;width:104.65000000000001pt;height:50.649999999999999pt;z-index:-125829256;mso-wrap-distance-left:3.pt;mso-wrap-distance-right:3.pt;mso-position-horizontal-relative:margin" fillcolor="#F7FCFF" stroked="f">
                <v:textbox inset="0,0,0,0">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 Nedodávka</w:t>
                      </w:r>
                    </w:p>
                    <w:p>
                      <w:pPr>
                        <w:pStyle w:val="Style75"/>
                        <w:keepNext w:val="0"/>
                        <w:keepLines w:val="0"/>
                        <w:widowControl w:val="0"/>
                        <w:shd w:val="clear" w:color="auto" w:fill="auto"/>
                        <w:bidi w:val="0"/>
                        <w:spacing w:before="0" w:after="60" w:line="240" w:lineRule="auto"/>
                        <w:ind w:left="0" w:right="0" w:firstLine="360"/>
                        <w:jc w:val="left"/>
                      </w:pPr>
                      <w:r>
                        <w:rPr>
                          <w:rStyle w:val="CharStyle76"/>
                        </w:rPr>
                        <w:t>Saldo dovozu a vývozu</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EE7E32"/>
                        </w:rPr>
                        <w:t xml:space="preserve">| </w:t>
                      </w:r>
                      <w:r>
                        <w:rPr>
                          <w:rStyle w:val="CharStyle76"/>
                        </w:rPr>
                        <w:t>Palivové články</w:t>
                      </w:r>
                    </w:p>
                    <w:p>
                      <w:pPr>
                        <w:pStyle w:val="Style75"/>
                        <w:keepNext w:val="0"/>
                        <w:keepLines w:val="0"/>
                        <w:widowControl w:val="0"/>
                        <w:shd w:val="clear" w:color="auto" w:fill="auto"/>
                        <w:bidi w:val="0"/>
                        <w:spacing w:before="0" w:after="60" w:line="240" w:lineRule="auto"/>
                        <w:ind w:left="0" w:right="0" w:firstLine="0"/>
                        <w:jc w:val="left"/>
                      </w:pPr>
                      <w:r>
                        <w:rPr>
                          <w:rStyle w:val="CharStyle76"/>
                          <w:color w:val="006AB4"/>
                        </w:rPr>
                        <w:t xml:space="preserve">| </w:t>
                      </w:r>
                      <w:r>
                        <w:rPr>
                          <w:rStyle w:val="CharStyle76"/>
                        </w:rPr>
                        <w:t>Bateriová akumulace</w:t>
                      </w:r>
                    </w:p>
                  </w:txbxContent>
                </v:textbox>
                <w10:wrap type="square" side="right" anchorx="margin"/>
              </v:shape>
            </w:pict>
          </mc:Fallback>
        </mc:AlternateContent>
      </w:r>
      <w:r>
        <mc:AlternateContent>
          <mc:Choice Requires="wps">
            <w:drawing>
              <wp:anchor distT="0" distB="0" distL="114300" distR="114300" simplePos="0" relativeHeight="125829499" behindDoc="0" locked="0" layoutInCell="1" allowOverlap="1">
                <wp:simplePos x="0" y="0"/>
                <wp:positionH relativeFrom="margin">
                  <wp:posOffset>4370705</wp:posOffset>
                </wp:positionH>
                <wp:positionV relativeFrom="paragraph">
                  <wp:posOffset>3557270</wp:posOffset>
                </wp:positionV>
                <wp:extent cx="1139825" cy="514985"/>
                <wp:wrapSquare wrapText="left"/>
                <wp:docPr id="474" name="Shape 474"/>
                <a:graphic xmlns:a="http://schemas.openxmlformats.org/drawingml/2006/main">
                  <a:graphicData uri="http://schemas.microsoft.com/office/word/2010/wordprocessingShape">
                    <wps:wsp>
                      <wps:cNvSpPr txBox="1"/>
                      <wps:spPr>
                        <a:xfrm>
                          <a:ext cx="1139825" cy="514985"/>
                        </a:xfrm>
                        <a:prstGeom prst="rect"/>
                        <a:solidFill>
                          <a:srgbClr val="F7FCFF"/>
                        </a:solidFill>
                      </wps:spPr>
                      <wps:txbx>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wps:txbx>
                      <wps:bodyPr lIns="0" tIns="0" rIns="0" bIns="0">
                        <a:noAutoFit/>
                      </wps:bodyPr>
                    </wps:wsp>
                  </a:graphicData>
                </a:graphic>
              </wp:anchor>
            </w:drawing>
          </mc:Choice>
          <mc:Fallback>
            <w:pict>
              <v:shape id="_x0000_s1500" type="#_x0000_t202" style="position:absolute;margin-left:344.15000000000003pt;margin-top:280.10000000000002pt;width:89.75pt;height:40.550000000000004pt;z-index:-125829254;mso-wrap-distance-left:9.pt;mso-wrap-distance-right:9.pt;mso-position-horizontal-relative:margin" fillcolor="#F7FCFF" stroked="f">
                <v:textbox inset="0,0,0,0">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B7B8B8"/>
                        </w:rPr>
                        <w:t xml:space="preserve">| </w:t>
                      </w:r>
                      <w:r>
                        <w:rPr>
                          <w:rStyle w:val="CharStyle76"/>
                        </w:rPr>
                        <w:t>Plynové zdroje Uhelné zdroje</w:t>
                      </w:r>
                    </w:p>
                    <w:p>
                      <w:pPr>
                        <w:pStyle w:val="Style75"/>
                        <w:keepNext w:val="0"/>
                        <w:keepLines w:val="0"/>
                        <w:widowControl w:val="0"/>
                        <w:shd w:val="clear" w:color="auto" w:fill="auto"/>
                        <w:bidi w:val="0"/>
                        <w:spacing w:before="0" w:after="0" w:line="331" w:lineRule="auto"/>
                        <w:ind w:left="0" w:right="0" w:firstLine="0"/>
                        <w:jc w:val="left"/>
                      </w:pPr>
                      <w:r>
                        <w:rPr>
                          <w:rStyle w:val="CharStyle76"/>
                          <w:color w:val="E30613"/>
                        </w:rPr>
                        <w:t xml:space="preserve">| </w:t>
                      </w:r>
                      <w:r>
                        <w:rPr>
                          <w:rStyle w:val="CharStyle76"/>
                        </w:rPr>
                        <w:t>Jaderné elektrárny</w:t>
                      </w:r>
                    </w:p>
                  </w:txbxContent>
                </v:textbox>
                <w10:wrap type="square" side="left" anchorx="margin"/>
              </v:shape>
            </w:pict>
          </mc:Fallback>
        </mc:AlternateContent>
      </w:r>
    </w:p>
    <w:p>
      <w:pPr>
        <w:pStyle w:val="Style27"/>
        <w:keepNext/>
        <w:keepLines/>
        <w:widowControl w:val="0"/>
        <w:numPr>
          <w:ilvl w:val="2"/>
          <w:numId w:val="33"/>
        </w:numPr>
        <w:shd w:val="clear" w:color="auto" w:fill="auto"/>
        <w:tabs>
          <w:tab w:pos="3257" w:val="left"/>
        </w:tabs>
        <w:bidi w:val="0"/>
        <w:spacing w:before="0" w:after="640" w:line="240" w:lineRule="auto"/>
        <w:ind w:left="2620" w:right="0" w:firstLine="0"/>
        <w:jc w:val="left"/>
      </w:pPr>
      <w:bookmarkStart w:id="228" w:name="bookmark228"/>
      <w:r>
        <w:rPr>
          <w:rStyle w:val="CharStyle28"/>
          <w:b/>
          <w:bCs/>
        </w:rPr>
        <w:t>DEKARBONIZAČNÍ SCÉNÁŘ</w:t>
      </w:r>
      <w:bookmarkEnd w:id="228"/>
    </w:p>
    <w:p>
      <w:pPr>
        <w:pStyle w:val="Style15"/>
        <w:keepNext/>
        <w:keepLines/>
        <w:widowControl w:val="0"/>
        <w:shd w:val="clear" w:color="auto" w:fill="auto"/>
        <w:bidi w:val="0"/>
        <w:spacing w:before="0" w:after="460" w:line="240" w:lineRule="auto"/>
        <w:ind w:left="0" w:right="0" w:firstLine="0"/>
        <w:jc w:val="left"/>
      </w:pPr>
      <w:bookmarkStart w:id="230" w:name="bookmark230"/>
      <w:r>
        <w:rPr>
          <w:rStyle w:val="CharStyle16"/>
          <w:b/>
          <w:bCs/>
        </w:rPr>
        <w:t>Obr. 6.28 Roční bilance v Dekarbonizačním scénáři pro jednotlivé roky a kategorie zdrojů</w:t>
      </w:r>
      <w:bookmarkEnd w:id="230"/>
    </w:p>
    <w:p>
      <w:pPr>
        <w:pStyle w:val="Style37"/>
        <w:keepNext w:val="0"/>
        <w:keepLines w:val="0"/>
        <w:widowControl w:val="0"/>
        <w:shd w:val="clear" w:color="auto" w:fill="auto"/>
        <w:bidi w:val="0"/>
        <w:spacing w:before="0" w:after="100" w:line="240" w:lineRule="auto"/>
        <w:ind w:left="0" w:right="0" w:firstLine="300"/>
        <w:jc w:val="both"/>
        <w:rPr>
          <w:sz w:val="12"/>
          <w:szCs w:val="12"/>
        </w:rPr>
      </w:pPr>
      <w:r>
        <w:rPr>
          <w:rStyle w:val="CharStyle38"/>
          <w:b/>
          <w:bCs/>
          <w:color w:val="006AB4"/>
          <w:sz w:val="12"/>
          <w:szCs w:val="12"/>
        </w:rPr>
        <w:t>120 000</w:t>
      </w:r>
    </w:p>
    <w:p>
      <w:pPr>
        <w:pStyle w:val="Style37"/>
        <w:keepNext w:val="0"/>
        <w:keepLines w:val="0"/>
        <w:widowControl w:val="0"/>
        <w:shd w:val="clear" w:color="auto" w:fill="auto"/>
        <w:bidi w:val="0"/>
        <w:spacing w:before="0" w:after="100" w:line="240" w:lineRule="auto"/>
        <w:ind w:left="0" w:right="0" w:firstLine="300"/>
        <w:jc w:val="both"/>
        <w:rPr>
          <w:sz w:val="12"/>
          <w:szCs w:val="12"/>
        </w:rPr>
      </w:pPr>
      <w:r>
        <w:rPr>
          <w:rStyle w:val="CharStyle38"/>
          <w:b/>
          <w:bCs/>
          <w:color w:val="006AB4"/>
          <w:sz w:val="12"/>
          <w:szCs w:val="12"/>
        </w:rPr>
        <w:t>110 000</w:t>
      </w:r>
    </w:p>
    <w:p>
      <w:pPr>
        <w:pStyle w:val="Style37"/>
        <w:keepNext w:val="0"/>
        <w:keepLines w:val="0"/>
        <w:widowControl w:val="0"/>
        <w:shd w:val="clear" w:color="auto" w:fill="auto"/>
        <w:bidi w:val="0"/>
        <w:spacing w:before="0" w:after="100" w:line="240" w:lineRule="auto"/>
        <w:ind w:left="0" w:right="0" w:firstLine="300"/>
        <w:jc w:val="both"/>
        <w:rPr>
          <w:sz w:val="12"/>
          <w:szCs w:val="12"/>
        </w:rPr>
      </w:pPr>
      <w:r>
        <w:rPr>
          <w:rStyle w:val="CharStyle38"/>
          <w:b/>
          <w:bCs/>
          <w:color w:val="006AB4"/>
          <w:sz w:val="12"/>
          <w:szCs w:val="12"/>
        </w:rPr>
        <w:t>100 000</w:t>
      </w:r>
    </w:p>
    <w:p>
      <w:pPr>
        <w:pStyle w:val="Style37"/>
        <w:keepNext w:val="0"/>
        <w:keepLines w:val="0"/>
        <w:widowControl w:val="0"/>
        <w:shd w:val="clear" w:color="auto" w:fill="auto"/>
        <w:bidi w:val="0"/>
        <w:spacing w:before="0" w:after="100" w:line="240" w:lineRule="auto"/>
        <w:ind w:left="0" w:right="0" w:firstLine="380"/>
        <w:jc w:val="both"/>
        <w:rPr>
          <w:sz w:val="12"/>
          <w:szCs w:val="12"/>
        </w:rPr>
      </w:pPr>
      <w:r>
        <w:rPr>
          <w:rStyle w:val="CharStyle38"/>
          <w:b/>
          <w:bCs/>
          <w:color w:val="006AB4"/>
          <w:sz w:val="12"/>
          <w:szCs w:val="12"/>
        </w:rPr>
        <w:t>90 000</w:t>
      </w:r>
    </w:p>
    <w:p>
      <w:pPr>
        <w:pStyle w:val="Style37"/>
        <w:keepNext w:val="0"/>
        <w:keepLines w:val="0"/>
        <w:widowControl w:val="0"/>
        <w:shd w:val="clear" w:color="auto" w:fill="auto"/>
        <w:tabs>
          <w:tab w:pos="738" w:val="right"/>
        </w:tabs>
        <w:bidi w:val="0"/>
        <w:spacing w:before="0" w:after="100" w:line="240" w:lineRule="auto"/>
        <w:ind w:left="0" w:right="0" w:firstLine="0"/>
        <w:jc w:val="both"/>
        <w:rPr>
          <w:sz w:val="12"/>
          <w:szCs w:val="12"/>
        </w:rPr>
      </w:pPr>
      <w:r>
        <w:rPr>
          <w:rStyle w:val="CharStyle38"/>
          <w:b/>
          <w:bCs/>
          <w:color w:val="006AB4"/>
          <w:sz w:val="12"/>
          <w:szCs w:val="12"/>
        </w:rPr>
        <w:t>g</w:t>
        <w:tab/>
        <w:t>80 000</w:t>
      </w:r>
    </w:p>
    <w:p>
      <w:pPr>
        <w:pStyle w:val="Style37"/>
        <w:keepNext w:val="0"/>
        <w:keepLines w:val="0"/>
        <w:widowControl w:val="0"/>
        <w:shd w:val="clear" w:color="auto" w:fill="auto"/>
        <w:tabs>
          <w:tab w:pos="738" w:val="right"/>
          <w:tab w:pos="959" w:val="right"/>
        </w:tabs>
        <w:bidi w:val="0"/>
        <w:spacing w:before="0" w:after="0" w:line="240" w:lineRule="auto"/>
        <w:ind w:left="0" w:right="0" w:firstLine="0"/>
        <w:jc w:val="both"/>
        <w:rPr>
          <w:sz w:val="12"/>
          <w:szCs w:val="12"/>
        </w:rPr>
      </w:pPr>
      <w:r>
        <w:rPr>
          <w:rStyle w:val="CharStyle38"/>
          <w:b/>
          <w:bCs/>
          <w:color w:val="006AB4"/>
          <w:sz w:val="12"/>
          <w:szCs w:val="12"/>
        </w:rPr>
        <w:t>£</w:t>
        <w:tab/>
        <w:t>70</w:t>
        <w:tab/>
        <w:t>000</w:t>
      </w:r>
    </w:p>
    <w:p>
      <w:pPr>
        <w:pStyle w:val="Style37"/>
        <w:keepNext w:val="0"/>
        <w:keepLines w:val="0"/>
        <w:widowControl w:val="0"/>
        <w:shd w:val="clear" w:color="auto" w:fill="auto"/>
        <w:bidi w:val="0"/>
        <w:spacing w:before="0" w:after="40" w:line="180" w:lineRule="auto"/>
        <w:ind w:left="0" w:right="0" w:firstLine="0"/>
        <w:jc w:val="left"/>
        <w:rPr>
          <w:sz w:val="12"/>
          <w:szCs w:val="12"/>
        </w:rPr>
      </w:pPr>
      <w:r>
        <w:rPr>
          <w:rStyle w:val="CharStyle38"/>
          <w:b/>
          <w:bCs/>
          <w:color w:val="006AB4"/>
          <w:sz w:val="12"/>
          <w:szCs w:val="12"/>
        </w:rPr>
        <w:t>05</w:t>
      </w:r>
    </w:p>
    <w:p>
      <w:pPr>
        <w:pStyle w:val="Style37"/>
        <w:keepNext w:val="0"/>
        <w:keepLines w:val="0"/>
        <w:widowControl w:val="0"/>
        <w:shd w:val="clear" w:color="auto" w:fill="auto"/>
        <w:tabs>
          <w:tab w:pos="738" w:val="right"/>
        </w:tabs>
        <w:bidi w:val="0"/>
        <w:spacing w:before="0" w:after="100" w:line="240" w:lineRule="auto"/>
        <w:ind w:left="0" w:right="0" w:firstLine="0"/>
        <w:jc w:val="both"/>
        <w:rPr>
          <w:sz w:val="12"/>
          <w:szCs w:val="12"/>
        </w:rPr>
      </w:pPr>
      <w:r>
        <w:rPr>
          <w:rStyle w:val="CharStyle38"/>
          <w:b/>
          <w:bCs/>
          <w:color w:val="006AB4"/>
          <w:sz w:val="12"/>
          <w:szCs w:val="12"/>
        </w:rPr>
        <w:t>o</w:t>
        <w:tab/>
        <w:t>60 000</w:t>
      </w:r>
    </w:p>
    <w:p>
      <w:pPr>
        <w:pStyle w:val="Style37"/>
        <w:keepNext w:val="0"/>
        <w:keepLines w:val="0"/>
        <w:widowControl w:val="0"/>
        <w:shd w:val="clear" w:color="auto" w:fill="auto"/>
        <w:tabs>
          <w:tab w:pos="738" w:val="right"/>
          <w:tab w:pos="925" w:val="right"/>
        </w:tabs>
        <w:bidi w:val="0"/>
        <w:spacing w:before="0" w:after="100" w:line="240" w:lineRule="auto"/>
        <w:ind w:left="0" w:right="0" w:firstLine="0"/>
        <w:jc w:val="both"/>
        <w:rPr>
          <w:sz w:val="12"/>
          <w:szCs w:val="12"/>
        </w:rPr>
      </w:pPr>
      <w:r>
        <w:rPr>
          <w:rStyle w:val="CharStyle38"/>
          <w:b/>
          <w:bCs/>
          <w:color w:val="006AB4"/>
          <w:sz w:val="12"/>
          <w:szCs w:val="12"/>
        </w:rPr>
        <w:t>&gt;</w:t>
        <w:tab/>
        <w:t>50</w:t>
        <w:tab/>
        <w:t>000</w:t>
      </w:r>
    </w:p>
    <w:p>
      <w:pPr>
        <w:pStyle w:val="Style37"/>
        <w:keepNext w:val="0"/>
        <w:keepLines w:val="0"/>
        <w:widowControl w:val="0"/>
        <w:shd w:val="clear" w:color="auto" w:fill="auto"/>
        <w:tabs>
          <w:tab w:pos="738" w:val="right"/>
        </w:tabs>
        <w:bidi w:val="0"/>
        <w:spacing w:before="0" w:after="0" w:line="240" w:lineRule="auto"/>
        <w:ind w:left="0" w:right="0" w:firstLine="0"/>
        <w:jc w:val="both"/>
        <w:rPr>
          <w:sz w:val="12"/>
          <w:szCs w:val="12"/>
        </w:rPr>
      </w:pPr>
      <w:r>
        <w:rPr>
          <w:rStyle w:val="CharStyle38"/>
          <w:b/>
          <w:bCs/>
          <w:color w:val="006AB4"/>
          <w:sz w:val="12"/>
          <w:szCs w:val="12"/>
        </w:rPr>
        <w:t>o!</w:t>
        <w:tab/>
        <w:t>40 000</w:t>
      </w:r>
    </w:p>
    <w:p>
      <w:pPr>
        <w:pStyle w:val="Style37"/>
        <w:keepNext w:val="0"/>
        <w:keepLines w:val="0"/>
        <w:widowControl w:val="0"/>
        <w:shd w:val="clear" w:color="auto" w:fill="auto"/>
        <w:bidi w:val="0"/>
        <w:spacing w:before="0" w:after="40" w:line="180" w:lineRule="auto"/>
        <w:ind w:left="0" w:right="0" w:firstLine="0"/>
        <w:jc w:val="left"/>
        <w:rPr>
          <w:sz w:val="12"/>
          <w:szCs w:val="12"/>
        </w:rPr>
      </w:pPr>
      <w:r>
        <w:rPr>
          <w:rStyle w:val="CharStyle38"/>
          <w:b/>
          <w:bCs/>
          <w:color w:val="006AB4"/>
          <w:sz w:val="12"/>
          <w:szCs w:val="12"/>
        </w:rPr>
        <w:t>Z</w:t>
      </w:r>
    </w:p>
    <w:p>
      <w:pPr>
        <w:pStyle w:val="Style37"/>
        <w:keepNext w:val="0"/>
        <w:keepLines w:val="0"/>
        <w:widowControl w:val="0"/>
        <w:shd w:val="clear" w:color="auto" w:fill="auto"/>
        <w:bidi w:val="0"/>
        <w:spacing w:before="0" w:after="100" w:line="240" w:lineRule="auto"/>
        <w:ind w:left="0" w:right="0" w:firstLine="380"/>
        <w:jc w:val="both"/>
        <w:rPr>
          <w:sz w:val="12"/>
          <w:szCs w:val="12"/>
        </w:rPr>
      </w:pPr>
      <w:r>
        <w:rPr>
          <w:rStyle w:val="CharStyle38"/>
          <w:b/>
          <w:bCs/>
          <w:color w:val="006AB4"/>
          <w:sz w:val="12"/>
          <w:szCs w:val="12"/>
        </w:rPr>
        <w:t>30 000</w:t>
      </w:r>
    </w:p>
    <w:p>
      <w:pPr>
        <w:pStyle w:val="Style37"/>
        <w:keepNext w:val="0"/>
        <w:keepLines w:val="0"/>
        <w:widowControl w:val="0"/>
        <w:shd w:val="clear" w:color="auto" w:fill="auto"/>
        <w:bidi w:val="0"/>
        <w:spacing w:before="0" w:after="100" w:line="240" w:lineRule="auto"/>
        <w:ind w:left="0" w:right="0" w:firstLine="380"/>
        <w:jc w:val="both"/>
        <w:rPr>
          <w:sz w:val="12"/>
          <w:szCs w:val="12"/>
        </w:rPr>
      </w:pPr>
      <w:r>
        <w:rPr>
          <w:rStyle w:val="CharStyle38"/>
          <w:b/>
          <w:bCs/>
          <w:color w:val="006AB4"/>
          <w:sz w:val="12"/>
          <w:szCs w:val="12"/>
        </w:rPr>
        <w:t>20 000</w:t>
      </w:r>
    </w:p>
    <w:p>
      <w:pPr>
        <w:pStyle w:val="Style37"/>
        <w:keepNext w:val="0"/>
        <w:keepLines w:val="0"/>
        <w:widowControl w:val="0"/>
        <w:shd w:val="clear" w:color="auto" w:fill="auto"/>
        <w:bidi w:val="0"/>
        <w:spacing w:before="0" w:after="100" w:line="240" w:lineRule="auto"/>
        <w:ind w:left="0" w:right="0" w:firstLine="380"/>
        <w:jc w:val="both"/>
        <w:rPr>
          <w:sz w:val="12"/>
          <w:szCs w:val="12"/>
        </w:rPr>
      </w:pPr>
      <w:r>
        <w:rPr>
          <w:rStyle w:val="CharStyle38"/>
          <w:b/>
          <w:bCs/>
          <w:color w:val="006AB4"/>
          <w:sz w:val="12"/>
          <w:szCs w:val="12"/>
        </w:rPr>
        <w:t>10 000</w:t>
      </w:r>
    </w:p>
    <w:p>
      <w:pPr>
        <w:pStyle w:val="Style37"/>
        <w:keepNext w:val="0"/>
        <w:keepLines w:val="0"/>
        <w:widowControl w:val="0"/>
        <w:shd w:val="clear" w:color="auto" w:fill="auto"/>
        <w:bidi w:val="0"/>
        <w:spacing w:before="0" w:after="760" w:line="240" w:lineRule="auto"/>
        <w:ind w:left="0" w:right="0" w:firstLine="720"/>
        <w:jc w:val="both"/>
        <w:rPr>
          <w:sz w:val="12"/>
          <w:szCs w:val="12"/>
        </w:rPr>
      </w:pPr>
      <w:r>
        <w:rPr>
          <w:rStyle w:val="CharStyle38"/>
          <w:b/>
          <w:bCs/>
          <w:color w:val="006AB4"/>
          <w:sz w:val="12"/>
          <w:szCs w:val="12"/>
        </w:rPr>
        <w:t>0</w:t>
      </w:r>
    </w:p>
    <w:p>
      <w:pPr>
        <w:pStyle w:val="Style75"/>
        <w:keepNext w:val="0"/>
        <w:keepLines w:val="0"/>
        <w:widowControl w:val="0"/>
        <w:shd w:val="clear" w:color="auto" w:fill="auto"/>
        <w:bidi w:val="0"/>
        <w:spacing w:before="0" w:after="40" w:line="240" w:lineRule="auto"/>
        <w:ind w:left="0" w:right="0" w:firstLine="540"/>
        <w:jc w:val="left"/>
      </w:pPr>
      <w:r>
        <w:rPr>
          <w:rStyle w:val="CharStyle76"/>
          <w:color w:val="1BB8ED"/>
        </w:rPr>
        <w:t xml:space="preserve">| </w:t>
      </w:r>
      <w:r>
        <w:rPr>
          <w:rStyle w:val="CharStyle76"/>
        </w:rPr>
        <w:t>Vodní a přečerpávací elektrárny</w:t>
      </w:r>
    </w:p>
    <w:p>
      <w:pPr>
        <w:pStyle w:val="Style75"/>
        <w:keepNext w:val="0"/>
        <w:keepLines w:val="0"/>
        <w:widowControl w:val="0"/>
        <w:shd w:val="clear" w:color="auto" w:fill="auto"/>
        <w:bidi w:val="0"/>
        <w:spacing w:before="0" w:after="40" w:line="240" w:lineRule="auto"/>
        <w:ind w:left="0" w:right="0" w:firstLine="540"/>
        <w:jc w:val="left"/>
      </w:pPr>
      <w:r>
        <w:rPr>
          <w:rStyle w:val="CharStyle76"/>
          <w:color w:val="FED851"/>
        </w:rPr>
        <w:t xml:space="preserve">| </w:t>
      </w:r>
      <w:r>
        <w:rPr>
          <w:rStyle w:val="CharStyle76"/>
        </w:rPr>
        <w:t>Fotovoltaické elektrárny</w:t>
      </w:r>
    </w:p>
    <w:p>
      <w:pPr>
        <w:pStyle w:val="Style75"/>
        <w:keepNext w:val="0"/>
        <w:keepLines w:val="0"/>
        <w:widowControl w:val="0"/>
        <w:shd w:val="clear" w:color="auto" w:fill="auto"/>
        <w:bidi w:val="0"/>
        <w:spacing w:before="0" w:after="40" w:line="240" w:lineRule="auto"/>
        <w:ind w:left="0" w:right="0" w:firstLine="540"/>
        <w:jc w:val="left"/>
      </w:pPr>
      <w:r>
        <w:rPr>
          <w:rStyle w:val="CharStyle76"/>
          <w:color w:val="84539C"/>
        </w:rPr>
        <w:t xml:space="preserve">| </w:t>
      </w:r>
      <w:r>
        <w:rPr>
          <w:rStyle w:val="CharStyle76"/>
        </w:rPr>
        <w:t>Větrné elektrárny</w:t>
      </w:r>
    </w:p>
    <w:p>
      <w:pPr>
        <w:pStyle w:val="Style75"/>
        <w:keepNext w:val="0"/>
        <w:keepLines w:val="0"/>
        <w:widowControl w:val="0"/>
        <w:shd w:val="clear" w:color="auto" w:fill="auto"/>
        <w:bidi w:val="0"/>
        <w:spacing w:before="0" w:after="520" w:line="240" w:lineRule="auto"/>
        <w:ind w:left="0" w:right="0" w:firstLine="540"/>
        <w:jc w:val="left"/>
      </w:pPr>
      <w:r>
        <w:rPr>
          <w:rStyle w:val="CharStyle76"/>
          <w:color w:val="27A851"/>
        </w:rPr>
        <w:t xml:space="preserve">| </w:t>
      </w:r>
      <w:r>
        <w:rPr>
          <w:rStyle w:val="CharStyle76"/>
        </w:rPr>
        <w:t>Ostatní OZE</w:t>
      </w:r>
    </w:p>
    <w:tbl>
      <w:tblPr>
        <w:tblOverlap w:val="never"/>
        <w:jc w:val="center"/>
        <w:tblLayout w:type="fixed"/>
      </w:tblPr>
      <w:tblGrid>
        <w:gridCol w:w="2702"/>
        <w:gridCol w:w="1766"/>
        <w:gridCol w:w="1762"/>
        <w:gridCol w:w="1766"/>
        <w:gridCol w:w="1771"/>
      </w:tblGrid>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Instalovaný výkon</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Dekarbonizační 2040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Nedodávka</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83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40" w:right="0" w:firstLine="0"/>
              <w:jc w:val="both"/>
              <w:rPr>
                <w:sz w:val="12"/>
                <w:szCs w:val="12"/>
              </w:rPr>
            </w:pPr>
            <w:r>
              <w:rPr>
                <w:rStyle w:val="CharStyle6"/>
                <w:b/>
                <w:bCs/>
                <w:color w:val="006AB4"/>
                <w:sz w:val="12"/>
                <w:szCs w:val="12"/>
              </w:rPr>
              <w:t>985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2 676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Saldo dovozu a vývozu</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2 377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19 989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20 008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19 990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Palivové články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40" w:right="0" w:firstLine="0"/>
              <w:jc w:val="both"/>
              <w:rPr>
                <w:sz w:val="12"/>
                <w:szCs w:val="12"/>
              </w:rPr>
            </w:pPr>
            <w:r>
              <w:rPr>
                <w:rStyle w:val="CharStyle6"/>
                <w:b/>
                <w:bCs/>
                <w:color w:val="006AB4"/>
                <w:sz w:val="12"/>
                <w:szCs w:val="12"/>
              </w:rPr>
              <w:t>383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585 GWh</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Bateriová akumulace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283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40" w:right="0" w:firstLine="0"/>
              <w:jc w:val="both"/>
              <w:rPr>
                <w:sz w:val="12"/>
                <w:szCs w:val="12"/>
              </w:rPr>
            </w:pPr>
            <w:r>
              <w:rPr>
                <w:rStyle w:val="CharStyle6"/>
                <w:b/>
                <w:bCs/>
                <w:color w:val="006AB4"/>
                <w:sz w:val="12"/>
                <w:szCs w:val="12"/>
              </w:rPr>
              <w:t>861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1 575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Vodní a přečerpávací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2 652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3 598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3 737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3 905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Fotovoltaické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7 366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16 274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19 000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21 715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Větrné elektrárny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1 484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2 354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5 258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7 280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Ostatní OZE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3 374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3 431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both"/>
              <w:rPr>
                <w:sz w:val="12"/>
                <w:szCs w:val="12"/>
              </w:rPr>
            </w:pPr>
            <w:r>
              <w:rPr>
                <w:rStyle w:val="CharStyle6"/>
                <w:b/>
                <w:bCs/>
                <w:color w:val="006AB4"/>
                <w:sz w:val="12"/>
                <w:szCs w:val="12"/>
              </w:rPr>
              <w:t>2 605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020" w:right="0" w:firstLine="0"/>
              <w:jc w:val="left"/>
              <w:rPr>
                <w:sz w:val="12"/>
                <w:szCs w:val="12"/>
              </w:rPr>
            </w:pPr>
            <w:r>
              <w:rPr>
                <w:rStyle w:val="CharStyle6"/>
                <w:b/>
                <w:bCs/>
                <w:color w:val="006AB4"/>
                <w:sz w:val="12"/>
                <w:szCs w:val="12"/>
              </w:rPr>
              <w:t>2 783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Plynové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40" w:right="0" w:firstLine="0"/>
              <w:jc w:val="left"/>
              <w:rPr>
                <w:sz w:val="12"/>
                <w:szCs w:val="12"/>
              </w:rPr>
            </w:pPr>
            <w:r>
              <w:rPr>
                <w:rStyle w:val="CharStyle6"/>
                <w:b/>
                <w:bCs/>
                <w:color w:val="006AB4"/>
                <w:sz w:val="12"/>
                <w:szCs w:val="12"/>
              </w:rPr>
              <w:t>3 310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15 190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21 627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19 673 GWh</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Uhelné zdroje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25 179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GWh</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bookmarkStart w:id="232" w:name="bookmark232"/>
            <w:r>
              <w:rPr>
                <w:rStyle w:val="CharStyle6"/>
                <w:rFonts w:ascii="Calibri" w:eastAsia="Calibri" w:hAnsi="Calibri" w:cs="Calibri"/>
                <w:b/>
                <w:bCs/>
                <w:color w:val="006AB4"/>
                <w:sz w:val="15"/>
                <w:szCs w:val="15"/>
              </w:rPr>
              <w:t>Jaderné elektrárny</w:t>
            </w:r>
            <w:bookmarkEnd w:id="232"/>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27 883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28 370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28 071 GWh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both"/>
              <w:rPr>
                <w:sz w:val="12"/>
                <w:szCs w:val="12"/>
              </w:rPr>
            </w:pPr>
            <w:r>
              <w:rPr>
                <w:rStyle w:val="CharStyle6"/>
                <w:b/>
                <w:bCs/>
                <w:color w:val="006AB4"/>
                <w:sz w:val="12"/>
                <w:szCs w:val="12"/>
              </w:rPr>
              <w:t>36 265 GWh</w:t>
            </w:r>
          </w:p>
        </w:tc>
      </w:tr>
    </w:tbl>
    <w:p>
      <w:pPr>
        <w:sectPr>
          <w:footnotePr>
            <w:pos w:val="pageBottom"/>
            <w:numFmt w:val="decimal"/>
            <w:numRestart w:val="continuous"/>
          </w:footnotePr>
          <w:pgSz w:w="12142" w:h="17375"/>
          <w:pgMar w:top="1281" w:right="839" w:bottom="1281" w:left="839" w:header="0" w:footer="3" w:gutter="672"/>
          <w:cols w:space="720"/>
          <w:noEndnote/>
          <w:rtlGutter w:val="0"/>
          <w:docGrid w:linePitch="360"/>
        </w:sectPr>
      </w:pPr>
    </w:p>
    <w:p>
      <w:pPr>
        <w:pStyle w:val="Style15"/>
        <w:keepNext/>
        <w:keepLines/>
        <w:widowControl w:val="0"/>
        <w:shd w:val="clear" w:color="auto" w:fill="auto"/>
        <w:bidi w:val="0"/>
        <w:spacing w:before="0" w:after="0" w:line="240" w:lineRule="auto"/>
        <w:ind w:left="0" w:right="0" w:firstLine="0"/>
        <w:jc w:val="left"/>
      </w:pPr>
      <w:bookmarkStart w:id="233" w:name="bookmark233"/>
      <w:r>
        <w:rPr>
          <w:rStyle w:val="CharStyle16"/>
          <w:b/>
          <w:bCs/>
        </w:rPr>
        <w:t>Obr. 6.29 Roční využití výkonu jednotlivých kategorií zdrojů v Dekarbonizačním scénáři pro období 2025-2040</w:t>
      </w:r>
      <w:bookmarkEnd w:id="233"/>
    </w:p>
    <w:p>
      <w:pPr>
        <w:widowControl w:val="0"/>
        <w:spacing w:line="1" w:lineRule="exact"/>
        <w:sectPr>
          <w:footnotePr>
            <w:pos w:val="pageBottom"/>
            <w:numFmt w:val="decimal"/>
            <w:numRestart w:val="continuous"/>
          </w:footnotePr>
          <w:pgSz w:w="12142" w:h="17375"/>
          <w:pgMar w:top="1199" w:right="839" w:bottom="5082" w:left="839" w:header="0" w:footer="3" w:gutter="960"/>
          <w:cols w:space="720"/>
          <w:noEndnote/>
          <w:rtlGutter w:val="0"/>
          <w:docGrid w:linePitch="360"/>
        </w:sectPr>
      </w:pPr>
      <w:r>
        <w:drawing>
          <wp:anchor distT="228600" distB="125095" distL="0" distR="0" simplePos="0" relativeHeight="125829501" behindDoc="0" locked="0" layoutInCell="1" allowOverlap="1">
            <wp:simplePos x="0" y="0"/>
            <wp:positionH relativeFrom="margin">
              <wp:posOffset>12065</wp:posOffset>
            </wp:positionH>
            <wp:positionV relativeFrom="paragraph">
              <wp:posOffset>228600</wp:posOffset>
            </wp:positionV>
            <wp:extent cx="6193790" cy="2334895"/>
            <wp:wrapTopAndBottom/>
            <wp:docPr id="476" name="Shape 476"/>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303"/>
                    <a:stretch/>
                  </pic:blipFill>
                  <pic:spPr>
                    <a:xfrm>
                      <a:ext cx="6193790" cy="233489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margin">
                  <wp:posOffset>3764280</wp:posOffset>
                </wp:positionH>
                <wp:positionV relativeFrom="paragraph">
                  <wp:posOffset>2566670</wp:posOffset>
                </wp:positionV>
                <wp:extent cx="414655" cy="121920"/>
                <wp:wrapNone/>
                <wp:docPr id="478" name="Shape 478"/>
                <a:graphic xmlns:a="http://schemas.openxmlformats.org/drawingml/2006/main">
                  <a:graphicData uri="http://schemas.microsoft.com/office/word/2010/wordprocessingShape">
                    <wps:wsp>
                      <wps:cNvSpPr txBox="1"/>
                      <wps:spPr>
                        <a:xfrm>
                          <a:ext cx="414655" cy="12192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wps:txbx>
                      <wps:bodyPr lIns="0" tIns="0" rIns="0" bIns="0">
                        <a:noAutoFit/>
                      </wps:bodyPr>
                    </wps:wsp>
                  </a:graphicData>
                </a:graphic>
              </wp:anchor>
            </w:drawing>
          </mc:Choice>
          <mc:Fallback>
            <w:pict>
              <v:shape id="_x0000_s1504" type="#_x0000_t202" style="position:absolute;margin-left:296.40000000000003pt;margin-top:202.09999999999999pt;width:32.649999999999999pt;height:9.5999999999999996pt;z-index:25165780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elektrárny</w:t>
                      </w:r>
                    </w:p>
                  </w:txbxContent>
                </v:textbox>
                <w10:wrap anchorx="margin"/>
              </v:shape>
            </w:pict>
          </mc:Fallback>
        </mc:AlternateContent>
      </w:r>
    </w:p>
    <w:p>
      <w:pPr>
        <w:widowControl w:val="0"/>
        <w:spacing w:before="16" w:after="16"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199" w:right="0" w:bottom="6172" w:left="0" w:header="0" w:footer="3" w:gutter="0"/>
          <w:cols w:space="720"/>
          <w:noEndnote/>
          <w:rtlGutter w:val="0"/>
          <w:docGrid w:linePitch="360"/>
        </w:sectPr>
      </w:pPr>
    </w:p>
    <w:p>
      <w:pPr>
        <w:pStyle w:val="Style75"/>
        <w:keepNext w:val="0"/>
        <w:keepLines w:val="0"/>
        <w:widowControl w:val="0"/>
        <w:shd w:val="clear" w:color="auto" w:fill="auto"/>
        <w:tabs>
          <w:tab w:pos="3118" w:val="left"/>
          <w:tab w:pos="5326" w:val="left"/>
          <w:tab w:pos="7534" w:val="left"/>
        </w:tabs>
        <w:bidi w:val="0"/>
        <w:spacing w:before="0" w:after="320" w:line="240" w:lineRule="auto"/>
        <w:ind w:left="0" w:right="0" w:firstLine="920"/>
        <w:jc w:val="both"/>
      </w:pPr>
      <w:r>
        <w:rPr>
          <w:rStyle w:val="CharStyle76"/>
          <w:color w:val="ED6B5E"/>
        </w:rPr>
        <w:t xml:space="preserve">| </w:t>
      </w:r>
      <w:r>
        <w:rPr>
          <w:rStyle w:val="CharStyle76"/>
        </w:rPr>
        <w:t>Dekarbonizační 2025</w:t>
        <w:tab/>
      </w:r>
      <w:r>
        <w:rPr>
          <w:rStyle w:val="CharStyle76"/>
          <w:color w:val="B7B8B8"/>
        </w:rPr>
        <w:t xml:space="preserve">| </w:t>
      </w:r>
      <w:r>
        <w:rPr>
          <w:rStyle w:val="CharStyle76"/>
        </w:rPr>
        <w:t>Dekarbonizační 2030</w:t>
        <w:tab/>
      </w:r>
      <w:r>
        <w:rPr>
          <w:rStyle w:val="CharStyle76"/>
          <w:color w:val="1BB8ED"/>
        </w:rPr>
        <w:t xml:space="preserve">| </w:t>
      </w:r>
      <w:r>
        <w:rPr>
          <w:rStyle w:val="CharStyle76"/>
        </w:rPr>
        <w:t>Dekarbonizační 2035</w:t>
        <w:tab/>
      </w:r>
      <w:r>
        <w:rPr>
          <w:rStyle w:val="CharStyle76"/>
          <w:color w:val="006AB4"/>
        </w:rPr>
        <w:t xml:space="preserve">| </w:t>
      </w:r>
      <w:r>
        <w:rPr>
          <w:rStyle w:val="CharStyle76"/>
        </w:rPr>
        <w:t>Dekarbonizační 2040</w:t>
      </w:r>
    </w:p>
    <w:p>
      <w:pPr>
        <w:pStyle w:val="Style68"/>
        <w:keepNext w:val="0"/>
        <w:keepLines w:val="0"/>
        <w:widowControl w:val="0"/>
        <w:shd w:val="clear" w:color="auto" w:fill="auto"/>
        <w:tabs>
          <w:tab w:pos="2611" w:val="left"/>
          <w:tab w:pos="5232" w:val="left"/>
        </w:tabs>
        <w:bidi w:val="0"/>
        <w:spacing w:before="0" w:line="240" w:lineRule="auto"/>
        <w:ind w:left="0" w:right="0" w:firstLine="0"/>
        <w:jc w:val="center"/>
      </w:pPr>
      <w:r>
        <w:rPr>
          <w:rStyle w:val="CharStyle69"/>
        </w:rPr>
        <w:t>I</w:t>
        <w:tab/>
        <w:t>I</w:t>
        <w:tab/>
        <w:t>I</w:t>
      </w:r>
    </w:p>
    <w:p>
      <w:pPr>
        <w:pStyle w:val="Style15"/>
        <w:keepNext/>
        <w:keepLines/>
        <w:widowControl w:val="0"/>
        <w:shd w:val="clear" w:color="auto" w:fill="auto"/>
        <w:bidi w:val="0"/>
        <w:spacing w:before="0" w:after="200" w:line="300" w:lineRule="auto"/>
        <w:ind w:left="0" w:right="0" w:firstLine="0"/>
        <w:jc w:val="left"/>
      </w:pPr>
      <w:bookmarkStart w:id="235" w:name="bookmark235"/>
      <w:r>
        <w:rPr>
          <w:rStyle w:val="CharStyle16"/>
          <w:b/>
          <w:bCs/>
        </w:rPr>
        <w:t>Obr. 6.30 Celková roční a) přeshraniční výměna a b) zmařená energie v Dekarbonizačním scénáři v jednotlivých letech</w:t>
      </w:r>
      <w:bookmarkEnd w:id="235"/>
    </w:p>
    <w:p>
      <w:pPr>
        <w:widowControl w:val="0"/>
        <w:spacing w:after="4481" w:line="1" w:lineRule="exact"/>
      </w:pPr>
      <w:r>
        <w:drawing>
          <wp:anchor distT="0" distB="146050" distL="0" distR="0" simplePos="0" relativeHeight="62914839" behindDoc="1" locked="0" layoutInCell="1" allowOverlap="1">
            <wp:simplePos x="0" y="0"/>
            <wp:positionH relativeFrom="margin">
              <wp:posOffset>-45085</wp:posOffset>
            </wp:positionH>
            <wp:positionV relativeFrom="paragraph">
              <wp:posOffset>38100</wp:posOffset>
            </wp:positionV>
            <wp:extent cx="3364865" cy="2066290"/>
            <wp:wrapNone/>
            <wp:docPr id="480" name="Shape 480"/>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305"/>
                    <a:stretch/>
                  </pic:blipFill>
                  <pic:spPr>
                    <a:xfrm>
                      <a:ext cx="3364865" cy="206629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margin">
                  <wp:posOffset>512445</wp:posOffset>
                </wp:positionH>
                <wp:positionV relativeFrom="paragraph">
                  <wp:posOffset>2165350</wp:posOffset>
                </wp:positionV>
                <wp:extent cx="2477770" cy="82550"/>
                <wp:wrapNone/>
                <wp:docPr id="482" name="Shape 482"/>
                <a:graphic xmlns:a="http://schemas.openxmlformats.org/drawingml/2006/main">
                  <a:graphicData uri="http://schemas.microsoft.com/office/word/2010/wordprocessingShape">
                    <wps:wsp>
                      <wps:cNvSpPr txBox="1"/>
                      <wps:spPr>
                        <a:xfrm>
                          <a:ext cx="2477770" cy="82550"/>
                        </a:xfrm>
                        <a:prstGeom prst="rect"/>
                        <a:noFill/>
                      </wps:spPr>
                      <wps:txbx>
                        <w:txbxContent>
                          <w:p>
                            <w:pPr>
                              <w:pStyle w:val="Style2"/>
                              <w:keepNext w:val="0"/>
                              <w:keepLines w:val="0"/>
                              <w:widowControl w:val="0"/>
                              <w:shd w:val="clear" w:color="auto" w:fill="auto"/>
                              <w:tabs>
                                <w:tab w:pos="922" w:val="left"/>
                                <w:tab w:pos="1910" w:val="left"/>
                                <w:tab w:pos="2818" w:val="left"/>
                              </w:tabs>
                              <w:bidi w:val="0"/>
                              <w:spacing w:before="0" w:after="0" w:line="240" w:lineRule="auto"/>
                              <w:ind w:left="0" w:right="0" w:firstLine="0"/>
                              <w:jc w:val="center"/>
                              <w:rPr>
                                <w:sz w:val="12"/>
                                <w:szCs w:val="12"/>
                              </w:rPr>
                            </w:pPr>
                            <w:r>
                              <w:rPr>
                                <w:rStyle w:val="CharStyle3"/>
                                <w:b/>
                                <w:bCs/>
                                <w:sz w:val="12"/>
                                <w:szCs w:val="12"/>
                              </w:rPr>
                              <w:t>2025</w:t>
                              <w:tab/>
                              <w:t>2030</w:t>
                              <w:tab/>
                              <w:t>2035</w:t>
                              <w:tab/>
                              <w:t>2040</w:t>
                            </w:r>
                          </w:p>
                        </w:txbxContent>
                      </wps:txbx>
                      <wps:bodyPr lIns="0" tIns="0" rIns="0" bIns="0">
                        <a:noAutoFit/>
                      </wps:bodyPr>
                    </wps:wsp>
                  </a:graphicData>
                </a:graphic>
              </wp:anchor>
            </w:drawing>
          </mc:Choice>
          <mc:Fallback>
            <w:pict>
              <v:shape id="_x0000_s1508" type="#_x0000_t202" style="position:absolute;margin-left:40.350000000000001pt;margin-top:170.5pt;width:195.09999999999999pt;height:6.5pt;z-index:251657811;mso-wrap-distance-left:0;mso-wrap-distance-right:0;mso-position-horizontal-relative:margin" filled="f" stroked="f">
                <v:textbox inset="0,0,0,0">
                  <w:txbxContent>
                    <w:p>
                      <w:pPr>
                        <w:pStyle w:val="Style2"/>
                        <w:keepNext w:val="0"/>
                        <w:keepLines w:val="0"/>
                        <w:widowControl w:val="0"/>
                        <w:shd w:val="clear" w:color="auto" w:fill="auto"/>
                        <w:tabs>
                          <w:tab w:pos="922" w:val="left"/>
                          <w:tab w:pos="1910" w:val="left"/>
                          <w:tab w:pos="2818" w:val="left"/>
                        </w:tabs>
                        <w:bidi w:val="0"/>
                        <w:spacing w:before="0" w:after="0" w:line="240" w:lineRule="auto"/>
                        <w:ind w:left="0" w:right="0" w:firstLine="0"/>
                        <w:jc w:val="center"/>
                        <w:rPr>
                          <w:sz w:val="12"/>
                          <w:szCs w:val="12"/>
                        </w:rPr>
                      </w:pPr>
                      <w:r>
                        <w:rPr>
                          <w:rStyle w:val="CharStyle3"/>
                          <w:b/>
                          <w:bCs/>
                          <w:sz w:val="12"/>
                          <w:szCs w:val="12"/>
                        </w:rPr>
                        <w:t>2025</w:t>
                        <w:tab/>
                        <w:t>2030</w:t>
                        <w:tab/>
                        <w:t>2035</w:t>
                        <w:tab/>
                        <w:t>2040</w:t>
                      </w:r>
                    </w:p>
                  </w:txbxContent>
                </v:textbox>
                <w10:wrap anchorx="margin"/>
              </v:shape>
            </w:pict>
          </mc:Fallback>
        </mc:AlternateContent>
      </w:r>
      <w:r>
        <w:drawing>
          <wp:anchor distT="0" distB="265430" distL="0" distR="0" simplePos="0" relativeHeight="62914840" behindDoc="1" locked="0" layoutInCell="1" allowOverlap="1">
            <wp:simplePos x="0" y="0"/>
            <wp:positionH relativeFrom="margin">
              <wp:posOffset>3563620</wp:posOffset>
            </wp:positionH>
            <wp:positionV relativeFrom="paragraph">
              <wp:posOffset>38100</wp:posOffset>
            </wp:positionV>
            <wp:extent cx="2584450" cy="2212975"/>
            <wp:wrapNone/>
            <wp:docPr id="484" name="Shape 484"/>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307"/>
                    <a:stretch/>
                  </pic:blipFill>
                  <pic:spPr>
                    <a:xfrm>
                      <a:ext cx="2584450" cy="2212975"/>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margin">
                  <wp:posOffset>4889500</wp:posOffset>
                </wp:positionH>
                <wp:positionV relativeFrom="paragraph">
                  <wp:posOffset>2385060</wp:posOffset>
                </wp:positionV>
                <wp:extent cx="115570" cy="128270"/>
                <wp:wrapNone/>
                <wp:docPr id="486" name="Shape 486"/>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3"/>
                                <w:szCs w:val="13"/>
                              </w:rPr>
                            </w:pPr>
                            <w:r>
                              <w:rPr>
                                <w:rStyle w:val="CharStyle3"/>
                                <w:b/>
                                <w:bCs/>
                                <w:sz w:val="13"/>
                                <w:szCs w:val="13"/>
                              </w:rPr>
                              <w:t>b)</w:t>
                            </w:r>
                          </w:p>
                        </w:txbxContent>
                      </wps:txbx>
                      <wps:bodyPr lIns="0" tIns="0" rIns="0" bIns="0">
                        <a:noAutoFit/>
                      </wps:bodyPr>
                    </wps:wsp>
                  </a:graphicData>
                </a:graphic>
              </wp:anchor>
            </w:drawing>
          </mc:Choice>
          <mc:Fallback>
            <w:pict>
              <v:shape id="_x0000_s1512" type="#_x0000_t202" style="position:absolute;margin-left:385.pt;margin-top:187.80000000000001pt;width:9.0999999999999996pt;height:10.1pt;z-index:25165781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3"/>
                          <w:szCs w:val="13"/>
                        </w:rPr>
                      </w:pPr>
                      <w:r>
                        <w:rPr>
                          <w:rStyle w:val="CharStyle3"/>
                          <w:b/>
                          <w:bCs/>
                          <w:sz w:val="13"/>
                          <w:szCs w:val="13"/>
                        </w:rPr>
                        <w:t>b)</w:t>
                      </w:r>
                    </w:p>
                  </w:txbxContent>
                </v:textbox>
                <w10:wrap anchorx="margin"/>
              </v:shape>
            </w:pict>
          </mc:Fallback>
        </mc:AlternateContent>
      </w:r>
      <w:r>
        <mc:AlternateContent>
          <mc:Choice Requires="wps">
            <w:drawing>
              <wp:anchor distT="0" distB="0" distL="0" distR="0" simplePos="0" relativeHeight="62914841" behindDoc="1" locked="0" layoutInCell="1" allowOverlap="1">
                <wp:simplePos x="0" y="0"/>
                <wp:positionH relativeFrom="margin">
                  <wp:posOffset>512445</wp:posOffset>
                </wp:positionH>
                <wp:positionV relativeFrom="paragraph">
                  <wp:posOffset>2403475</wp:posOffset>
                </wp:positionV>
                <wp:extent cx="2477770" cy="441960"/>
                <wp:wrapNone/>
                <wp:docPr id="488" name="Shape 488"/>
                <a:graphic xmlns:a="http://schemas.openxmlformats.org/drawingml/2006/main">
                  <a:graphicData uri="http://schemas.microsoft.com/office/word/2010/wordprocessingShape">
                    <wps:wsp>
                      <wps:cNvSpPr txBox="1"/>
                      <wps:spPr>
                        <a:xfrm>
                          <a:ext cx="2477770" cy="441960"/>
                        </a:xfrm>
                        <a:prstGeom prst="rect"/>
                        <a:noFill/>
                      </wps:spPr>
                      <wps:txbx>
                        <w:txbxContent>
                          <w:p>
                            <w:pPr>
                              <w:pStyle w:val="Style75"/>
                              <w:keepNext w:val="0"/>
                              <w:keepLines w:val="0"/>
                              <w:widowControl w:val="0"/>
                              <w:shd w:val="clear" w:color="auto" w:fill="auto"/>
                              <w:tabs>
                                <w:tab w:pos="1546" w:val="left"/>
                                <w:tab w:pos="3096" w:val="left"/>
                              </w:tabs>
                              <w:bidi w:val="0"/>
                              <w:spacing w:before="0" w:after="0" w:line="504" w:lineRule="exact"/>
                              <w:ind w:left="0" w:right="0" w:firstLine="0"/>
                              <w:jc w:val="center"/>
                            </w:pPr>
                            <w:r>
                              <w:rPr>
                                <w:rStyle w:val="CharStyle76"/>
                                <w:b/>
                                <w:bCs/>
                                <w:color w:val="006AB4"/>
                                <w:sz w:val="13"/>
                                <w:szCs w:val="13"/>
                              </w:rPr>
                              <w:t>a)</w:t>
                              <w:br/>
                            </w:r>
                            <w:r>
                              <w:rPr>
                                <w:rStyle w:val="CharStyle76"/>
                                <w:color w:val="006AB4"/>
                              </w:rPr>
                              <w:t xml:space="preserve">| </w:t>
                            </w:r>
                            <w:r>
                              <w:rPr>
                                <w:rStyle w:val="CharStyle76"/>
                              </w:rPr>
                              <w:t>Export</w:t>
                              <w:tab/>
                            </w:r>
                            <w:r>
                              <w:rPr>
                                <w:rStyle w:val="CharStyle76"/>
                                <w:color w:val="FED851"/>
                              </w:rPr>
                              <w:t xml:space="preserve">| </w:t>
                            </w:r>
                            <w:r>
                              <w:rPr>
                                <w:rStyle w:val="CharStyle76"/>
                              </w:rPr>
                              <w:t>Import</w:t>
                              <w:tab/>
                            </w:r>
                            <w:r>
                              <w:rPr>
                                <w:rStyle w:val="CharStyle76"/>
                                <w:color w:val="1BB8ED"/>
                              </w:rPr>
                              <w:t xml:space="preserve">| </w:t>
                            </w:r>
                            <w:r>
                              <w:rPr>
                                <w:rStyle w:val="CharStyle76"/>
                              </w:rPr>
                              <w:t>Saldo</w:t>
                            </w:r>
                          </w:p>
                        </w:txbxContent>
                      </wps:txbx>
                      <wps:bodyPr lIns="0" tIns="0" rIns="0" bIns="0">
                        <a:noAutoFit/>
                      </wps:bodyPr>
                    </wps:wsp>
                  </a:graphicData>
                </a:graphic>
              </wp:anchor>
            </w:drawing>
          </mc:Choice>
          <mc:Fallback>
            <w:pict>
              <v:shape id="_x0000_s1514" type="#_x0000_t202" style="position:absolute;margin-left:40.350000000000001pt;margin-top:189.25pt;width:195.09999999999999pt;height:34.800000000000004pt;z-index:-188743912;mso-wrap-distance-left:0;mso-wrap-distance-right:0;mso-position-horizontal-relative:margin" wrapcoords="0 0" filled="f" stroked="f">
                <v:textbox inset="0,0,0,0">
                  <w:txbxContent>
                    <w:p>
                      <w:pPr>
                        <w:pStyle w:val="Style75"/>
                        <w:keepNext w:val="0"/>
                        <w:keepLines w:val="0"/>
                        <w:widowControl w:val="0"/>
                        <w:shd w:val="clear" w:color="auto" w:fill="auto"/>
                        <w:tabs>
                          <w:tab w:pos="1546" w:val="left"/>
                          <w:tab w:pos="3096" w:val="left"/>
                        </w:tabs>
                        <w:bidi w:val="0"/>
                        <w:spacing w:before="0" w:after="0" w:line="504" w:lineRule="exact"/>
                        <w:ind w:left="0" w:right="0" w:firstLine="0"/>
                        <w:jc w:val="center"/>
                      </w:pPr>
                      <w:r>
                        <w:rPr>
                          <w:rStyle w:val="CharStyle76"/>
                          <w:b/>
                          <w:bCs/>
                          <w:color w:val="006AB4"/>
                          <w:sz w:val="13"/>
                          <w:szCs w:val="13"/>
                        </w:rPr>
                        <w:t>a)</w:t>
                        <w:br/>
                      </w:r>
                      <w:r>
                        <w:rPr>
                          <w:rStyle w:val="CharStyle76"/>
                          <w:color w:val="006AB4"/>
                        </w:rPr>
                        <w:t xml:space="preserve">| </w:t>
                      </w:r>
                      <w:r>
                        <w:rPr>
                          <w:rStyle w:val="CharStyle76"/>
                        </w:rPr>
                        <w:t>Export</w:t>
                        <w:tab/>
                      </w:r>
                      <w:r>
                        <w:rPr>
                          <w:rStyle w:val="CharStyle76"/>
                          <w:color w:val="FED851"/>
                        </w:rPr>
                        <w:t xml:space="preserve">| </w:t>
                      </w:r>
                      <w:r>
                        <w:rPr>
                          <w:rStyle w:val="CharStyle76"/>
                        </w:rPr>
                        <w:t>Import</w:t>
                        <w:tab/>
                      </w:r>
                      <w:r>
                        <w:rPr>
                          <w:rStyle w:val="CharStyle76"/>
                          <w:color w:val="1BB8ED"/>
                        </w:rPr>
                        <w:t xml:space="preserve">| </w:t>
                      </w:r>
                      <w:r>
                        <w:rPr>
                          <w:rStyle w:val="CharStyle76"/>
                        </w:rPr>
                        <w:t>Saldo</w:t>
                      </w:r>
                    </w:p>
                  </w:txbxContent>
                </v:textbox>
                <w10:wrap anchorx="margin"/>
              </v:shape>
            </w:pict>
          </mc:Fallback>
        </mc:AlternateContent>
      </w:r>
      <w:r>
        <mc:AlternateContent>
          <mc:Choice Requires="wps">
            <w:drawing>
              <wp:anchor distT="0" distB="0" distL="0" distR="0" simplePos="0" relativeHeight="62914843" behindDoc="1" locked="0" layoutInCell="1" allowOverlap="1">
                <wp:simplePos x="0" y="0"/>
                <wp:positionH relativeFrom="margin">
                  <wp:posOffset>3956685</wp:posOffset>
                </wp:positionH>
                <wp:positionV relativeFrom="paragraph">
                  <wp:posOffset>2705100</wp:posOffset>
                </wp:positionV>
                <wp:extent cx="1106170" cy="133985"/>
                <wp:wrapNone/>
                <wp:docPr id="490" name="Shape 490"/>
                <a:graphic xmlns:a="http://schemas.openxmlformats.org/drawingml/2006/main">
                  <a:graphicData uri="http://schemas.microsoft.com/office/word/2010/wordprocessingShape">
                    <wps:wsp>
                      <wps:cNvSpPr txBox="1"/>
                      <wps:spPr>
                        <a:xfrm>
                          <a:ext cx="1106170" cy="13398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Dekarbonizační scénář</w:t>
                            </w:r>
                          </w:p>
                        </w:txbxContent>
                      </wps:txbx>
                      <wps:bodyPr wrap="none" lIns="0" tIns="0" rIns="0" bIns="0">
                        <a:noAutoFit/>
                      </wps:bodyPr>
                    </wps:wsp>
                  </a:graphicData>
                </a:graphic>
              </wp:anchor>
            </w:drawing>
          </mc:Choice>
          <mc:Fallback>
            <w:pict>
              <v:shape id="_x0000_s1516" type="#_x0000_t202" style="position:absolute;margin-left:311.55000000000001pt;margin-top:213.pt;width:87.100000000000009pt;height:10.550000000000001pt;z-index:-188743910;mso-wrap-distance-left:0;mso-wrap-distance-right:0;mso-position-horizontal-relative:margin" wrapcoords="0 0"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rPr>
                        <w:t>Dekarbonizační scénář</w:t>
                      </w:r>
                    </w:p>
                  </w:txbxContent>
                </v:textbox>
                <w10:wrap anchorx="margin"/>
              </v:shape>
            </w:pict>
          </mc:Fallback>
        </mc:AlternateContent>
      </w:r>
      <w:r>
        <w:br w:type="page"/>
      </w:r>
    </w:p>
    <w:p>
      <w:pPr>
        <w:pStyle w:val="Style15"/>
        <w:keepNext/>
        <w:keepLines/>
        <w:widowControl w:val="0"/>
        <w:shd w:val="clear" w:color="auto" w:fill="auto"/>
        <w:bidi w:val="0"/>
        <w:spacing w:before="0" w:after="560" w:line="300" w:lineRule="auto"/>
        <w:ind w:left="0" w:right="0" w:firstLine="0"/>
        <w:jc w:val="left"/>
      </w:pPr>
      <w:bookmarkStart w:id="237" w:name="bookmark237"/>
      <w:r>
        <w:rPr>
          <w:rStyle w:val="CharStyle16"/>
          <w:b/>
          <w:bCs/>
        </w:rPr>
        <w:t>Obr. 6.31 Pravděpodobnostní indikátory LOLE a EENS pro Dekarbonizační scénář pro období 2025-2040, včetně salda</w:t>
      </w:r>
      <w:bookmarkEnd w:id="237"/>
    </w:p>
    <w:p>
      <w:pPr>
        <w:widowControl w:val="0"/>
        <w:jc w:val="center"/>
        <w:rPr>
          <w:sz w:val="2"/>
          <w:szCs w:val="2"/>
        </w:rPr>
      </w:pPr>
      <w:r>
        <w:drawing>
          <wp:inline>
            <wp:extent cx="5955665" cy="3425825"/>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09"/>
                    <a:stretch/>
                  </pic:blipFill>
                  <pic:spPr>
                    <a:xfrm>
                      <a:ext cx="5955665" cy="3425825"/>
                    </a:xfrm>
                    <a:prstGeom prst="rect"/>
                  </pic:spPr>
                </pic:pic>
              </a:graphicData>
            </a:graphic>
          </wp:inline>
        </w:drawing>
      </w:r>
    </w:p>
    <w:p>
      <w:pPr>
        <w:widowControl w:val="0"/>
        <w:spacing w:after="1399" w:line="1" w:lineRule="exact"/>
      </w:pPr>
    </w:p>
    <w:p>
      <w:pPr>
        <w:pStyle w:val="Style19"/>
        <w:keepNext w:val="0"/>
        <w:keepLines w:val="0"/>
        <w:widowControl w:val="0"/>
        <w:shd w:val="clear" w:color="auto" w:fill="auto"/>
        <w:bidi w:val="0"/>
        <w:spacing w:before="0" w:after="0"/>
        <w:ind w:left="2620" w:right="0" w:firstLine="0"/>
        <w:jc w:val="left"/>
        <w:sectPr>
          <w:footnotePr>
            <w:pos w:val="pageBottom"/>
            <w:numFmt w:val="decimal"/>
            <w:numRestart w:val="continuous"/>
          </w:footnotePr>
          <w:type w:val="continuous"/>
          <w:pgSz w:w="12142" w:h="17375"/>
          <w:pgMar w:top="1199" w:right="929" w:bottom="6172" w:left="929" w:header="0" w:footer="3" w:gutter="708"/>
          <w:cols w:space="720"/>
          <w:noEndnote/>
          <w:rtlGutter w:val="0"/>
          <w:docGrid w:linePitch="360"/>
        </w:sectPr>
      </w:pPr>
      <w:bookmarkStart w:id="239" w:name="bookmark239"/>
      <w:r>
        <w:rPr>
          <w:rStyle w:val="CharStyle20"/>
        </w:rPr>
        <w:t>Jak je patrné z Obr. 6.31, hodnoty LOLE pro Dekarbonizační scénář pro období 2025 až 2040 dosahují velmi vysokých hodnot. Stejně tak pro období 2025 až 2040 vysokých hodnot dosahuje i EENS, a to až 2,7 TWh v roce 2040. Nepříznivě vysoké hodnoty jsou dány jednak tím, že v tomto scénáři je uvažováno odstavení uhelných zdrojů již k roku 2030 a jednak také tím, že spotřeba uvažovaná pro tento scénář dosahuje nejvyšších hodnot (viz Obr. 5.1). Dekarbonizační scénář lze z hlediska zabezpečenosti soustavy a dostatku regulačních služeb vyhodnotit jako kriticky zdrojově nepřiměřený.</w:t>
      </w:r>
      <w:bookmarkEnd w:id="239"/>
    </w:p>
    <w:p>
      <w:pPr>
        <w:widowControl w:val="0"/>
        <w:spacing w:before="79" w:after="79" w:line="240" w:lineRule="exact"/>
        <w:rPr>
          <w:sz w:val="19"/>
          <w:szCs w:val="19"/>
        </w:rPr>
      </w:pPr>
    </w:p>
    <w:p>
      <w:pPr>
        <w:widowControl w:val="0"/>
        <w:spacing w:line="1" w:lineRule="exact"/>
        <w:sectPr>
          <w:footnotePr>
            <w:pos w:val="pageBottom"/>
            <w:numFmt w:val="decimal"/>
            <w:numRestart w:val="continuous"/>
          </w:footnotePr>
          <w:pgSz w:w="12142" w:h="17375"/>
          <w:pgMar w:top="752" w:right="680" w:bottom="752" w:left="1362" w:header="0" w:footer="3" w:gutter="0"/>
          <w:cols w:space="720"/>
          <w:noEndnote/>
          <w:rtlGutter w:val="0"/>
          <w:docGrid w:linePitch="360"/>
        </w:sectPr>
      </w:pPr>
    </w:p>
    <w:p>
      <w:pPr>
        <w:pStyle w:val="Style15"/>
        <w:keepNext/>
        <w:keepLines/>
        <w:framePr w:w="7219" w:h="240" w:wrap="none" w:vAnchor="text" w:hAnchor="page" w:x="840" w:y="21"/>
        <w:widowControl w:val="0"/>
        <w:shd w:val="clear" w:color="auto" w:fill="auto"/>
        <w:bidi w:val="0"/>
        <w:spacing w:before="0" w:after="0" w:line="240" w:lineRule="auto"/>
        <w:ind w:left="0" w:right="0" w:firstLine="0"/>
        <w:jc w:val="left"/>
      </w:pPr>
      <w:bookmarkStart w:id="240" w:name="bookmark240"/>
      <w:r>
        <w:rPr>
          <w:rStyle w:val="CharStyle16"/>
          <w:b/>
          <w:bCs/>
        </w:rPr>
        <w:t>Obr. 6.32 Saldo importu a exportu evropských zemí pro Dekarbonizační scénář 2030</w:t>
      </w:r>
      <w:bookmarkEnd w:id="240"/>
    </w:p>
    <w:p>
      <w:pPr>
        <w:pStyle w:val="Style37"/>
        <w:keepNext w:val="0"/>
        <w:keepLines w:val="0"/>
        <w:framePr w:w="562" w:h="187" w:wrap="none" w:vAnchor="text" w:hAnchor="page" w:x="6768" w:y="29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14 TWh</w:t>
      </w:r>
    </w:p>
    <w:p>
      <w:pPr>
        <w:pStyle w:val="Style37"/>
        <w:keepNext w:val="0"/>
        <w:keepLines w:val="0"/>
        <w:framePr w:w="552" w:h="379" w:wrap="none" w:vAnchor="text" w:hAnchor="page" w:x="8453" w:y="35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FI</w:t>
        <w:br/>
        <w:t>+7 TWh</w:t>
      </w:r>
    </w:p>
    <w:p>
      <w:pPr>
        <w:pStyle w:val="Style37"/>
        <w:keepNext w:val="0"/>
        <w:keepLines w:val="0"/>
        <w:framePr w:w="475" w:h="379" w:wrap="none" w:vAnchor="text" w:hAnchor="page" w:x="2549" w:y="683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160"/>
        <w:jc w:val="left"/>
        <w:rPr>
          <w:sz w:val="12"/>
          <w:szCs w:val="12"/>
        </w:rPr>
      </w:pPr>
      <w:r>
        <w:rPr>
          <w:rStyle w:val="CharStyle38"/>
          <w:b/>
          <w:bCs/>
          <w:color w:val="FFFFFF"/>
          <w:sz w:val="12"/>
          <w:szCs w:val="12"/>
        </w:rPr>
        <w:t>UK ■ 1 TWh</w:t>
      </w:r>
    </w:p>
    <w:p>
      <w:pPr>
        <w:pStyle w:val="Style37"/>
        <w:keepNext w:val="0"/>
        <w:keepLines w:val="0"/>
        <w:framePr w:w="624" w:h="331" w:wrap="none" w:vAnchor="text" w:hAnchor="page" w:x="3398" w:y="853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FR</w:t>
        <w:br/>
        <w:t>+24 TWh</w:t>
      </w:r>
    </w:p>
    <w:p>
      <w:pPr>
        <w:pStyle w:val="Style37"/>
        <w:keepNext w:val="0"/>
        <w:keepLines w:val="0"/>
        <w:framePr w:w="514" w:h="350" w:wrap="none" w:vAnchor="text" w:hAnchor="page" w:x="2174"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ES</w:t>
      </w:r>
    </w:p>
    <w:p>
      <w:pPr>
        <w:pStyle w:val="Style37"/>
        <w:keepNext w:val="0"/>
        <w:keepLines w:val="0"/>
        <w:framePr w:w="514" w:h="350" w:wrap="none" w:vAnchor="text" w:hAnchor="page" w:x="2174" w:y="101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-3 TWh</w:t>
      </w:r>
    </w:p>
    <w:p>
      <w:pPr>
        <w:pStyle w:val="Style37"/>
        <w:keepNext w:val="0"/>
        <w:keepLines w:val="0"/>
        <w:framePr w:w="648" w:h="379" w:wrap="none" w:vAnchor="text" w:hAnchor="page" w:x="4939" w:y="4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NO</w:t>
        <w:br/>
        <w:t>+31 TWh</w:t>
      </w:r>
    </w:p>
    <w:p>
      <w:pPr>
        <w:pStyle w:val="Style37"/>
        <w:keepNext w:val="0"/>
        <w:keepLines w:val="0"/>
        <w:framePr w:w="490" w:h="350" w:wrap="none" w:vAnchor="text" w:hAnchor="page" w:x="8477" w:y="47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EE</w:t>
      </w:r>
    </w:p>
    <w:p>
      <w:pPr>
        <w:pStyle w:val="Style37"/>
        <w:keepNext w:val="0"/>
        <w:keepLines w:val="0"/>
        <w:framePr w:w="490" w:h="350" w:wrap="none" w:vAnchor="text" w:hAnchor="page" w:x="8477" w:y="479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-5 TWh</w:t>
      </w:r>
    </w:p>
    <w:p>
      <w:pPr>
        <w:pStyle w:val="Style37"/>
        <w:keepNext w:val="0"/>
        <w:keepLines w:val="0"/>
        <w:framePr w:w="475" w:h="379" w:wrap="none" w:vAnchor="text" w:hAnchor="page" w:x="8611" w:y="551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LV</w:t>
        <w:br/>
        <w:t>1 TWh</w:t>
      </w:r>
    </w:p>
    <w:p>
      <w:pPr>
        <w:pStyle w:val="Style37"/>
        <w:keepNext w:val="0"/>
        <w:keepLines w:val="0"/>
        <w:framePr w:w="360" w:h="552" w:wrap="none" w:vAnchor="text" w:hAnchor="page" w:x="835" w:y="10959"/>
        <w:widowControl w:val="0"/>
        <w:shd w:val="clear" w:color="auto" w:fill="auto"/>
        <w:bidi w:val="0"/>
        <w:spacing w:before="0" w:after="0" w:line="300" w:lineRule="auto"/>
        <w:ind w:left="0" w:right="0" w:firstLine="0"/>
        <w:jc w:val="left"/>
        <w:rPr>
          <w:sz w:val="12"/>
          <w:szCs w:val="12"/>
        </w:rPr>
      </w:pPr>
      <w:r>
        <w:rPr>
          <w:rStyle w:val="CharStyle38"/>
          <w:b/>
          <w:bCs/>
          <w:color w:val="ED6B5F"/>
          <w:sz w:val="12"/>
          <w:szCs w:val="12"/>
        </w:rPr>
        <w:t>PT -2 TWh</w:t>
      </w:r>
    </w:p>
    <w:p>
      <w:pPr>
        <w:pStyle w:val="Style37"/>
        <w:keepNext w:val="0"/>
        <w:keepLines w:val="0"/>
        <w:framePr w:w="619" w:h="590" w:wrap="none" w:vAnchor="text" w:hAnchor="page" w:x="4162" w:y="5924"/>
        <w:widowControl w:val="0"/>
        <w:shd w:val="clear" w:color="auto" w:fill="auto"/>
        <w:bidi w:val="0"/>
        <w:spacing w:before="0" w:after="0" w:line="240" w:lineRule="auto"/>
        <w:ind w:left="0" w:right="0" w:firstLine="280"/>
        <w:jc w:val="left"/>
        <w:rPr>
          <w:sz w:val="12"/>
          <w:szCs w:val="12"/>
        </w:rPr>
      </w:pPr>
      <w:r>
        <w:rPr>
          <w:rStyle w:val="CharStyle38"/>
          <w:b/>
          <w:bCs/>
          <w:color w:val="ED6B5F"/>
          <w:sz w:val="12"/>
          <w:szCs w:val="12"/>
        </w:rPr>
        <w:t>DK</w:t>
      </w:r>
    </w:p>
    <w:p>
      <w:pPr>
        <w:pStyle w:val="Style37"/>
        <w:keepNext w:val="0"/>
        <w:keepLines w:val="0"/>
        <w:framePr w:w="619" w:h="590" w:wrap="none" w:vAnchor="text" w:hAnchor="page" w:x="4162" w:y="5924"/>
        <w:widowControl w:val="0"/>
        <w:shd w:val="clear" w:color="auto" w:fill="auto"/>
        <w:bidi w:val="0"/>
        <w:spacing w:before="0" w:after="80" w:line="240" w:lineRule="auto"/>
        <w:ind w:left="0" w:right="0" w:firstLine="0"/>
        <w:jc w:val="left"/>
        <w:rPr>
          <w:sz w:val="12"/>
          <w:szCs w:val="12"/>
        </w:rPr>
      </w:pPr>
      <w:r>
        <w:rPr>
          <w:rStyle w:val="CharStyle38"/>
          <w:b/>
          <w:bCs/>
          <w:color w:val="ED6B5F"/>
          <w:sz w:val="12"/>
          <w:szCs w:val="12"/>
        </w:rPr>
        <w:t>-8 TWh</w:t>
      </w:r>
    </w:p>
    <w:p>
      <w:pPr>
        <w:pStyle w:val="Style37"/>
        <w:keepNext w:val="0"/>
        <w:keepLines w:val="0"/>
        <w:framePr w:w="619" w:h="590" w:wrap="none" w:vAnchor="text" w:hAnchor="page" w:x="4162" w:y="5924"/>
        <w:widowControl w:val="0"/>
        <w:shd w:val="clear" w:color="auto" w:fill="auto"/>
        <w:bidi w:val="0"/>
        <w:spacing w:before="0" w:after="40" w:line="240" w:lineRule="auto"/>
        <w:ind w:left="0" w:right="0" w:firstLine="0"/>
        <w:jc w:val="left"/>
        <w:rPr>
          <w:sz w:val="12"/>
          <w:szCs w:val="12"/>
        </w:rPr>
      </w:pPr>
      <w:r>
        <w:rPr>
          <w:rStyle w:val="CharStyle38"/>
          <w:b/>
          <w:bCs/>
          <w:color w:val="076BB4"/>
          <w:sz w:val="12"/>
          <w:szCs w:val="12"/>
        </w:rPr>
        <w:t>NL</w:t>
      </w:r>
    </w:p>
    <w:p>
      <w:pPr>
        <w:pStyle w:val="Style37"/>
        <w:keepNext w:val="0"/>
        <w:keepLines w:val="0"/>
        <w:framePr w:w="648" w:h="379" w:wrap="none" w:vAnchor="text" w:hAnchor="page" w:x="5107" w:y="713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DE</w:t>
        <w:br/>
        <w:t>+97 TWh</w:t>
      </w:r>
    </w:p>
    <w:p>
      <w:pPr>
        <w:pStyle w:val="Style37"/>
        <w:keepNext w:val="0"/>
        <w:keepLines w:val="0"/>
        <w:framePr w:w="547" w:h="374" w:wrap="none" w:vAnchor="text" w:hAnchor="page" w:x="7022" w:y="697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PL</w:t>
        <w:br/>
        <w:t>■ 20 TWh</w:t>
      </w:r>
    </w:p>
    <w:p>
      <w:pPr>
        <w:pStyle w:val="Style37"/>
        <w:keepNext w:val="0"/>
        <w:keepLines w:val="0"/>
        <w:framePr w:w="485" w:h="331" w:wrap="none" w:vAnchor="text" w:hAnchor="page" w:x="4642" w:y="7695"/>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LU</w:t>
        <w:br/>
        <w:t>8 TWh</w:t>
      </w:r>
    </w:p>
    <w:p>
      <w:pPr>
        <w:pStyle w:val="Style37"/>
        <w:keepNext w:val="0"/>
        <w:keepLines w:val="0"/>
        <w:framePr w:w="480" w:h="331" w:wrap="none" w:vAnchor="text" w:hAnchor="page" w:x="4680" w:y="85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CH</w:t>
        <w:br/>
        <w:t>■ 4 TWh</w:t>
      </w:r>
    </w:p>
    <w:p>
      <w:pPr>
        <w:pStyle w:val="Style37"/>
        <w:keepNext w:val="0"/>
        <w:keepLines w:val="0"/>
        <w:framePr w:w="557" w:h="379" w:wrap="none" w:vAnchor="text" w:hAnchor="page" w:x="5136" w:y="9006"/>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IT</w:t>
        <w:br/>
        <w:t>■ 51 TWh</w:t>
      </w:r>
    </w:p>
    <w:p>
      <w:pPr>
        <w:pStyle w:val="Style37"/>
        <w:keepNext w:val="0"/>
        <w:keepLines w:val="0"/>
        <w:framePr w:w="566" w:h="346" w:wrap="none" w:vAnchor="text" w:hAnchor="page" w:x="6058" w:y="768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CZ</w:t>
        <w:br/>
        <w:t>■ 20 TWh</w:t>
      </w:r>
    </w:p>
    <w:p>
      <w:pPr>
        <w:pStyle w:val="Style37"/>
        <w:keepNext w:val="0"/>
        <w:keepLines w:val="0"/>
        <w:framePr w:w="466" w:h="379" w:wrap="none" w:vAnchor="text" w:hAnchor="page" w:x="6067" w:y="829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AT</w:t>
        <w:br/>
        <w:t>■ 5 TWh</w:t>
      </w:r>
    </w:p>
    <w:p>
      <w:pPr>
        <w:pStyle w:val="Style37"/>
        <w:keepNext w:val="0"/>
        <w:keepLines w:val="0"/>
        <w:framePr w:w="552" w:h="379" w:wrap="none" w:vAnchor="text" w:hAnchor="page" w:x="6912" w:y="803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left"/>
        <w:rPr>
          <w:sz w:val="12"/>
          <w:szCs w:val="12"/>
        </w:rPr>
      </w:pPr>
      <w:r>
        <w:rPr>
          <w:rStyle w:val="CharStyle38"/>
          <w:b/>
          <w:bCs/>
          <w:color w:val="FFFFFF"/>
          <w:sz w:val="12"/>
          <w:szCs w:val="12"/>
        </w:rPr>
        <w:t>y SK +6 TWh</w:t>
      </w:r>
    </w:p>
    <w:p>
      <w:pPr>
        <w:pStyle w:val="Style37"/>
        <w:keepNext w:val="0"/>
        <w:keepLines w:val="0"/>
        <w:framePr w:w="960" w:h="355" w:wrap="none" w:vAnchor="text" w:hAnchor="page" w:x="6086"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right"/>
        <w:rPr>
          <w:sz w:val="12"/>
          <w:szCs w:val="12"/>
        </w:rPr>
      </w:pPr>
      <w:r>
        <w:rPr>
          <w:rStyle w:val="CharStyle38"/>
          <w:b/>
          <w:bCs/>
          <w:color w:val="FFFFFF"/>
          <w:sz w:val="12"/>
          <w:szCs w:val="12"/>
        </w:rPr>
        <w:t>2 TWh HR^</w:t>
      </w:r>
    </w:p>
    <w:p>
      <w:pPr>
        <w:pStyle w:val="Style37"/>
        <w:keepNext w:val="0"/>
        <w:keepLines w:val="0"/>
        <w:framePr w:w="960" w:h="355" w:wrap="none" w:vAnchor="text" w:hAnchor="page" w:x="6086" w:y="8867"/>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right"/>
        <w:rPr>
          <w:sz w:val="12"/>
          <w:szCs w:val="12"/>
        </w:rPr>
      </w:pPr>
      <w:r>
        <w:rPr>
          <w:rStyle w:val="CharStyle38"/>
          <w:b/>
          <w:bCs/>
          <w:color w:val="FFFFFF"/>
          <w:sz w:val="12"/>
          <w:szCs w:val="12"/>
        </w:rPr>
        <w:t>J+5 TWh</w:t>
      </w:r>
    </w:p>
    <w:p>
      <w:pPr>
        <w:pStyle w:val="Style37"/>
        <w:keepNext w:val="0"/>
        <w:keepLines w:val="0"/>
        <w:framePr w:w="480" w:h="379" w:wrap="none" w:vAnchor="text" w:hAnchor="page" w:x="6854" w:y="8564"/>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HU</w:t>
        <w:br/>
        <w:t>■ 6 TWh</w:t>
      </w:r>
    </w:p>
    <w:p>
      <w:pPr>
        <w:pStyle w:val="Style37"/>
        <w:keepNext w:val="0"/>
        <w:keepLines w:val="0"/>
        <w:framePr w:w="475" w:h="182" w:wrap="none" w:vAnchor="text" w:hAnchor="page" w:x="6773" w:y="944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 5 TWh</w:t>
      </w:r>
    </w:p>
    <w:p>
      <w:pPr>
        <w:pStyle w:val="Style37"/>
        <w:keepNext w:val="0"/>
        <w:keepLines w:val="0"/>
        <w:framePr w:w="466" w:h="360" w:wrap="none" w:vAnchor="text" w:hAnchor="page" w:x="7440" w:y="9318"/>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RS</w:t>
        <w:br/>
        <w:t>■ 1 TWh</w:t>
      </w:r>
    </w:p>
    <w:p>
      <w:pPr>
        <w:pStyle w:val="Style37"/>
        <w:keepNext w:val="0"/>
        <w:keepLines w:val="0"/>
        <w:framePr w:w="581" w:h="374" w:wrap="none" w:vAnchor="text" w:hAnchor="page" w:x="8088" w:y="597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93" w:lineRule="auto"/>
        <w:ind w:left="0" w:right="0" w:firstLine="0"/>
        <w:jc w:val="center"/>
        <w:rPr>
          <w:sz w:val="12"/>
          <w:szCs w:val="12"/>
        </w:rPr>
      </w:pPr>
      <w:r>
        <w:rPr>
          <w:rStyle w:val="CharStyle38"/>
          <w:b/>
          <w:bCs/>
          <w:color w:val="FFFFFF"/>
          <w:sz w:val="12"/>
          <w:szCs w:val="12"/>
        </w:rPr>
        <w:t>LT</w:t>
        <w:br/>
        <w:t>+6 TWh</w:t>
      </w:r>
    </w:p>
    <w:p>
      <w:pPr>
        <w:pStyle w:val="Style37"/>
        <w:keepNext w:val="0"/>
        <w:keepLines w:val="0"/>
        <w:framePr w:w="490" w:h="182" w:wrap="none" w:vAnchor="text" w:hAnchor="page" w:x="8122" w:y="8982"/>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-1 TWh</w:t>
      </w:r>
    </w:p>
    <w:p>
      <w:pPr>
        <w:pStyle w:val="Style37"/>
        <w:keepNext w:val="0"/>
        <w:keepLines w:val="0"/>
        <w:framePr w:w="547" w:h="379" w:wrap="none" w:vAnchor="text" w:hAnchor="page" w:x="6730" w:y="9894"/>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ME</w:t>
        <w:br/>
        <w:t>+1 TWh</w:t>
      </w:r>
    </w:p>
    <w:p>
      <w:pPr>
        <w:pStyle w:val="Style37"/>
        <w:keepNext w:val="0"/>
        <w:keepLines w:val="0"/>
        <w:framePr w:w="466" w:h="379" w:wrap="none" w:vAnchor="text" w:hAnchor="page" w:x="8251" w:y="96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BG</w:t>
        <w:br/>
        <w:t>■ 5 TWh</w:t>
      </w:r>
    </w:p>
    <w:p>
      <w:pPr>
        <w:pStyle w:val="Style37"/>
        <w:keepNext w:val="0"/>
        <w:keepLines w:val="0"/>
        <w:framePr w:w="408" w:h="178" w:wrap="none" w:vAnchor="text" w:hAnchor="page" w:x="7651" w:y="10071"/>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center"/>
        <w:rPr>
          <w:sz w:val="12"/>
          <w:szCs w:val="12"/>
        </w:rPr>
      </w:pPr>
      <w:r>
        <w:rPr>
          <w:rStyle w:val="CharStyle38"/>
          <w:b/>
          <w:bCs/>
          <w:color w:val="FFFFFF"/>
          <w:sz w:val="12"/>
          <w:szCs w:val="12"/>
        </w:rPr>
        <w:t>2 TWI</w:t>
      </w:r>
    </w:p>
    <w:p>
      <w:pPr>
        <w:pStyle w:val="Style37"/>
        <w:keepNext w:val="0"/>
        <w:keepLines w:val="0"/>
        <w:framePr w:w="552" w:h="442" w:wrap="none" w:vAnchor="text" w:hAnchor="page" w:x="6163" w:y="11425"/>
        <w:widowControl w:val="0"/>
        <w:shd w:val="clear" w:color="auto" w:fill="auto"/>
        <w:bidi w:val="0"/>
        <w:spacing w:before="0" w:after="0" w:line="310" w:lineRule="auto"/>
        <w:ind w:left="0" w:right="0" w:firstLine="0"/>
        <w:jc w:val="left"/>
        <w:rPr>
          <w:sz w:val="12"/>
          <w:szCs w:val="12"/>
        </w:rPr>
      </w:pPr>
      <w:r>
        <w:rPr>
          <w:rStyle w:val="CharStyle38"/>
          <w:b/>
          <w:bCs/>
          <w:color w:val="ED6B5F"/>
          <w:sz w:val="12"/>
          <w:szCs w:val="12"/>
          <w:vertAlign w:val="superscript"/>
        </w:rPr>
        <w:t>X</w:t>
      </w:r>
      <w:r>
        <w:rPr>
          <w:rStyle w:val="CharStyle38"/>
          <w:b/>
          <w:bCs/>
          <w:color w:val="ED6B5F"/>
          <w:sz w:val="12"/>
          <w:szCs w:val="12"/>
        </w:rPr>
        <w:t xml:space="preserve"> MT -2 TWh</w:t>
      </w:r>
    </w:p>
    <w:p>
      <w:pPr>
        <w:pStyle w:val="Style37"/>
        <w:keepNext w:val="0"/>
        <w:keepLines w:val="0"/>
        <w:framePr w:w="360" w:h="499" w:wrap="none" w:vAnchor="text" w:hAnchor="page" w:x="7056" w:y="10455"/>
        <w:widowControl w:val="0"/>
        <w:shd w:val="clear" w:color="auto" w:fill="auto"/>
        <w:bidi w:val="0"/>
        <w:spacing w:before="0" w:after="0" w:line="300" w:lineRule="auto"/>
        <w:ind w:left="0" w:right="0" w:firstLine="0"/>
        <w:jc w:val="center"/>
        <w:rPr>
          <w:sz w:val="12"/>
          <w:szCs w:val="12"/>
        </w:rPr>
      </w:pPr>
      <w:r>
        <w:rPr>
          <w:rStyle w:val="CharStyle38"/>
          <w:b/>
          <w:bCs/>
          <w:color w:val="076BB4"/>
          <w:sz w:val="12"/>
          <w:szCs w:val="12"/>
        </w:rPr>
        <w:t>AL</w:t>
        <w:br/>
        <w:t>TWh</w:t>
      </w:r>
    </w:p>
    <w:p>
      <w:pPr>
        <w:pStyle w:val="Style37"/>
        <w:keepNext w:val="0"/>
        <w:keepLines w:val="0"/>
        <w:framePr w:w="552" w:h="355" w:wrap="none" w:vAnchor="text" w:hAnchor="page" w:x="7531"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i/>
          <w:iCs/>
          <w:color w:val="FFFFFF"/>
          <w:sz w:val="12"/>
          <w:szCs w:val="12"/>
        </w:rPr>
        <w:t>J</w:t>
      </w:r>
      <w:r>
        <w:rPr>
          <w:rStyle w:val="CharStyle38"/>
          <w:b/>
          <w:bCs/>
          <w:color w:val="FFFFFF"/>
          <w:sz w:val="12"/>
          <w:szCs w:val="12"/>
        </w:rPr>
        <w:t xml:space="preserve"> GR</w:t>
      </w:r>
    </w:p>
    <w:p>
      <w:pPr>
        <w:pStyle w:val="Style37"/>
        <w:keepNext w:val="0"/>
        <w:keepLines w:val="0"/>
        <w:framePr w:w="552" w:h="355" w:wrap="none" w:vAnchor="text" w:hAnchor="page" w:x="7531" w:y="10383"/>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0" w:right="0" w:firstLine="0"/>
        <w:jc w:val="left"/>
        <w:rPr>
          <w:sz w:val="12"/>
          <w:szCs w:val="12"/>
        </w:rPr>
      </w:pPr>
      <w:r>
        <w:rPr>
          <w:rStyle w:val="CharStyle38"/>
          <w:b/>
          <w:bCs/>
          <w:color w:val="FFFFFF"/>
          <w:sz w:val="12"/>
          <w:szCs w:val="12"/>
        </w:rPr>
        <w:t>+1 TWh</w:t>
      </w:r>
    </w:p>
    <w:p>
      <w:pPr>
        <w:pStyle w:val="Style37"/>
        <w:keepNext w:val="0"/>
        <w:keepLines w:val="0"/>
        <w:framePr w:w="600" w:h="355" w:wrap="none" w:vAnchor="text" w:hAnchor="page" w:x="9686" w:y="10599"/>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300" w:lineRule="auto"/>
        <w:ind w:left="0" w:right="0" w:firstLine="0"/>
        <w:jc w:val="center"/>
        <w:rPr>
          <w:sz w:val="12"/>
          <w:szCs w:val="12"/>
        </w:rPr>
      </w:pPr>
      <w:r>
        <w:rPr>
          <w:rStyle w:val="CharStyle38"/>
          <w:b/>
          <w:bCs/>
          <w:color w:val="FFFFFF"/>
          <w:sz w:val="12"/>
          <w:szCs w:val="12"/>
        </w:rPr>
        <w:t>TR</w:t>
        <w:br/>
        <w:t>-13 TWh</w:t>
      </w:r>
    </w:p>
    <w:p>
      <w:pPr>
        <w:widowControl w:val="0"/>
        <w:spacing w:line="360" w:lineRule="exact"/>
      </w:pPr>
      <w:r>
        <w:drawing>
          <wp:anchor distT="0" distB="0" distL="0" distR="0" simplePos="0" relativeHeight="62914845" behindDoc="1" locked="0" layoutInCell="1" allowOverlap="1">
            <wp:simplePos x="0" y="0"/>
            <wp:positionH relativeFrom="margin">
              <wp:posOffset>-301625</wp:posOffset>
            </wp:positionH>
            <wp:positionV relativeFrom="margin">
              <wp:posOffset>713740</wp:posOffset>
            </wp:positionV>
            <wp:extent cx="6278880" cy="6967855"/>
            <wp:wrapNone/>
            <wp:docPr id="493" name="Shape 493"/>
            <a:graphic xmlns:a="http://schemas.openxmlformats.org/drawingml/2006/main">
              <a:graphicData uri="http://schemas.openxmlformats.org/drawingml/2006/picture">
                <pic:pic xmlns:pic="http://schemas.openxmlformats.org/drawingml/2006/picture">
                  <pic:nvPicPr>
                    <pic:cNvPr id="494" name="Picture box 494"/>
                    <pic:cNvPicPr/>
                  </pic:nvPicPr>
                  <pic:blipFill>
                    <a:blip r:embed="rId311"/>
                    <a:stretch/>
                  </pic:blipFill>
                  <pic:spPr>
                    <a:xfrm>
                      <a:ext cx="6278880" cy="6967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type w:val="continuous"/>
          <w:pgSz w:w="12142" w:h="17375"/>
          <w:pgMar w:top="752" w:right="680" w:bottom="752" w:left="680" w:header="0" w:footer="3" w:gutter="682"/>
          <w:cols w:space="720"/>
          <w:noEndnote/>
          <w:rtlGutter w:val="0"/>
          <w:docGrid w:linePitch="360"/>
        </w:sectPr>
      </w:pPr>
    </w:p>
    <w:p>
      <w:pPr>
        <w:widowControl w:val="0"/>
        <w:spacing w:line="139" w:lineRule="exact"/>
        <w:rPr>
          <w:sz w:val="11"/>
          <w:szCs w:val="11"/>
        </w:rPr>
      </w:pPr>
    </w:p>
    <w:p>
      <w:pPr>
        <w:widowControl w:val="0"/>
        <w:spacing w:line="1" w:lineRule="exact"/>
        <w:sectPr>
          <w:footnotePr>
            <w:pos w:val="pageBottom"/>
            <w:numFmt w:val="decimal"/>
            <w:numRestart w:val="continuous"/>
          </w:footnotePr>
          <w:pgSz w:w="12142" w:h="17375"/>
          <w:pgMar w:top="1003" w:right="680" w:bottom="582" w:left="1362" w:header="0" w:footer="3" w:gutter="0"/>
          <w:cols w:space="720"/>
          <w:noEndnote/>
          <w:rtlGutter w:val="0"/>
          <w:docGrid w:linePitch="360"/>
        </w:sectPr>
      </w:pPr>
    </w:p>
    <w:p>
      <w:pPr>
        <w:pStyle w:val="Style15"/>
        <w:keepNext/>
        <w:keepLines/>
        <w:framePr w:w="7224" w:h="240" w:wrap="none" w:vAnchor="text" w:hAnchor="page" w:x="1517" w:y="21"/>
        <w:widowControl w:val="0"/>
        <w:shd w:val="clear" w:color="auto" w:fill="auto"/>
        <w:bidi w:val="0"/>
        <w:spacing w:before="0" w:after="0" w:line="240" w:lineRule="auto"/>
        <w:ind w:left="0" w:right="0" w:firstLine="0"/>
        <w:jc w:val="left"/>
      </w:pPr>
      <w:bookmarkStart w:id="242" w:name="bookmark242"/>
      <w:r>
        <w:rPr>
          <w:rStyle w:val="CharStyle16"/>
          <w:b/>
          <w:bCs/>
        </w:rPr>
        <w:t>Obr. 6.33 Saldo importu a exportu evropských zemí pro Dekarbonizační scénář 2040</w:t>
      </w:r>
      <w:bookmarkEnd w:id="242"/>
    </w:p>
    <w:p>
      <w:pPr>
        <w:pStyle w:val="Style2"/>
        <w:keepNext w:val="0"/>
        <w:keepLines w:val="0"/>
        <w:framePr w:w="221" w:h="182" w:wrap="none" w:vAnchor="text" w:hAnchor="page" w:x="4843" w:y="6332"/>
        <w:widowControl w:val="0"/>
        <w:shd w:val="clear" w:color="auto" w:fill="auto"/>
        <w:bidi w:val="0"/>
        <w:spacing w:before="0" w:after="0" w:line="240" w:lineRule="auto"/>
        <w:ind w:left="0" w:right="0" w:firstLine="0"/>
        <w:jc w:val="left"/>
        <w:rPr>
          <w:sz w:val="12"/>
          <w:szCs w:val="12"/>
        </w:rPr>
      </w:pPr>
      <w:r>
        <w:rPr>
          <w:rStyle w:val="CharStyle3"/>
          <w:b/>
          <w:bCs/>
          <w:color w:val="076BB4"/>
          <w:sz w:val="12"/>
          <w:szCs w:val="12"/>
        </w:rPr>
        <w:t>NL</w:t>
      </w:r>
    </w:p>
    <w:p>
      <w:pPr>
        <w:pStyle w:val="Style2"/>
        <w:keepNext w:val="0"/>
        <w:keepLines w:val="0"/>
        <w:framePr w:w="365" w:h="518" w:wrap="none" w:vAnchor="text" w:hAnchor="page" w:x="1512" w:y="10960"/>
        <w:widowControl w:val="0"/>
        <w:shd w:val="clear" w:color="auto" w:fill="auto"/>
        <w:bidi w:val="0"/>
        <w:spacing w:before="0" w:after="0" w:line="300" w:lineRule="auto"/>
        <w:ind w:left="0" w:right="0" w:firstLine="0"/>
        <w:jc w:val="center"/>
        <w:rPr>
          <w:sz w:val="12"/>
          <w:szCs w:val="12"/>
        </w:rPr>
      </w:pPr>
      <w:bookmarkStart w:id="244" w:name="bookmark244"/>
      <w:r>
        <w:rPr>
          <w:rStyle w:val="CharStyle3"/>
          <w:b/>
          <w:bCs/>
          <w:color w:val="076BB4"/>
          <w:sz w:val="12"/>
          <w:szCs w:val="12"/>
        </w:rPr>
        <w:t>PT +5 TWh</w:t>
      </w:r>
      <w:bookmarkEnd w:id="244"/>
    </w:p>
    <w:p>
      <w:pPr>
        <w:pStyle w:val="Style2"/>
        <w:keepNext w:val="0"/>
        <w:keepLines w:val="0"/>
        <w:framePr w:w="365" w:h="499" w:wrap="none" w:vAnchor="text" w:hAnchor="page" w:x="7738" w:y="10456"/>
        <w:widowControl w:val="0"/>
        <w:shd w:val="clear" w:color="auto" w:fill="auto"/>
        <w:bidi w:val="0"/>
        <w:spacing w:before="0" w:after="0" w:line="168" w:lineRule="auto"/>
        <w:ind w:left="0" w:right="0" w:firstLine="0"/>
        <w:jc w:val="both"/>
        <w:rPr>
          <w:sz w:val="12"/>
          <w:szCs w:val="12"/>
        </w:rPr>
      </w:pPr>
      <w:r>
        <w:rPr>
          <w:rStyle w:val="CharStyle3"/>
          <w:b/>
          <w:bCs/>
          <w:color w:val="076BB4"/>
          <w:sz w:val="12"/>
          <w:szCs w:val="12"/>
        </w:rPr>
        <w:t>A^ +6 TWh</w:t>
      </w:r>
    </w:p>
    <w:p>
      <w:pPr>
        <w:pStyle w:val="Style2"/>
        <w:keepNext w:val="0"/>
        <w:keepLines w:val="0"/>
        <w:framePr w:w="490" w:h="379" w:wrap="none" w:vAnchor="text" w:hAnchor="page" w:x="4973" w:y="5924"/>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DK -4 TWh</w:t>
      </w:r>
    </w:p>
    <w:p>
      <w:pPr>
        <w:pStyle w:val="Style2"/>
        <w:keepNext w:val="0"/>
        <w:keepLines w:val="0"/>
        <w:framePr w:w="470" w:h="379" w:wrap="none" w:vAnchor="text" w:hAnchor="page" w:x="6927" w:y="11483"/>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MT • 2 TWh</w:t>
      </w:r>
    </w:p>
    <w:p>
      <w:pPr>
        <w:pStyle w:val="Style2"/>
        <w:keepNext w:val="0"/>
        <w:keepLines w:val="0"/>
        <w:framePr w:w="466" w:h="379" w:wrap="none" w:vAnchor="text" w:hAnchor="page" w:x="7450" w:y="9894"/>
        <w:widowControl w:val="0"/>
        <w:shd w:val="clear" w:color="auto" w:fill="auto"/>
        <w:bidi w:val="0"/>
        <w:spacing w:before="0" w:after="0" w:line="300" w:lineRule="auto"/>
        <w:ind w:left="0" w:right="0" w:firstLine="0"/>
        <w:jc w:val="center"/>
        <w:rPr>
          <w:sz w:val="12"/>
          <w:szCs w:val="12"/>
        </w:rPr>
      </w:pPr>
      <w:r>
        <w:rPr>
          <w:rStyle w:val="CharStyle3"/>
          <w:b/>
          <w:bCs/>
          <w:color w:val="ED6B5F"/>
          <w:sz w:val="12"/>
          <w:szCs w:val="12"/>
        </w:rPr>
        <w:t>ME ■ 1 TWh</w:t>
      </w:r>
    </w:p>
    <w:p>
      <w:pPr>
        <w:pStyle w:val="Style2"/>
        <w:keepNext w:val="0"/>
        <w:keepLines w:val="0"/>
        <w:framePr w:w="475" w:h="350" w:wrap="none" w:vAnchor="text" w:hAnchor="page" w:x="1949" w:y="6678"/>
        <w:widowControl w:val="0"/>
        <w:shd w:val="clear" w:color="auto" w:fill="auto"/>
        <w:bidi w:val="0"/>
        <w:spacing w:before="0" w:after="0" w:line="240" w:lineRule="auto"/>
        <w:ind w:left="0" w:right="0" w:firstLine="160"/>
        <w:jc w:val="left"/>
        <w:rPr>
          <w:sz w:val="12"/>
          <w:szCs w:val="12"/>
        </w:rPr>
      </w:pPr>
      <w:r>
        <w:rPr>
          <w:rStyle w:val="CharStyle3"/>
          <w:b/>
          <w:bCs/>
          <w:color w:val="ED6B5F"/>
          <w:sz w:val="12"/>
          <w:szCs w:val="12"/>
        </w:rPr>
        <w:t>IE</w:t>
      </w:r>
    </w:p>
    <w:p>
      <w:pPr>
        <w:pStyle w:val="Style2"/>
        <w:keepNext w:val="0"/>
        <w:keepLines w:val="0"/>
        <w:framePr w:w="475" w:h="350" w:wrap="none" w:vAnchor="text" w:hAnchor="page" w:x="1949" w:y="6678"/>
        <w:widowControl w:val="0"/>
        <w:shd w:val="clear" w:color="auto" w:fill="auto"/>
        <w:bidi w:val="0"/>
        <w:spacing w:before="0" w:after="0" w:line="240" w:lineRule="auto"/>
        <w:ind w:left="0" w:right="0" w:firstLine="0"/>
        <w:jc w:val="left"/>
        <w:rPr>
          <w:sz w:val="12"/>
          <w:szCs w:val="12"/>
        </w:rPr>
      </w:pPr>
      <w:r>
        <w:rPr>
          <w:rStyle w:val="CharStyle3"/>
          <w:b/>
          <w:bCs/>
          <w:color w:val="ED6B5F"/>
          <w:sz w:val="12"/>
          <w:szCs w:val="12"/>
        </w:rPr>
        <w:t>• 0 TWh</w:t>
      </w:r>
    </w:p>
    <w:p>
      <w:pPr>
        <w:pStyle w:val="Style2"/>
        <w:keepNext w:val="0"/>
        <w:keepLines w:val="0"/>
        <w:framePr w:w="509" w:h="350" w:wrap="none" w:vAnchor="text" w:hAnchor="page" w:x="9135" w:y="4796"/>
        <w:widowControl w:val="0"/>
        <w:shd w:val="clear" w:color="auto" w:fill="auto"/>
        <w:bidi w:val="0"/>
        <w:spacing w:before="0" w:after="0" w:line="240" w:lineRule="auto"/>
        <w:ind w:left="0" w:right="140" w:firstLine="0"/>
        <w:jc w:val="right"/>
        <w:rPr>
          <w:sz w:val="12"/>
          <w:szCs w:val="12"/>
        </w:rPr>
      </w:pPr>
      <w:r>
        <w:rPr>
          <w:rStyle w:val="CharStyle3"/>
          <w:b/>
          <w:bCs/>
          <w:color w:val="ED6B5F"/>
          <w:sz w:val="12"/>
          <w:szCs w:val="12"/>
        </w:rPr>
        <w:t>EE</w:t>
      </w:r>
    </w:p>
    <w:p>
      <w:pPr>
        <w:pStyle w:val="Style2"/>
        <w:keepNext w:val="0"/>
        <w:keepLines w:val="0"/>
        <w:framePr w:w="509" w:h="350" w:wrap="none" w:vAnchor="text" w:hAnchor="page" w:x="9135" w:y="4796"/>
        <w:widowControl w:val="0"/>
        <w:shd w:val="clear" w:color="auto" w:fill="auto"/>
        <w:bidi w:val="0"/>
        <w:spacing w:before="0" w:after="0" w:line="240" w:lineRule="auto"/>
        <w:ind w:left="0" w:right="0" w:firstLine="0"/>
        <w:jc w:val="center"/>
        <w:rPr>
          <w:sz w:val="12"/>
          <w:szCs w:val="12"/>
        </w:rPr>
      </w:pPr>
      <w:r>
        <w:rPr>
          <w:rStyle w:val="CharStyle3"/>
          <w:b/>
          <w:bCs/>
          <w:color w:val="ED6B5F"/>
          <w:sz w:val="12"/>
          <w:szCs w:val="12"/>
        </w:rPr>
        <w:t>-0 TWh</w:t>
      </w:r>
    </w:p>
    <w:p>
      <w:pPr>
        <w:pStyle w:val="Style2"/>
        <w:keepNext w:val="0"/>
        <w:keepLines w:val="0"/>
        <w:framePr w:w="648" w:h="187" w:wrap="none" w:vAnchor="text" w:hAnchor="page" w:x="7325" w:y="29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+ 50 TWh</w:t>
      </w:r>
    </w:p>
    <w:p>
      <w:pPr>
        <w:pStyle w:val="Style2"/>
        <w:keepNext w:val="0"/>
        <w:keepLines w:val="0"/>
        <w:framePr w:w="629" w:h="182" w:wrap="none" w:vAnchor="text" w:hAnchor="page" w:x="8779" w:y="898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+19 TWh</w:t>
      </w:r>
    </w:p>
    <w:p>
      <w:pPr>
        <w:pStyle w:val="Style2"/>
        <w:keepNext w:val="0"/>
        <w:keepLines w:val="0"/>
        <w:framePr w:w="475" w:h="182" w:wrap="none" w:vAnchor="text" w:hAnchor="page" w:x="7455" w:y="944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5 TWh</w:t>
      </w:r>
    </w:p>
    <w:p>
      <w:pPr>
        <w:pStyle w:val="Style2"/>
        <w:keepNext w:val="0"/>
        <w:keepLines w:val="0"/>
        <w:framePr w:w="408" w:h="178" w:wrap="none" w:vAnchor="text" w:hAnchor="page" w:x="8333" w:y="10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center"/>
        <w:rPr>
          <w:sz w:val="12"/>
          <w:szCs w:val="12"/>
        </w:rPr>
      </w:pPr>
      <w:r>
        <w:rPr>
          <w:rStyle w:val="CharStyle3"/>
          <w:b/>
          <w:bCs/>
          <w:color w:val="FFFFFF"/>
          <w:sz w:val="12"/>
          <w:szCs w:val="12"/>
        </w:rPr>
        <w:t>5 TWI</w:t>
      </w:r>
    </w:p>
    <w:p>
      <w:pPr>
        <w:pStyle w:val="Style2"/>
        <w:keepNext w:val="0"/>
        <w:keepLines w:val="0"/>
        <w:framePr w:w="475" w:h="331" w:wrap="none" w:vAnchor="text" w:hAnchor="page" w:x="5323" w:y="76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LU 6 TWh</w:t>
      </w:r>
    </w:p>
    <w:p>
      <w:pPr>
        <w:pStyle w:val="Style2"/>
        <w:keepNext w:val="0"/>
        <w:keepLines w:val="0"/>
        <w:framePr w:w="475" w:h="331" w:wrap="none" w:vAnchor="text" w:hAnchor="page" w:x="5367" w:y="853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CH 1 TWh</w:t>
      </w:r>
    </w:p>
    <w:p>
      <w:pPr>
        <w:pStyle w:val="Style2"/>
        <w:keepNext w:val="0"/>
        <w:keepLines w:val="0"/>
        <w:framePr w:w="480" w:h="350" w:wrap="none" w:vAnchor="text" w:hAnchor="page" w:x="8107" w:y="932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RS</w:t>
      </w:r>
    </w:p>
    <w:p>
      <w:pPr>
        <w:pStyle w:val="Style2"/>
        <w:keepNext w:val="0"/>
        <w:keepLines w:val="0"/>
        <w:framePr w:w="480" w:h="350" w:wrap="none" w:vAnchor="text" w:hAnchor="page" w:x="8107" w:y="932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-9 TWh</w:t>
      </w:r>
    </w:p>
    <w:p>
      <w:pPr>
        <w:pStyle w:val="Style2"/>
        <w:keepNext w:val="0"/>
        <w:keepLines w:val="0"/>
        <w:framePr w:w="475" w:h="355" w:wrap="none" w:vAnchor="text" w:hAnchor="page" w:x="8827" w:y="59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93" w:lineRule="auto"/>
        <w:ind w:left="0" w:right="0" w:firstLine="0"/>
        <w:jc w:val="center"/>
        <w:rPr>
          <w:sz w:val="12"/>
          <w:szCs w:val="12"/>
        </w:rPr>
      </w:pPr>
      <w:r>
        <w:rPr>
          <w:rStyle w:val="CharStyle3"/>
          <w:b/>
          <w:bCs/>
          <w:color w:val="FFFFFF"/>
          <w:sz w:val="12"/>
          <w:szCs w:val="12"/>
        </w:rPr>
        <w:t>LT 6 TWh</w:t>
      </w:r>
    </w:p>
    <w:p>
      <w:pPr>
        <w:pStyle w:val="Style2"/>
        <w:keepNext w:val="0"/>
        <w:keepLines w:val="0"/>
        <w:framePr w:w="547" w:h="355" w:wrap="none" w:vAnchor="text" w:hAnchor="page" w:x="8232"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 GR</w:t>
      </w:r>
    </w:p>
    <w:p>
      <w:pPr>
        <w:pStyle w:val="Style2"/>
        <w:keepNext w:val="0"/>
        <w:keepLines w:val="0"/>
        <w:framePr w:w="547" w:h="355" w:wrap="none" w:vAnchor="text" w:hAnchor="page" w:x="8232" w:y="1038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left"/>
        <w:rPr>
          <w:sz w:val="12"/>
          <w:szCs w:val="12"/>
        </w:rPr>
      </w:pPr>
      <w:r>
        <w:rPr>
          <w:rStyle w:val="CharStyle3"/>
          <w:b/>
          <w:bCs/>
          <w:color w:val="FFFFFF"/>
          <w:sz w:val="12"/>
          <w:szCs w:val="12"/>
        </w:rPr>
        <w:t>12 TWh</w:t>
      </w:r>
    </w:p>
    <w:p>
      <w:pPr>
        <w:pStyle w:val="Style2"/>
        <w:keepNext w:val="0"/>
        <w:keepLines w:val="0"/>
        <w:framePr w:w="557" w:h="379" w:wrap="none" w:vAnchor="text" w:hAnchor="page" w:x="5693" w:y="407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NO 39 TWh</w:t>
      </w:r>
    </w:p>
    <w:p>
      <w:pPr>
        <w:pStyle w:val="Style2"/>
        <w:keepNext w:val="0"/>
        <w:keepLines w:val="0"/>
        <w:framePr w:w="557" w:h="379" w:wrap="none" w:vAnchor="text" w:hAnchor="page" w:x="7541" w:y="856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HU 35 TWh</w:t>
      </w:r>
    </w:p>
    <w:p>
      <w:pPr>
        <w:pStyle w:val="Style2"/>
        <w:keepNext w:val="0"/>
        <w:keepLines w:val="0"/>
        <w:framePr w:w="475" w:h="355" w:wrap="none" w:vAnchor="text" w:hAnchor="page" w:x="10411" w:y="10600"/>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TR ■ 6 TWh</w:t>
      </w:r>
    </w:p>
    <w:p>
      <w:pPr>
        <w:pStyle w:val="Style2"/>
        <w:keepNext w:val="0"/>
        <w:keepLines w:val="0"/>
        <w:framePr w:w="547" w:h="374" w:wrap="none" w:vAnchor="text" w:hAnchor="page" w:x="7709" w:y="697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PL ■ 10 TWh</w:t>
      </w:r>
    </w:p>
    <w:p>
      <w:pPr>
        <w:pStyle w:val="Style2"/>
        <w:keepNext w:val="0"/>
        <w:keepLines w:val="0"/>
        <w:framePr w:w="542" w:h="379" w:wrap="none" w:vAnchor="text" w:hAnchor="page" w:x="8871" w:y="9683"/>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BG +2 TWh</w:t>
      </w:r>
    </w:p>
    <w:p>
      <w:pPr>
        <w:pStyle w:val="Style2"/>
        <w:keepNext w:val="0"/>
        <w:keepLines w:val="0"/>
        <w:framePr w:w="494" w:h="350" w:wrap="none" w:vAnchor="text" w:hAnchor="page" w:x="9192"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40" w:line="240" w:lineRule="auto"/>
        <w:ind w:left="0" w:right="0" w:firstLine="180"/>
        <w:jc w:val="left"/>
        <w:rPr>
          <w:sz w:val="12"/>
          <w:szCs w:val="12"/>
        </w:rPr>
      </w:pPr>
      <w:r>
        <w:rPr>
          <w:rStyle w:val="CharStyle3"/>
          <w:b/>
          <w:bCs/>
          <w:color w:val="FFFFFF"/>
          <w:sz w:val="12"/>
          <w:szCs w:val="12"/>
        </w:rPr>
        <w:t>FI</w:t>
      </w:r>
    </w:p>
    <w:p>
      <w:pPr>
        <w:pStyle w:val="Style2"/>
        <w:keepNext w:val="0"/>
        <w:keepLines w:val="0"/>
        <w:framePr w:w="494" w:h="350" w:wrap="none" w:vAnchor="text" w:hAnchor="page" w:x="9192" w:y="359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right"/>
        <w:rPr>
          <w:sz w:val="12"/>
          <w:szCs w:val="12"/>
        </w:rPr>
      </w:pPr>
      <w:r>
        <w:rPr>
          <w:rStyle w:val="CharStyle3"/>
          <w:b/>
          <w:bCs/>
          <w:color w:val="FFFFFF"/>
          <w:sz w:val="12"/>
          <w:szCs w:val="12"/>
        </w:rPr>
        <w:t>-7 TWh</w:t>
      </w:r>
    </w:p>
    <w:p>
      <w:pPr>
        <w:pStyle w:val="Style2"/>
        <w:keepNext w:val="0"/>
        <w:keepLines w:val="0"/>
        <w:framePr w:w="542" w:h="379" w:wrap="none" w:vAnchor="text" w:hAnchor="page" w:x="2866" w:y="1019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ES ■ 13 TWh</w:t>
      </w:r>
    </w:p>
    <w:p>
      <w:pPr>
        <w:pStyle w:val="Style2"/>
        <w:keepNext w:val="0"/>
        <w:keepLines w:val="0"/>
        <w:framePr w:w="562" w:h="346" w:wrap="none" w:vAnchor="text" w:hAnchor="page" w:x="6739" w:y="768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CZ ■ 20 TWh</w:t>
      </w:r>
    </w:p>
    <w:p>
      <w:pPr>
        <w:pStyle w:val="Style2"/>
        <w:keepNext w:val="0"/>
        <w:keepLines w:val="0"/>
        <w:framePr w:w="552" w:h="370" w:wrap="none" w:vAnchor="text" w:hAnchor="page" w:x="7594" w:y="803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83" w:lineRule="auto"/>
        <w:ind w:left="0" w:right="0" w:firstLine="0"/>
        <w:jc w:val="left"/>
        <w:rPr>
          <w:sz w:val="12"/>
          <w:szCs w:val="12"/>
        </w:rPr>
      </w:pPr>
      <w:r>
        <w:rPr>
          <w:rStyle w:val="CharStyle3"/>
          <w:b/>
          <w:bCs/>
          <w:color w:val="FFFFFF"/>
          <w:sz w:val="12"/>
          <w:szCs w:val="12"/>
        </w:rPr>
        <w:t xml:space="preserve">y </w:t>
      </w:r>
      <w:r>
        <w:rPr>
          <w:rStyle w:val="CharStyle3"/>
          <w:b/>
          <w:bCs/>
          <w:smallCaps/>
          <w:color w:val="FFFFFF"/>
          <w:sz w:val="12"/>
          <w:szCs w:val="12"/>
        </w:rPr>
        <w:t xml:space="preserve">sk </w:t>
      </w:r>
      <w:r>
        <w:rPr>
          <w:rStyle w:val="CharStyle3"/>
          <w:b/>
          <w:bCs/>
          <w:color w:val="FFFFFF"/>
          <w:sz w:val="12"/>
          <w:szCs w:val="12"/>
        </w:rPr>
        <w:t>+0 TWh</w:t>
      </w:r>
    </w:p>
    <w:p>
      <w:pPr>
        <w:pStyle w:val="Style2"/>
        <w:keepNext w:val="0"/>
        <w:keepLines w:val="0"/>
        <w:framePr w:w="581" w:h="355" w:wrap="none" w:vAnchor="text" w:hAnchor="page" w:x="9221" w:y="5512"/>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40" w:lineRule="auto"/>
        <w:ind w:left="0" w:right="0" w:firstLine="0"/>
        <w:jc w:val="right"/>
        <w:rPr>
          <w:sz w:val="12"/>
          <w:szCs w:val="12"/>
        </w:rPr>
      </w:pPr>
      <w:r>
        <w:rPr>
          <w:rStyle w:val="CharStyle3"/>
          <w:b/>
          <w:bCs/>
          <w:color w:val="FFFFFF"/>
          <w:sz w:val="12"/>
          <w:szCs w:val="12"/>
        </w:rPr>
        <w:t>LV , +4 TWh</w:t>
      </w:r>
    </w:p>
    <w:p>
      <w:pPr>
        <w:pStyle w:val="Style2"/>
        <w:keepNext w:val="0"/>
        <w:keepLines w:val="0"/>
        <w:framePr w:w="562" w:h="379" w:wrap="none" w:vAnchor="text" w:hAnchor="page" w:x="5818" w:y="900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IT 50 TWh</w:t>
      </w:r>
    </w:p>
    <w:p>
      <w:pPr>
        <w:pStyle w:val="Style2"/>
        <w:keepNext w:val="0"/>
        <w:keepLines w:val="0"/>
        <w:framePr w:w="619" w:h="379" w:wrap="none" w:vAnchor="text" w:hAnchor="page" w:x="6648" w:y="8291"/>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AT +20 TWh</w:t>
      </w:r>
    </w:p>
    <w:p>
      <w:pPr>
        <w:pStyle w:val="Style2"/>
        <w:keepNext w:val="0"/>
        <w:keepLines w:val="0"/>
        <w:framePr w:w="648" w:h="379" w:wrap="none" w:vAnchor="text" w:hAnchor="page" w:x="3178" w:y="68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UK +25 TWh</w:t>
      </w:r>
    </w:p>
    <w:p>
      <w:pPr>
        <w:pStyle w:val="Style2"/>
        <w:keepNext w:val="0"/>
        <w:keepLines w:val="0"/>
        <w:framePr w:w="638" w:h="331" w:wrap="none" w:vAnchor="text" w:hAnchor="page" w:x="4071" w:y="8536"/>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FR +50 TWh</w:t>
      </w:r>
    </w:p>
    <w:p>
      <w:pPr>
        <w:pStyle w:val="Style2"/>
        <w:keepNext w:val="0"/>
        <w:keepLines w:val="0"/>
        <w:framePr w:w="643" w:h="379" w:wrap="none" w:vAnchor="text" w:hAnchor="page" w:x="5746" w:y="7134"/>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300" w:lineRule="auto"/>
        <w:ind w:left="0" w:right="0" w:firstLine="0"/>
        <w:jc w:val="center"/>
        <w:rPr>
          <w:sz w:val="12"/>
          <w:szCs w:val="12"/>
        </w:rPr>
      </w:pPr>
      <w:r>
        <w:rPr>
          <w:rStyle w:val="CharStyle3"/>
          <w:b/>
          <w:bCs/>
          <w:color w:val="FFFFFF"/>
          <w:sz w:val="12"/>
          <w:szCs w:val="12"/>
        </w:rPr>
        <w:t>DE +64 TWh</w:t>
      </w:r>
    </w:p>
    <w:p>
      <w:pPr>
        <w:pStyle w:val="Style2"/>
        <w:keepNext w:val="0"/>
        <w:keepLines w:val="0"/>
        <w:framePr w:w="926" w:h="355" w:wrap="none" w:vAnchor="text" w:hAnchor="page" w:x="6783" w:y="8867"/>
        <w:widowControl w:val="0"/>
        <w:pBdr>
          <w:top w:val="single" w:sz="0" w:space="0" w:color="F7FCFF"/>
          <w:left w:val="single" w:sz="0" w:space="31" w:color="F7FCFF"/>
          <w:bottom w:val="single" w:sz="0" w:space="0" w:color="F7FCFF"/>
          <w:right w:val="single" w:sz="0" w:space="31" w:color="F7FCFF"/>
        </w:pBdr>
        <w:shd w:val="clear" w:color="auto" w:fill="F7FCFF"/>
        <w:bidi w:val="0"/>
        <w:spacing w:before="0" w:after="0" w:line="226" w:lineRule="auto"/>
        <w:ind w:left="0" w:right="0" w:firstLine="0"/>
        <w:jc w:val="left"/>
        <w:rPr>
          <w:sz w:val="12"/>
          <w:szCs w:val="12"/>
        </w:rPr>
      </w:pPr>
      <w:r>
        <w:rPr>
          <w:rStyle w:val="CharStyle3"/>
          <w:b/>
          <w:bCs/>
          <w:color w:val="FFFFFF"/>
          <w:sz w:val="12"/>
          <w:szCs w:val="12"/>
        </w:rPr>
        <w:t>■ 1 TWh HR '■- '+3 TWh</w:t>
      </w:r>
    </w:p>
    <w:p>
      <w:pPr>
        <w:widowControl w:val="0"/>
        <w:spacing w:line="360" w:lineRule="exact"/>
      </w:pPr>
      <w:r>
        <w:drawing>
          <wp:anchor distT="0" distB="0" distL="0" distR="0" simplePos="0" relativeHeight="62914846" behindDoc="1" locked="0" layoutInCell="1" allowOverlap="1">
            <wp:simplePos x="0" y="0"/>
            <wp:positionH relativeFrom="page">
              <wp:posOffset>871220</wp:posOffset>
            </wp:positionH>
            <wp:positionV relativeFrom="paragraph">
              <wp:posOffset>414655</wp:posOffset>
            </wp:positionV>
            <wp:extent cx="6407150" cy="7235825"/>
            <wp:wrapNone/>
            <wp:docPr id="495" name="Shape 495"/>
            <a:graphic xmlns:a="http://schemas.openxmlformats.org/drawingml/2006/main">
              <a:graphicData uri="http://schemas.openxmlformats.org/drawingml/2006/picture">
                <pic:pic xmlns:pic="http://schemas.openxmlformats.org/drawingml/2006/picture">
                  <pic:nvPicPr>
                    <pic:cNvPr id="496" name="Picture box 496"/>
                    <pic:cNvPicPr/>
                  </pic:nvPicPr>
                  <pic:blipFill>
                    <a:blip r:embed="rId313"/>
                    <a:stretch/>
                  </pic:blipFill>
                  <pic:spPr>
                    <a:xfrm>
                      <a:ext cx="6407150" cy="72358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decimal"/>
            <w:numRestart w:val="continuous"/>
          </w:footnotePr>
          <w:type w:val="continuous"/>
          <w:pgSz w:w="12142" w:h="17375"/>
          <w:pgMar w:top="1003" w:right="680" w:bottom="582" w:left="680" w:header="0" w:footer="3" w:gutter="682"/>
          <w:cols w:space="720"/>
          <w:noEndnote/>
          <w:rtlGutter w:val="0"/>
          <w:docGrid w:linePitch="360"/>
        </w:sectPr>
      </w:pPr>
    </w:p>
    <w:p>
      <w:pPr>
        <w:pStyle w:val="Style27"/>
        <w:keepNext/>
        <w:keepLines/>
        <w:widowControl w:val="0"/>
        <w:shd w:val="clear" w:color="auto" w:fill="auto"/>
        <w:bidi w:val="0"/>
        <w:spacing w:before="0" w:after="0" w:line="307" w:lineRule="auto"/>
        <w:ind w:left="0" w:right="0" w:firstLine="0"/>
        <w:jc w:val="left"/>
      </w:pPr>
      <w:bookmarkStart w:id="245" w:name="bookmark245"/>
      <w:r>
        <w:rPr>
          <w:rStyle w:val="CharStyle28"/>
          <w:b/>
          <w:bCs/>
        </w:rPr>
        <w:t>6.4 SOUHRNNÉ VYHODNOCENÍ SCÉNÁŘŮ</w:t>
      </w:r>
      <w:bookmarkEnd w:id="245"/>
    </w:p>
    <w:p>
      <w:pPr>
        <w:pStyle w:val="Style19"/>
        <w:keepNext w:val="0"/>
        <w:keepLines w:val="0"/>
        <w:widowControl w:val="0"/>
        <w:shd w:val="clear" w:color="auto" w:fill="auto"/>
        <w:bidi w:val="0"/>
        <w:spacing w:before="0" w:line="307" w:lineRule="auto"/>
        <w:ind w:left="0" w:right="0" w:firstLine="0"/>
        <w:jc w:val="left"/>
      </w:pPr>
      <w:r>
        <w:rPr>
          <w:rStyle w:val="CharStyle20"/>
        </w:rPr>
        <w:t>Mimo jednotlivé vyhodnocení a posouzení bilancí bylo provedeno i vyhodnocení ekologických a ekonomických dopadů scénářů včetně potřeby jejich dozdrojování.</w:t>
      </w:r>
    </w:p>
    <w:p>
      <w:pPr>
        <w:pStyle w:val="Style27"/>
        <w:keepNext/>
        <w:keepLines/>
        <w:widowControl w:val="0"/>
        <w:numPr>
          <w:ilvl w:val="2"/>
          <w:numId w:val="35"/>
        </w:numPr>
        <w:shd w:val="clear" w:color="auto" w:fill="auto"/>
        <w:tabs>
          <w:tab w:pos="548" w:val="left"/>
        </w:tabs>
        <w:bidi w:val="0"/>
        <w:spacing w:before="0" w:after="240" w:line="307" w:lineRule="auto"/>
        <w:ind w:left="0" w:right="0" w:firstLine="0"/>
        <w:jc w:val="left"/>
      </w:pPr>
      <w:bookmarkStart w:id="247" w:name="bookmark247"/>
      <w:r>
        <w:rPr>
          <w:rStyle w:val="CharStyle28"/>
          <w:b/>
          <w:bCs/>
        </w:rPr>
        <w:t>LOLE A EENS</w:t>
      </w:r>
      <w:bookmarkEnd w:id="247"/>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6.1 Hodnoty LOLE pro jednotlivé scénáře v jednotlivých letech</w:t>
      </w:r>
    </w:p>
    <w:tbl>
      <w:tblPr>
        <w:tblOverlap w:val="never"/>
        <w:jc w:val="left"/>
        <w:tblLayout w:type="fixed"/>
      </w:tblPr>
      <w:tblGrid>
        <w:gridCol w:w="1430"/>
        <w:gridCol w:w="1430"/>
        <w:gridCol w:w="1430"/>
        <w:gridCol w:w="1430"/>
        <w:gridCol w:w="1435"/>
      </w:tblGrid>
      <w:tr>
        <w:trPr>
          <w:trHeight w:val="34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0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1 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h</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0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1 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12 h</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0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146 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389 h</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160" w:right="0" w:firstLine="0"/>
              <w:jc w:val="left"/>
              <w:rPr>
                <w:sz w:val="12"/>
                <w:szCs w:val="12"/>
              </w:rPr>
            </w:pPr>
            <w:r>
              <w:rPr>
                <w:rStyle w:val="CharStyle6"/>
                <w:b/>
                <w:bCs/>
                <w:color w:val="006AB4"/>
                <w:sz w:val="12"/>
                <w:szCs w:val="12"/>
              </w:rPr>
              <w:t>0 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105 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623 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1 085 h</w:t>
            </w:r>
          </w:p>
        </w:tc>
      </w:tr>
    </w:tbl>
    <w:p>
      <w:pPr>
        <w:widowControl w:val="0"/>
        <w:spacing w:after="359" w:line="1" w:lineRule="exact"/>
      </w:pPr>
    </w:p>
    <w:p>
      <w:pPr>
        <w:widowControl w:val="0"/>
        <w:spacing w:line="1" w:lineRule="exact"/>
      </w:pP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6.2 Hodnoty EENS pro jednotlivé scénáře v jednotlivých letech</w:t>
      </w:r>
    </w:p>
    <w:tbl>
      <w:tblPr>
        <w:tblOverlap w:val="never"/>
        <w:jc w:val="left"/>
        <w:tblLayout w:type="fixed"/>
      </w:tblPr>
      <w:tblGrid>
        <w:gridCol w:w="1430"/>
        <w:gridCol w:w="1430"/>
        <w:gridCol w:w="1430"/>
        <w:gridCol w:w="1430"/>
        <w:gridCol w:w="1435"/>
      </w:tblGrid>
      <w:tr>
        <w:trPr>
          <w:trHeight w:val="34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32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40"/>
              <w:jc w:val="left"/>
              <w:rPr>
                <w:sz w:val="12"/>
                <w:szCs w:val="12"/>
              </w:rPr>
            </w:pPr>
            <w:r>
              <w:rPr>
                <w:rStyle w:val="CharStyle6"/>
                <w:b/>
                <w:bCs/>
                <w:color w:val="006AB4"/>
                <w:sz w:val="12"/>
                <w:szCs w:val="12"/>
              </w:rPr>
              <w:t>0,4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0,9 GWh</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40"/>
              <w:jc w:val="left"/>
              <w:rPr>
                <w:sz w:val="12"/>
                <w:szCs w:val="12"/>
              </w:rPr>
            </w:pPr>
            <w:r>
              <w:rPr>
                <w:rStyle w:val="CharStyle6"/>
                <w:b/>
                <w:bCs/>
                <w:color w:val="006AB4"/>
                <w:sz w:val="12"/>
                <w:szCs w:val="12"/>
              </w:rPr>
              <w:t>0,6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0,7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13,0 GWh</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0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40"/>
              <w:jc w:val="left"/>
              <w:rPr>
                <w:sz w:val="12"/>
                <w:szCs w:val="12"/>
              </w:rPr>
            </w:pPr>
            <w:r>
              <w:rPr>
                <w:rStyle w:val="CharStyle6"/>
                <w:b/>
                <w:bCs/>
                <w:color w:val="006AB4"/>
                <w:sz w:val="12"/>
                <w:szCs w:val="12"/>
              </w:rPr>
              <w:t>1,2 GWh</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305 GWh</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798 GWh</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60"/>
              <w:jc w:val="left"/>
              <w:rPr>
                <w:sz w:val="12"/>
                <w:szCs w:val="12"/>
              </w:rPr>
            </w:pPr>
            <w:r>
              <w:rPr>
                <w:rStyle w:val="CharStyle6"/>
                <w:b/>
                <w:bCs/>
                <w:color w:val="006AB4"/>
                <w:sz w:val="12"/>
                <w:szCs w:val="12"/>
              </w:rPr>
              <w:t>0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83,5 GWh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985 GWh</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2 676 GWh</w:t>
            </w:r>
          </w:p>
        </w:tc>
      </w:tr>
    </w:tbl>
    <w:p>
      <w:pPr>
        <w:widowControl w:val="0"/>
        <w:spacing w:after="359" w:line="1" w:lineRule="exact"/>
      </w:pPr>
    </w:p>
    <w:p>
      <w:pPr>
        <w:pStyle w:val="Style19"/>
        <w:keepNext w:val="0"/>
        <w:keepLines w:val="0"/>
        <w:widowControl w:val="0"/>
        <w:shd w:val="clear" w:color="auto" w:fill="auto"/>
        <w:bidi w:val="0"/>
        <w:spacing w:before="0"/>
        <w:ind w:left="0" w:right="0" w:firstLine="0"/>
        <w:jc w:val="left"/>
      </w:pPr>
      <w:r>
        <w:rPr>
          <w:rStyle w:val="CharStyle20"/>
        </w:rPr>
        <w:t>Z Tab. 6.1 a Tab. 6.2 jednoznačně vyplývá, že u Respondentního a Konzervativního scénáře nedochází z pohledu LOLE k nestandartním situacím a z pohledu EENS taktéž nejsou indikovány žádné významné komplikace. V případě Progresivního scénáře (odklon od uhlí k roku 2033) a Dekarbonizačního scénáře (odklon od uhlí k roku 2030) nebudeme schopni dosáhnout uspokojivých hodnot LOLE za předpokladu, že nebude realizováno dozdrojování (viz kapitola 6.4.3). Chybějící energie v případě Konzervativního a Respondentního scénáře nedosahuje v jednotlivých letech vysokých hodnot. Naopak v případě Progresivního a Dekarbonizačního scénáře chybějící energie již dosahuje velmi vysokých hodnot.</w:t>
      </w:r>
    </w:p>
    <w:p>
      <w:pPr>
        <w:pStyle w:val="Style27"/>
        <w:keepNext/>
        <w:keepLines/>
        <w:widowControl w:val="0"/>
        <w:numPr>
          <w:ilvl w:val="2"/>
          <w:numId w:val="35"/>
        </w:numPr>
        <w:shd w:val="clear" w:color="auto" w:fill="auto"/>
        <w:tabs>
          <w:tab w:pos="567" w:val="left"/>
        </w:tabs>
        <w:bidi w:val="0"/>
        <w:spacing w:before="0" w:after="0"/>
        <w:ind w:left="0" w:right="0" w:firstLine="0"/>
        <w:jc w:val="left"/>
      </w:pPr>
      <w:bookmarkStart w:id="251" w:name="bookmark251"/>
      <w:r>
        <w:rPr>
          <w:rStyle w:val="CharStyle28"/>
          <w:b/>
          <w:bCs/>
        </w:rPr>
        <w:t>ÚTLUM UHELNÝCH ZDROJŮ</w:t>
      </w:r>
      <w:bookmarkEnd w:id="251"/>
    </w:p>
    <w:p>
      <w:pPr>
        <w:pStyle w:val="Style19"/>
        <w:keepNext w:val="0"/>
        <w:keepLines w:val="0"/>
        <w:widowControl w:val="0"/>
        <w:shd w:val="clear" w:color="auto" w:fill="auto"/>
        <w:bidi w:val="0"/>
        <w:spacing w:before="0" w:after="300"/>
        <w:ind w:left="0" w:right="0" w:firstLine="0"/>
        <w:jc w:val="left"/>
        <w:sectPr>
          <w:footnotePr>
            <w:pos w:val="pageBottom"/>
            <w:numFmt w:val="decimal"/>
            <w:numRestart w:val="continuous"/>
          </w:footnotePr>
          <w:pgSz w:w="12142" w:h="17375"/>
          <w:pgMar w:top="1276" w:right="834" w:bottom="1276" w:left="834" w:header="0" w:footer="3" w:gutter="682"/>
          <w:cols w:space="720"/>
          <w:noEndnote/>
          <w:rtlGutter w:val="0"/>
          <w:docGrid w:linePitch="360"/>
        </w:sectPr>
      </w:pPr>
      <w:r>
        <w:rPr>
          <w:rStyle w:val="CharStyle20"/>
        </w:rPr>
        <w:t>Na následujícím grafu jsou znázorněny křivky útlumu netto instalovaného výkonu uhelných zdrojů (jak velké zdroje, tak i závodní energetiky a teplárny) pro jednotlivé scénáře. V případě Respondentního scénáře se předpokládá, že i po roce 2040 budou v provozu některé uhelné zdroje. U Konzervativního scénáře je odklon uhlí stanoven k roku 2038. V Progresivním scénáři se předpokládá, že česká energetika bude bezuhelná již v roce 2033. A případě Dekarbonizačního scénáře je stanoven nejoptimističtější cíl, a to odklon od uhlí k roku 2030.</w:t>
      </w:r>
    </w:p>
    <w:p>
      <w:pPr>
        <w:pStyle w:val="Style15"/>
        <w:keepNext/>
        <w:keepLines/>
        <w:widowControl w:val="0"/>
        <w:shd w:val="clear" w:color="auto" w:fill="auto"/>
        <w:bidi w:val="0"/>
        <w:spacing w:before="0" w:after="0" w:line="300" w:lineRule="auto"/>
        <w:ind w:left="0" w:right="0" w:firstLine="0"/>
        <w:jc w:val="left"/>
      </w:pPr>
      <w:bookmarkStart w:id="253" w:name="bookmark253"/>
      <w:r>
        <w:rPr>
          <w:rStyle w:val="CharStyle16"/>
          <w:b/>
          <w:bCs/>
        </w:rPr>
        <w:t>Obr. 6.34 Výhled útlumu uhlí (netto instalovaný výkon) dle Progresivního, Konzervativního, Respondentního a Dekarbonizačního scénáře</w:t>
      </w:r>
      <w:bookmarkEnd w:id="253"/>
    </w:p>
    <w:p>
      <w:pPr>
        <w:widowControl w:val="0"/>
        <w:spacing w:line="1" w:lineRule="exact"/>
        <w:sectPr>
          <w:footnotePr>
            <w:pos w:val="pageBottom"/>
            <w:numFmt w:val="decimal"/>
            <w:numRestart w:val="continuous"/>
          </w:footnotePr>
          <w:pgSz w:w="12142" w:h="17375"/>
          <w:pgMar w:top="1199" w:right="839" w:bottom="3370" w:left="839" w:header="0" w:footer="3" w:gutter="672"/>
          <w:cols w:space="720"/>
          <w:noEndnote/>
          <w:rtlGutter w:val="0"/>
          <w:docGrid w:linePitch="360"/>
        </w:sectPr>
      </w:pPr>
      <w:r>
        <w:drawing>
          <wp:anchor distT="415925" distB="1042670" distL="0" distR="0" simplePos="0" relativeHeight="125829502" behindDoc="0" locked="0" layoutInCell="1" allowOverlap="1">
            <wp:simplePos x="0" y="0"/>
            <wp:positionH relativeFrom="margin">
              <wp:posOffset>-6350</wp:posOffset>
            </wp:positionH>
            <wp:positionV relativeFrom="paragraph">
              <wp:posOffset>415925</wp:posOffset>
            </wp:positionV>
            <wp:extent cx="140335" cy="1322705"/>
            <wp:wrapTopAndBottom/>
            <wp:docPr id="497" name="Shape 497"/>
            <a:graphic xmlns:a="http://schemas.openxmlformats.org/drawingml/2006/main">
              <a:graphicData uri="http://schemas.openxmlformats.org/drawingml/2006/picture">
                <pic:pic xmlns:pic="http://schemas.openxmlformats.org/drawingml/2006/picture">
                  <pic:nvPicPr>
                    <pic:cNvPr id="498" name="Picture box 498"/>
                    <pic:cNvPicPr/>
                  </pic:nvPicPr>
                  <pic:blipFill>
                    <a:blip r:embed="rId315"/>
                    <a:stretch/>
                  </pic:blipFill>
                  <pic:spPr>
                    <a:xfrm>
                      <a:ext cx="140335" cy="1322705"/>
                    </a:xfrm>
                    <a:prstGeom prst="rect"/>
                  </pic:spPr>
                </pic:pic>
              </a:graphicData>
            </a:graphic>
          </wp:anchor>
        </w:drawing>
      </w:r>
      <w:r>
        <w:drawing>
          <wp:anchor distT="38100" distB="527050" distL="0" distR="0" simplePos="0" relativeHeight="125829503" behindDoc="0" locked="0" layoutInCell="1" allowOverlap="1">
            <wp:simplePos x="0" y="0"/>
            <wp:positionH relativeFrom="margin">
              <wp:posOffset>459740</wp:posOffset>
            </wp:positionH>
            <wp:positionV relativeFrom="paragraph">
              <wp:posOffset>38100</wp:posOffset>
            </wp:positionV>
            <wp:extent cx="5754370" cy="2212975"/>
            <wp:wrapTopAndBottom/>
            <wp:docPr id="499" name="Shape 499"/>
            <a:graphic xmlns:a="http://schemas.openxmlformats.org/drawingml/2006/main">
              <a:graphicData uri="http://schemas.openxmlformats.org/drawingml/2006/picture">
                <pic:pic xmlns:pic="http://schemas.openxmlformats.org/drawingml/2006/picture">
                  <pic:nvPicPr>
                    <pic:cNvPr id="500" name="Picture box 500"/>
                    <pic:cNvPicPr/>
                  </pic:nvPicPr>
                  <pic:blipFill>
                    <a:blip r:embed="rId317"/>
                    <a:stretch/>
                  </pic:blipFill>
                  <pic:spPr>
                    <a:xfrm>
                      <a:ext cx="5754370" cy="2212975"/>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margin">
                  <wp:posOffset>920115</wp:posOffset>
                </wp:positionH>
                <wp:positionV relativeFrom="paragraph">
                  <wp:posOffset>2479675</wp:posOffset>
                </wp:positionV>
                <wp:extent cx="3459480" cy="298450"/>
                <wp:wrapNone/>
                <wp:docPr id="501" name="Shape 501"/>
                <a:graphic xmlns:a="http://schemas.openxmlformats.org/drawingml/2006/main">
                  <a:graphicData uri="http://schemas.microsoft.com/office/word/2010/wordprocessingShape">
                    <wps:wsp>
                      <wps:cNvSpPr txBox="1"/>
                      <wps:spPr>
                        <a:xfrm>
                          <a:ext cx="3459480" cy="298450"/>
                        </a:xfrm>
                        <a:prstGeom prst="rect"/>
                        <a:noFill/>
                      </wps:spPr>
                      <wps:txbx>
                        <w:txbxContent>
                          <w:p>
                            <w:pPr>
                              <w:pStyle w:val="Style2"/>
                              <w:keepNext w:val="0"/>
                              <w:keepLines w:val="0"/>
                              <w:widowControl w:val="0"/>
                              <w:shd w:val="clear" w:color="auto" w:fill="auto"/>
                              <w:tabs>
                                <w:tab w:pos="3034" w:val="left"/>
                              </w:tabs>
                              <w:bidi w:val="0"/>
                              <w:spacing w:before="0" w:after="60" w:line="240" w:lineRule="auto"/>
                              <w:ind w:left="0" w:right="0" w:firstLine="0"/>
                              <w:jc w:val="left"/>
                              <w:rPr>
                                <w:sz w:val="16"/>
                                <w:szCs w:val="16"/>
                              </w:rPr>
                            </w:pPr>
                            <w:r>
                              <w:rPr>
                                <w:rStyle w:val="CharStyle3"/>
                                <w:color w:val="000000"/>
                                <w:sz w:val="16"/>
                                <w:szCs w:val="16"/>
                              </w:rPr>
                              <w:t>Respondentní scénář</w:t>
                              <w:tab/>
                            </w:r>
                            <w:r>
                              <w:rPr>
                                <w:rStyle w:val="CharStyle3"/>
                                <w:color w:val="27A851"/>
                                <w:sz w:val="16"/>
                                <w:szCs w:val="16"/>
                              </w:rPr>
                              <w:t>—</w:t>
                            </w:r>
                            <w:r>
                              <w:rPr>
                                <w:rStyle w:val="CharStyle3"/>
                                <w:color w:val="000000"/>
                                <w:sz w:val="16"/>
                                <w:szCs w:val="16"/>
                              </w:rPr>
                              <w:t>Progresivní scénář</w:t>
                            </w:r>
                          </w:p>
                          <w:p>
                            <w:pPr>
                              <w:pStyle w:val="Style2"/>
                              <w:keepNext w:val="0"/>
                              <w:keepLines w:val="0"/>
                              <w:widowControl w:val="0"/>
                              <w:shd w:val="clear" w:color="auto" w:fill="auto"/>
                              <w:tabs>
                                <w:tab w:pos="3034" w:val="left"/>
                              </w:tabs>
                              <w:bidi w:val="0"/>
                              <w:spacing w:before="0" w:after="0" w:line="240" w:lineRule="auto"/>
                              <w:ind w:left="0" w:right="0" w:firstLine="0"/>
                              <w:jc w:val="left"/>
                              <w:rPr>
                                <w:sz w:val="16"/>
                                <w:szCs w:val="16"/>
                              </w:rPr>
                            </w:pPr>
                            <w:r>
                              <w:rPr>
                                <w:rStyle w:val="CharStyle3"/>
                                <w:color w:val="000000"/>
                                <w:sz w:val="16"/>
                                <w:szCs w:val="16"/>
                              </w:rPr>
                              <w:t>Konzervativní scénář</w:t>
                              <w:tab/>
                            </w:r>
                            <w:r>
                              <w:rPr>
                                <w:rStyle w:val="CharStyle3"/>
                                <w:color w:val="FED851"/>
                                <w:sz w:val="16"/>
                                <w:szCs w:val="16"/>
                              </w:rPr>
                              <w:t>—</w:t>
                            </w:r>
                            <w:r>
                              <w:rPr>
                                <w:rStyle w:val="CharStyle3"/>
                                <w:color w:val="000000"/>
                                <w:sz w:val="16"/>
                                <w:szCs w:val="16"/>
                              </w:rPr>
                              <w:t>Dekarbonizační scénář</w:t>
                            </w:r>
                          </w:p>
                        </w:txbxContent>
                      </wps:txbx>
                      <wps:bodyPr lIns="0" tIns="0" rIns="0" bIns="0">
                        <a:noAutoFit/>
                      </wps:bodyPr>
                    </wps:wsp>
                  </a:graphicData>
                </a:graphic>
              </wp:anchor>
            </w:drawing>
          </mc:Choice>
          <mc:Fallback>
            <w:pict>
              <v:shape id="_x0000_s1527" type="#_x0000_t202" style="position:absolute;margin-left:72.450000000000003pt;margin-top:195.25pt;width:272.39999999999998pt;height:23.5pt;z-index:251657815;mso-wrap-distance-left:0;mso-wrap-distance-right:0;mso-position-horizontal-relative:margin" filled="f" stroked="f">
                <v:textbox inset="0,0,0,0">
                  <w:txbxContent>
                    <w:p>
                      <w:pPr>
                        <w:pStyle w:val="Style2"/>
                        <w:keepNext w:val="0"/>
                        <w:keepLines w:val="0"/>
                        <w:widowControl w:val="0"/>
                        <w:shd w:val="clear" w:color="auto" w:fill="auto"/>
                        <w:tabs>
                          <w:tab w:pos="3034" w:val="left"/>
                        </w:tabs>
                        <w:bidi w:val="0"/>
                        <w:spacing w:before="0" w:after="60" w:line="240" w:lineRule="auto"/>
                        <w:ind w:left="0" w:right="0" w:firstLine="0"/>
                        <w:jc w:val="left"/>
                        <w:rPr>
                          <w:sz w:val="16"/>
                          <w:szCs w:val="16"/>
                        </w:rPr>
                      </w:pPr>
                      <w:r>
                        <w:rPr>
                          <w:rStyle w:val="CharStyle3"/>
                          <w:color w:val="000000"/>
                          <w:sz w:val="16"/>
                          <w:szCs w:val="16"/>
                        </w:rPr>
                        <w:t>Respondentní scénář</w:t>
                        <w:tab/>
                      </w:r>
                      <w:r>
                        <w:rPr>
                          <w:rStyle w:val="CharStyle3"/>
                          <w:color w:val="27A851"/>
                          <w:sz w:val="16"/>
                          <w:szCs w:val="16"/>
                        </w:rPr>
                        <w:t>—</w:t>
                      </w:r>
                      <w:r>
                        <w:rPr>
                          <w:rStyle w:val="CharStyle3"/>
                          <w:color w:val="000000"/>
                          <w:sz w:val="16"/>
                          <w:szCs w:val="16"/>
                        </w:rPr>
                        <w:t>Progresivní scénář</w:t>
                      </w:r>
                    </w:p>
                    <w:p>
                      <w:pPr>
                        <w:pStyle w:val="Style2"/>
                        <w:keepNext w:val="0"/>
                        <w:keepLines w:val="0"/>
                        <w:widowControl w:val="0"/>
                        <w:shd w:val="clear" w:color="auto" w:fill="auto"/>
                        <w:tabs>
                          <w:tab w:pos="3034" w:val="left"/>
                        </w:tabs>
                        <w:bidi w:val="0"/>
                        <w:spacing w:before="0" w:after="0" w:line="240" w:lineRule="auto"/>
                        <w:ind w:left="0" w:right="0" w:firstLine="0"/>
                        <w:jc w:val="left"/>
                        <w:rPr>
                          <w:sz w:val="16"/>
                          <w:szCs w:val="16"/>
                        </w:rPr>
                      </w:pPr>
                      <w:r>
                        <w:rPr>
                          <w:rStyle w:val="CharStyle3"/>
                          <w:color w:val="000000"/>
                          <w:sz w:val="16"/>
                          <w:szCs w:val="16"/>
                        </w:rPr>
                        <w:t>Konzervativní scénář</w:t>
                        <w:tab/>
                      </w:r>
                      <w:r>
                        <w:rPr>
                          <w:rStyle w:val="CharStyle3"/>
                          <w:color w:val="FED851"/>
                          <w:sz w:val="16"/>
                          <w:szCs w:val="16"/>
                        </w:rPr>
                        <w:t>—</w:t>
                      </w:r>
                      <w:r>
                        <w:rPr>
                          <w:rStyle w:val="CharStyle3"/>
                          <w:color w:val="000000"/>
                          <w:sz w:val="16"/>
                          <w:szCs w:val="16"/>
                        </w:rPr>
                        <w:t>Dekarbonizační scénář</w:t>
                      </w:r>
                    </w:p>
                  </w:txbxContent>
                </v:textbox>
                <w10:wrap anchorx="margin"/>
              </v:shape>
            </w:pict>
          </mc:Fallback>
        </mc:AlternateContent>
      </w:r>
    </w:p>
    <w:p>
      <w:pPr>
        <w:widowControl w:val="0"/>
        <w:spacing w:line="69" w:lineRule="exact"/>
        <w:rPr>
          <w:sz w:val="6"/>
          <w:szCs w:val="6"/>
        </w:rPr>
      </w:pPr>
    </w:p>
    <w:p>
      <w:pPr>
        <w:widowControl w:val="0"/>
        <w:spacing w:line="1" w:lineRule="exact"/>
        <w:sectPr>
          <w:footnotePr>
            <w:pos w:val="pageBottom"/>
            <w:numFmt w:val="decimal"/>
            <w:numRestart w:val="continuous"/>
          </w:footnotePr>
          <w:type w:val="continuous"/>
          <w:pgSz w:w="12142" w:h="17375"/>
          <w:pgMar w:top="1250" w:right="0" w:bottom="1802" w:left="0" w:header="0" w:footer="3" w:gutter="0"/>
          <w:cols w:space="720"/>
          <w:noEndnote/>
          <w:rtlGutter w:val="0"/>
          <w:docGrid w:linePitch="360"/>
        </w:sectPr>
      </w:pPr>
    </w:p>
    <w:p>
      <w:pPr>
        <w:pStyle w:val="Style68"/>
        <w:keepNext w:val="0"/>
        <w:keepLines w:val="0"/>
        <w:widowControl w:val="0"/>
        <w:shd w:val="clear" w:color="auto" w:fill="auto"/>
        <w:tabs>
          <w:tab w:pos="7476" w:val="left"/>
        </w:tabs>
        <w:bidi w:val="0"/>
        <w:spacing w:before="0" w:after="320" w:line="240" w:lineRule="auto"/>
        <w:ind w:left="4860" w:right="0" w:firstLine="0"/>
        <w:jc w:val="both"/>
      </w:pPr>
      <w:r>
        <w:rPr>
          <w:rStyle w:val="CharStyle69"/>
        </w:rPr>
        <w:t>I</w:t>
        <w:tab/>
        <w:t>I</w:t>
      </w:r>
    </w:p>
    <w:p>
      <w:pPr>
        <w:pStyle w:val="Style27"/>
        <w:keepNext/>
        <w:keepLines/>
        <w:widowControl w:val="0"/>
        <w:numPr>
          <w:ilvl w:val="2"/>
          <w:numId w:val="35"/>
        </w:numPr>
        <w:shd w:val="clear" w:color="auto" w:fill="auto"/>
        <w:tabs>
          <w:tab w:pos="3197" w:val="left"/>
        </w:tabs>
        <w:bidi w:val="0"/>
        <w:spacing w:before="0" w:after="0"/>
        <w:ind w:left="2620" w:right="0" w:firstLine="0"/>
        <w:jc w:val="left"/>
      </w:pPr>
      <w:bookmarkStart w:id="255" w:name="bookmark255"/>
      <w:r>
        <w:rPr>
          <w:rStyle w:val="CharStyle28"/>
          <w:b/>
          <w:bCs/>
        </w:rPr>
        <w:t>DOZDROJOVÁNÍ</w:t>
      </w:r>
      <w:bookmarkEnd w:id="255"/>
    </w:p>
    <w:p>
      <w:pPr>
        <w:pStyle w:val="Style19"/>
        <w:keepNext w:val="0"/>
        <w:keepLines w:val="0"/>
        <w:widowControl w:val="0"/>
        <w:shd w:val="clear" w:color="auto" w:fill="auto"/>
        <w:bidi w:val="0"/>
        <w:spacing w:before="0"/>
        <w:ind w:left="2620" w:right="0" w:firstLine="0"/>
        <w:jc w:val="left"/>
      </w:pPr>
      <w:r>
        <w:rPr>
          <w:rStyle w:val="CharStyle20"/>
        </w:rPr>
        <w:t>Z výsledků shrnutých v kapitole 6.4.1 je patrné, že v případě, že chceme dosáhnout zdrojové přiměřenosti je potřeba provést dozdrojování. Pro potřeby tohoto dokumentu byly provedeny následující dvě varianty dozdrojování:</w:t>
      </w:r>
    </w:p>
    <w:p>
      <w:pPr>
        <w:pStyle w:val="Style19"/>
        <w:keepNext w:val="0"/>
        <w:keepLines w:val="0"/>
        <w:widowControl w:val="0"/>
        <w:numPr>
          <w:ilvl w:val="0"/>
          <w:numId w:val="37"/>
        </w:numPr>
        <w:shd w:val="clear" w:color="auto" w:fill="auto"/>
        <w:tabs>
          <w:tab w:pos="2889" w:val="left"/>
        </w:tabs>
        <w:bidi w:val="0"/>
        <w:spacing w:before="0" w:line="300" w:lineRule="auto"/>
        <w:ind w:left="2860" w:right="0" w:hanging="240"/>
        <w:jc w:val="left"/>
      </w:pPr>
      <w:r>
        <w:rPr>
          <w:rStyle w:val="CharStyle20"/>
        </w:rPr>
        <w:t>Zjednodušeným přístupem na bázi pokrytí celkové EENS novými zdroji je třeba navýšit netto instalovaný výkon v soustavě o následující množství (se zachováním požadavku na maximální importní saldo 20 TWh) pro jednotlivé scénáře a časové řezy:</w:t>
      </w:r>
    </w:p>
    <w:p>
      <w:pPr>
        <w:pStyle w:val="Style15"/>
        <w:keepNext/>
        <w:keepLines/>
        <w:widowControl w:val="0"/>
        <w:shd w:val="clear" w:color="auto" w:fill="auto"/>
        <w:bidi w:val="0"/>
        <w:spacing w:before="0" w:after="160" w:line="300" w:lineRule="auto"/>
        <w:ind w:left="2620" w:right="0" w:firstLine="0"/>
        <w:jc w:val="left"/>
      </w:pPr>
      <w:bookmarkStart w:id="257" w:name="bookmark257"/>
      <w:r>
        <w:rPr>
          <w:rStyle w:val="CharStyle16"/>
          <w:b/>
          <w:bCs/>
        </w:rPr>
        <w:t>Tab. 6.3 Přehled dodatečného netto instalovaného výkonu při maximálním importním saldu 20 TWh</w:t>
      </w:r>
      <w:bookmarkEnd w:id="257"/>
    </w:p>
    <w:tbl>
      <w:tblPr>
        <w:tblOverlap w:val="never"/>
        <w:jc w:val="right"/>
        <w:tblLayout w:type="fixed"/>
      </w:tblPr>
      <w:tblGrid>
        <w:gridCol w:w="1435"/>
        <w:gridCol w:w="1426"/>
        <w:gridCol w:w="1430"/>
        <w:gridCol w:w="1430"/>
        <w:gridCol w:w="1435"/>
      </w:tblGrid>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76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200 MW</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21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246 MW</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699 MW</w:t>
            </w:r>
          </w:p>
        </w:tc>
      </w:tr>
    </w:tbl>
    <w:p>
      <w:pPr>
        <w:widowControl w:val="0"/>
        <w:spacing w:after="479" w:line="1" w:lineRule="exact"/>
      </w:pPr>
    </w:p>
    <w:p>
      <w:pPr>
        <w:pStyle w:val="Style19"/>
        <w:keepNext w:val="0"/>
        <w:keepLines w:val="0"/>
        <w:widowControl w:val="0"/>
        <w:shd w:val="clear" w:color="auto" w:fill="auto"/>
        <w:bidi w:val="0"/>
        <w:spacing w:before="0" w:after="280" w:line="300" w:lineRule="auto"/>
        <w:ind w:left="2620" w:right="0" w:firstLine="0"/>
        <w:jc w:val="left"/>
      </w:pPr>
      <w:bookmarkStart w:id="259" w:name="bookmark259"/>
      <w:r>
        <w:rPr>
          <w:rStyle w:val="CharStyle20"/>
        </w:rPr>
        <w:t>U Progresivního scénáře potřeba dozdrojování nastává od roku 2035. V případě Dekarbonizačního scénáře tato situace nastává již v roce 2030. U doplněných nových zdrojů se obecně počítá s dobou využití 4 000 h bez specifikace konkrétního typu zdroje.</w:t>
      </w:r>
      <w:bookmarkEnd w:id="259"/>
    </w:p>
    <w:p>
      <w:pPr>
        <w:pStyle w:val="Style19"/>
        <w:keepNext w:val="0"/>
        <w:keepLines w:val="0"/>
        <w:widowControl w:val="0"/>
        <w:numPr>
          <w:ilvl w:val="0"/>
          <w:numId w:val="37"/>
        </w:numPr>
        <w:shd w:val="clear" w:color="auto" w:fill="auto"/>
        <w:tabs>
          <w:tab w:pos="279" w:val="left"/>
        </w:tabs>
        <w:bidi w:val="0"/>
        <w:spacing w:before="0"/>
        <w:ind w:left="240" w:right="0" w:hanging="240"/>
        <w:jc w:val="left"/>
      </w:pPr>
      <w:r>
        <w:rPr>
          <w:rStyle w:val="CharStyle20"/>
        </w:rPr>
        <w:t>V případě požadavků na vyšší energetickou soběstačnost dle ASEK (pokrytí min. 90 % spotřeby tuzemskými zdroji) je na základě výsledků simulací potřeba následující výše dozdrojování.</w:t>
      </w:r>
    </w:p>
    <w:p>
      <w:pPr>
        <w:pStyle w:val="Style15"/>
        <w:keepNext/>
        <w:keepLines/>
        <w:widowControl w:val="0"/>
        <w:shd w:val="clear" w:color="auto" w:fill="auto"/>
        <w:bidi w:val="0"/>
        <w:spacing w:before="0" w:after="160" w:line="300" w:lineRule="auto"/>
        <w:ind w:left="0" w:right="0" w:firstLine="0"/>
        <w:jc w:val="left"/>
      </w:pPr>
      <w:bookmarkStart w:id="260" w:name="bookmark260"/>
      <w:r>
        <w:rPr>
          <w:rStyle w:val="CharStyle16"/>
          <w:b/>
          <w:bCs/>
        </w:rPr>
        <w:t>Tab. 6.4 Přehled dodatečného netto instalovaného výkonu při 90% energetické soběstačnosti.</w:t>
      </w:r>
      <w:bookmarkEnd w:id="260"/>
    </w:p>
    <w:tbl>
      <w:tblPr>
        <w:tblOverlap w:val="never"/>
        <w:jc w:val="left"/>
        <w:tblLayout w:type="fixed"/>
      </w:tblPr>
      <w:tblGrid>
        <w:gridCol w:w="1430"/>
        <w:gridCol w:w="1430"/>
        <w:gridCol w:w="1430"/>
        <w:gridCol w:w="1430"/>
        <w:gridCol w:w="1435"/>
      </w:tblGrid>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1 569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2 934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1 241 MW</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1 562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2 978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1 637 MW</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1 760 MW</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2 818 MW</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2 740 MW</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000"/>
              <w:jc w:val="left"/>
              <w:rPr>
                <w:sz w:val="12"/>
                <w:szCs w:val="12"/>
              </w:rPr>
            </w:pPr>
            <w:r>
              <w:rPr>
                <w:rStyle w:val="CharStyle6"/>
                <w:b/>
                <w:bCs/>
                <w:color w:val="006AB4"/>
                <w:sz w:val="12"/>
                <w:szCs w:val="12"/>
              </w:rPr>
              <w:t>0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2 828 MW</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2 743 MW</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40"/>
              <w:jc w:val="left"/>
              <w:rPr>
                <w:sz w:val="12"/>
                <w:szCs w:val="12"/>
              </w:rPr>
            </w:pPr>
            <w:r>
              <w:rPr>
                <w:rStyle w:val="CharStyle6"/>
                <w:b/>
                <w:bCs/>
                <w:color w:val="006AB4"/>
                <w:sz w:val="12"/>
                <w:szCs w:val="12"/>
              </w:rPr>
              <w:t>2 869 MW</w:t>
            </w:r>
          </w:p>
        </w:tc>
      </w:tr>
    </w:tbl>
    <w:p>
      <w:pPr>
        <w:widowControl w:val="0"/>
        <w:spacing w:after="479" w:line="1" w:lineRule="exact"/>
      </w:pPr>
    </w:p>
    <w:p>
      <w:pPr>
        <w:pStyle w:val="Style19"/>
        <w:keepNext w:val="0"/>
        <w:keepLines w:val="0"/>
        <w:widowControl w:val="0"/>
        <w:shd w:val="clear" w:color="auto" w:fill="auto"/>
        <w:bidi w:val="0"/>
        <w:spacing w:before="0" w:line="300" w:lineRule="auto"/>
        <w:ind w:left="0" w:right="0" w:firstLine="0"/>
        <w:jc w:val="left"/>
      </w:pPr>
      <w:r>
        <w:rPr>
          <w:rStyle w:val="CharStyle20"/>
        </w:rPr>
        <w:t>Jak je patrné z Tab. 6.4, v případě požadavku na 90% energetickou soběstačnost nastává potřeba dozdrojování ve všech scénářích počínaje již rokem 2030.</w:t>
      </w:r>
    </w:p>
    <w:p>
      <w:pPr>
        <w:pStyle w:val="Style27"/>
        <w:keepNext/>
        <w:keepLines/>
        <w:widowControl w:val="0"/>
        <w:numPr>
          <w:ilvl w:val="2"/>
          <w:numId w:val="35"/>
        </w:numPr>
        <w:shd w:val="clear" w:color="auto" w:fill="auto"/>
        <w:tabs>
          <w:tab w:pos="572" w:val="left"/>
        </w:tabs>
        <w:bidi w:val="0"/>
        <w:spacing w:before="0" w:after="0"/>
        <w:ind w:left="0" w:right="0" w:firstLine="0"/>
        <w:jc w:val="left"/>
      </w:pPr>
      <w:bookmarkStart w:id="262" w:name="bookmark262"/>
      <w:r>
        <w:rPr>
          <w:rStyle w:val="CharStyle28"/>
          <w:b/>
          <w:bCs/>
        </w:rPr>
        <w:t>SPOTŘEBA PALIV</w:t>
      </w:r>
      <w:bookmarkEnd w:id="262"/>
    </w:p>
    <w:p>
      <w:pPr>
        <w:pStyle w:val="Style19"/>
        <w:keepNext w:val="0"/>
        <w:keepLines w:val="0"/>
        <w:widowControl w:val="0"/>
        <w:shd w:val="clear" w:color="auto" w:fill="auto"/>
        <w:bidi w:val="0"/>
        <w:spacing w:before="0"/>
        <w:ind w:left="0" w:right="0" w:firstLine="0"/>
        <w:jc w:val="left"/>
      </w:pPr>
      <w:r>
        <w:rPr>
          <w:rStyle w:val="CharStyle20"/>
        </w:rPr>
        <w:t>Jednotlivé zdroje, uvažované v rámci výpočtů prezentovaných v tomto dokumentu, používají pro výrobu elektřiny mix paliv, přičemž jedno z těchto paliv je vždy dominantní, což umožňuje rozdělení výrob zdrojů do příslušných kategorií a zjednodušení výpočtů. Ve snaze co nejkomplexněji určit potřebu paliv napříč jednotlivými scénáři a časovými řezy je však nutné takové zjednodušení opustit. Na základě výsledků simulací a předpokladu, že v následujících letech zůstane zachován poměr paliv v palivovém mixu na úrovni roku 2021 (pokud provozovatelé jednotlivých zdrojů neoznámili záměr změny paliva), byl stanoven odhad spotřeby v různých kategorií paliv pro všechny scénáře a jednotlivé cílové roky.</w:t>
      </w:r>
    </w:p>
    <w:p>
      <w:pPr>
        <w:pStyle w:val="Style19"/>
        <w:keepNext w:val="0"/>
        <w:keepLines w:val="0"/>
        <w:widowControl w:val="0"/>
        <w:shd w:val="clear" w:color="auto" w:fill="auto"/>
        <w:bidi w:val="0"/>
        <w:spacing w:before="0" w:after="0"/>
        <w:ind w:left="0" w:right="0" w:firstLine="0"/>
        <w:jc w:val="left"/>
      </w:pPr>
      <w:r>
        <w:rPr>
          <w:rStyle w:val="CharStyle20"/>
          <w:b/>
          <w:bCs/>
          <w:color w:val="006AB4"/>
        </w:rPr>
        <w:t>HNĚDÉ A ČERNÉ UHLÍ</w:t>
      </w:r>
    </w:p>
    <w:p>
      <w:pPr>
        <w:pStyle w:val="Style19"/>
        <w:keepNext w:val="0"/>
        <w:keepLines w:val="0"/>
        <w:widowControl w:val="0"/>
        <w:shd w:val="clear" w:color="auto" w:fill="auto"/>
        <w:bidi w:val="0"/>
        <w:spacing w:before="0"/>
        <w:ind w:left="0" w:right="0" w:firstLine="0"/>
        <w:jc w:val="left"/>
      </w:pPr>
      <w:r>
        <w:rPr>
          <w:rStyle w:val="CharStyle20"/>
        </w:rPr>
        <w:t>Tuzemská těžba hnědého uhlí je dostatečná pro pokrytí energetických potřeb ČR. V Sokolovské a Severočeské pánvi se stále nacházejí významné zásoby hnědého uhlí, jeho dobývání je však omezeno usnesením vlády z roku 1991 o územních limitech těžby. Vzhledem k tomu, že nepředpokládáme prolomení těžebních limitů, bude na většině aktivních dolů docházet k postupnému útlumu těžby, a ložiska tak zůstanou nevyužita.</w:t>
      </w:r>
    </w:p>
    <w:p>
      <w:pPr>
        <w:pStyle w:val="Style19"/>
        <w:keepNext w:val="0"/>
        <w:keepLines w:val="0"/>
        <w:widowControl w:val="0"/>
        <w:shd w:val="clear" w:color="auto" w:fill="auto"/>
        <w:bidi w:val="0"/>
        <w:spacing w:before="0"/>
        <w:ind w:left="0" w:right="0" w:firstLine="0"/>
        <w:jc w:val="left"/>
      </w:pPr>
      <w:r>
        <w:rPr>
          <w:rStyle w:val="CharStyle20"/>
        </w:rPr>
        <w:t>V roce 2030 se u všech scénářů s výjimkou Dekarbonizačního scénáře předpokládá pokles spotřeby hnědého uhlí o 67 % oproti roku 2025. V případě Dekarbonizačního scénáře dochází k odstavení uhelných elektráren před rokem 2030, a nebude tak potřeba žádné hnědé ani černé uhlí. Spotřeba uhlí v Konzervativním scénáři klesá hlavně v roce 2035, kdy se ve srovnání s rokem 2030 spotřebuje o 81,9 % uhlí méně. Respondentní scénář, v němž se dle provozovatelů zdrojů předpokládá výroba elektřiny z uhlí i po roce 2040, počítá s potřebou hnědého uhlí v minimální výši 1,5 mil. tun, a to v roce 2040.</w:t>
      </w:r>
    </w:p>
    <w:p>
      <w:pPr>
        <w:pStyle w:val="Style19"/>
        <w:keepNext w:val="0"/>
        <w:keepLines w:val="0"/>
        <w:widowControl w:val="0"/>
        <w:shd w:val="clear" w:color="auto" w:fill="auto"/>
        <w:bidi w:val="0"/>
        <w:spacing w:before="0"/>
        <w:ind w:left="0" w:right="0" w:firstLine="0"/>
        <w:jc w:val="left"/>
        <w:sectPr>
          <w:footnotePr>
            <w:pos w:val="pageBottom"/>
            <w:numFmt w:val="decimal"/>
            <w:numRestart w:val="continuous"/>
          </w:footnotePr>
          <w:type w:val="continuous"/>
          <w:pgSz w:w="12142" w:h="17375"/>
          <w:pgMar w:top="1250" w:right="832" w:bottom="1802" w:left="832" w:header="0" w:footer="3" w:gutter="686"/>
          <w:cols w:space="720"/>
          <w:noEndnote/>
          <w:rtlGutter w:val="0"/>
          <w:docGrid w:linePitch="360"/>
        </w:sectPr>
      </w:pPr>
      <w:r>
        <w:rPr>
          <w:rStyle w:val="CharStyle20"/>
        </w:rPr>
        <w:t>Těžba černého uhlí v současnosti probíhá pouze v karvinské části Ostravsko-karvinské pánve. V roce 2030 dojde oproti roku 2025 k poklesu spotřeby černého uhlí o cca 100 až 200 tis. t černého uhlí, a celková spotřeba tak bude v roce 2030 činit cca 1 mil. t černého uhlí. Stejně jako v případě hnědého uhlí se v Respondentním scénáři předpokládá potřeba černého uhlí i po roce 2040, a to minimálně ve výši 0,5 mil. tun. V důsledku úplného útlumu těžby černého uhlí v ČR (do roku 2025) bude pro pokrytí energetických potřeb ČR nutné dovážet černé uhlí ze zahraničí (především z Polska a ze zámoří). Dovoz černého uhlí bude tedy nutné zvýšit se současných 29 % na 100 % jeho celkové spotřeby v elektroenergetice.</w:t>
      </w:r>
    </w:p>
    <w:p>
      <w:pPr>
        <w:pStyle w:val="Style15"/>
        <w:keepNext/>
        <w:keepLines/>
        <w:framePr w:w="7138" w:h="240" w:wrap="none" w:hAnchor="page" w:x="1517" w:y="932"/>
        <w:widowControl w:val="0"/>
        <w:shd w:val="clear" w:color="auto" w:fill="auto"/>
        <w:bidi w:val="0"/>
        <w:spacing w:before="0" w:after="0" w:line="240" w:lineRule="auto"/>
        <w:ind w:left="0" w:right="0" w:firstLine="0"/>
        <w:jc w:val="left"/>
      </w:pPr>
      <w:bookmarkStart w:id="264" w:name="bookmark264"/>
      <w:r>
        <w:rPr>
          <w:rStyle w:val="CharStyle16"/>
          <w:b/>
          <w:bCs/>
        </w:rPr>
        <w:t>Obr. 6.35 Odhad spotřeby a) hnědého uhlí a b) černého uhlí pro období 2025-2040</w:t>
      </w:r>
      <w:bookmarkEnd w:id="264"/>
    </w:p>
    <w:p>
      <w:pPr>
        <w:pStyle w:val="Style2"/>
        <w:keepNext w:val="0"/>
        <w:keepLines w:val="0"/>
        <w:framePr w:w="1613" w:h="470" w:wrap="none" w:hAnchor="page" w:x="3015" w:y="5665"/>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framePr w:w="1613" w:h="470" w:wrap="none" w:hAnchor="page" w:x="3015" w:y="5665"/>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p>
      <w:pPr>
        <w:pStyle w:val="Style2"/>
        <w:keepNext w:val="0"/>
        <w:keepLines w:val="0"/>
        <w:framePr w:w="1747" w:h="470" w:wrap="none" w:hAnchor="page" w:x="6662" w:y="5665"/>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Progresivní scénář</w:t>
      </w:r>
    </w:p>
    <w:p>
      <w:pPr>
        <w:pStyle w:val="Style2"/>
        <w:keepNext w:val="0"/>
        <w:keepLines w:val="0"/>
        <w:framePr w:w="1747" w:h="470" w:wrap="none" w:hAnchor="page" w:x="6662" w:y="5665"/>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Dekarbonizační scénář</w:t>
      </w:r>
    </w:p>
    <w:p>
      <w:pPr>
        <w:pStyle w:val="Style19"/>
        <w:keepNext w:val="0"/>
        <w:keepLines w:val="0"/>
        <w:framePr w:w="6994" w:h="1344" w:wrap="none" w:hAnchor="page" w:x="4123" w:y="6995"/>
        <w:widowControl w:val="0"/>
        <w:shd w:val="clear" w:color="auto" w:fill="auto"/>
        <w:bidi w:val="0"/>
        <w:spacing w:before="0" w:after="0"/>
        <w:ind w:left="0" w:right="0" w:firstLine="0"/>
        <w:jc w:val="left"/>
      </w:pPr>
      <w:r>
        <w:rPr>
          <w:rStyle w:val="CharStyle20"/>
          <w:b/>
          <w:bCs/>
          <w:color w:val="006AB4"/>
        </w:rPr>
        <w:t>ZEMNÍ PLYN</w:t>
      </w:r>
    </w:p>
    <w:p>
      <w:pPr>
        <w:pStyle w:val="Style19"/>
        <w:keepNext w:val="0"/>
        <w:keepLines w:val="0"/>
        <w:framePr w:w="6994" w:h="1344" w:wrap="none" w:hAnchor="page" w:x="4123" w:y="6995"/>
        <w:widowControl w:val="0"/>
        <w:shd w:val="clear" w:color="auto" w:fill="auto"/>
        <w:bidi w:val="0"/>
        <w:spacing w:before="0" w:after="0"/>
        <w:ind w:left="0" w:right="0" w:firstLine="0"/>
        <w:jc w:val="left"/>
      </w:pPr>
      <w:r>
        <w:rPr>
          <w:rStyle w:val="CharStyle20"/>
        </w:rPr>
        <w:t>V důsledku postupného odklonu od uhlí dochází k nárůstu spotřeby plynu. Tempo nárůstu spotřeby plynu se liší podle toho, k jakému roku je v daném scénáří uvažován odklon od uhlí. Absolutní výše roční spotřeby je taktéž závislá na scénáři spotřeby elektřiny.</w:t>
      </w:r>
    </w:p>
    <w:tbl>
      <w:tblPr>
        <w:tblOverlap w:val="never"/>
        <w:jc w:val="left"/>
        <w:tblLayout w:type="fixed"/>
      </w:tblPr>
      <w:tblGrid>
        <w:gridCol w:w="2621"/>
        <w:gridCol w:w="221"/>
      </w:tblGrid>
      <w:tr>
        <w:trPr>
          <w:trHeight w:val="2107" w:hRule="exact"/>
        </w:trPr>
        <w:tc>
          <w:tcPr>
            <w:tcBorders>
              <w:top w:val="single" w:sz="4"/>
              <w:left w:val="single" w:sz="4"/>
            </w:tcBorders>
            <w:shd w:val="clear" w:color="auto" w:fill="auto"/>
            <w:vAlign w:val="top"/>
          </w:tcPr>
          <w:p>
            <w:pPr>
              <w:framePr w:w="2842" w:h="6331" w:wrap="none" w:hAnchor="page" w:x="1166" w:y="8415"/>
              <w:widowControl w:val="0"/>
              <w:rPr>
                <w:sz w:val="10"/>
                <w:szCs w:val="10"/>
              </w:rPr>
            </w:pPr>
          </w:p>
        </w:tc>
        <w:tc>
          <w:tcPr>
            <w:tcBorders>
              <w:top w:val="single" w:sz="4"/>
              <w:left w:val="single" w:sz="4"/>
            </w:tcBorders>
            <w:shd w:val="clear" w:color="auto" w:fill="auto"/>
            <w:vAlign w:val="top"/>
          </w:tcPr>
          <w:p>
            <w:pPr>
              <w:framePr w:w="2842" w:h="6331" w:wrap="none" w:hAnchor="page" w:x="1166" w:y="8415"/>
              <w:widowControl w:val="0"/>
              <w:rPr>
                <w:sz w:val="10"/>
                <w:szCs w:val="10"/>
              </w:rPr>
            </w:pPr>
          </w:p>
        </w:tc>
      </w:tr>
      <w:tr>
        <w:trPr>
          <w:trHeight w:val="2107" w:hRule="exact"/>
        </w:trPr>
        <w:tc>
          <w:tcPr>
            <w:tcBorders>
              <w:top w:val="single" w:sz="4"/>
              <w:left w:val="single" w:sz="4"/>
            </w:tcBorders>
            <w:shd w:val="clear" w:color="auto" w:fill="auto"/>
            <w:vAlign w:val="top"/>
          </w:tcPr>
          <w:p>
            <w:pPr>
              <w:framePr w:w="2842" w:h="6331" w:wrap="none" w:hAnchor="page" w:x="1166" w:y="8415"/>
              <w:widowControl w:val="0"/>
              <w:rPr>
                <w:sz w:val="10"/>
                <w:szCs w:val="10"/>
              </w:rPr>
            </w:pPr>
          </w:p>
        </w:tc>
        <w:tc>
          <w:tcPr>
            <w:tcBorders>
              <w:top w:val="single" w:sz="4"/>
              <w:left w:val="single" w:sz="4"/>
            </w:tcBorders>
            <w:shd w:val="clear" w:color="auto" w:fill="auto"/>
            <w:vAlign w:val="top"/>
          </w:tcPr>
          <w:p>
            <w:pPr>
              <w:framePr w:w="2842" w:h="6331" w:wrap="none" w:hAnchor="page" w:x="1166" w:y="8415"/>
              <w:widowControl w:val="0"/>
              <w:rPr>
                <w:sz w:val="10"/>
                <w:szCs w:val="10"/>
              </w:rPr>
            </w:pPr>
          </w:p>
        </w:tc>
      </w:tr>
      <w:tr>
        <w:trPr>
          <w:trHeight w:val="2117" w:hRule="exact"/>
        </w:trPr>
        <w:tc>
          <w:tcPr>
            <w:tcBorders>
              <w:top w:val="single" w:sz="4"/>
              <w:left w:val="single" w:sz="4"/>
              <w:bottom w:val="single" w:sz="4"/>
            </w:tcBorders>
            <w:shd w:val="clear" w:color="auto" w:fill="auto"/>
            <w:vAlign w:val="top"/>
          </w:tcPr>
          <w:p>
            <w:pPr>
              <w:framePr w:w="2842" w:h="6331" w:wrap="none" w:hAnchor="page" w:x="1166" w:y="8415"/>
              <w:widowControl w:val="0"/>
              <w:rPr>
                <w:sz w:val="10"/>
                <w:szCs w:val="10"/>
              </w:rPr>
            </w:pPr>
          </w:p>
        </w:tc>
        <w:tc>
          <w:tcPr>
            <w:tcBorders>
              <w:top w:val="single" w:sz="4"/>
              <w:left w:val="single" w:sz="4"/>
              <w:bottom w:val="single" w:sz="4"/>
            </w:tcBorders>
            <w:shd w:val="clear" w:color="auto" w:fill="auto"/>
            <w:vAlign w:val="top"/>
          </w:tcPr>
          <w:p>
            <w:pPr>
              <w:framePr w:w="2842" w:h="6331" w:wrap="none" w:hAnchor="page" w:x="1166" w:y="8415"/>
              <w:widowControl w:val="0"/>
              <w:rPr>
                <w:sz w:val="10"/>
                <w:szCs w:val="10"/>
              </w:rPr>
            </w:pPr>
          </w:p>
        </w:tc>
      </w:tr>
    </w:tbl>
    <w:p>
      <w:pPr>
        <w:framePr w:w="2842" w:h="6331" w:wrap="none" w:hAnchor="page" w:x="1166" w:y="8415"/>
        <w:widowControl w:val="0"/>
        <w:spacing w:line="1" w:lineRule="exact"/>
      </w:pPr>
    </w:p>
    <w:p>
      <w:pPr>
        <w:pStyle w:val="Style19"/>
        <w:keepNext w:val="0"/>
        <w:keepLines w:val="0"/>
        <w:framePr w:w="7138" w:h="835" w:wrap="none" w:hAnchor="page" w:x="4133" w:y="8516"/>
        <w:widowControl w:val="0"/>
        <w:shd w:val="clear" w:color="auto" w:fill="auto"/>
        <w:bidi w:val="0"/>
        <w:spacing w:before="0" w:after="0" w:line="276" w:lineRule="auto"/>
        <w:ind w:left="240" w:right="0" w:hanging="240"/>
        <w:jc w:val="left"/>
      </w:pPr>
      <w:r>
        <w:rPr>
          <w:rStyle w:val="CharStyle20"/>
          <w:color w:val="006AB4"/>
          <w:sz w:val="22"/>
          <w:szCs w:val="22"/>
        </w:rPr>
        <w:t xml:space="preserve">^ </w:t>
      </w:r>
      <w:r>
        <w:rPr>
          <w:rStyle w:val="CharStyle20"/>
        </w:rPr>
        <w:t>U Respondentního scénáře se indikuje setrvalý nárůst spotřeby zemního plynu, a to až do výše necelých 2 mld. m</w:t>
      </w:r>
      <w:r>
        <w:rPr>
          <w:rStyle w:val="CharStyle20"/>
          <w:vertAlign w:val="superscript"/>
        </w:rPr>
        <w:t>3</w:t>
      </w:r>
      <w:r>
        <w:rPr>
          <w:rStyle w:val="CharStyle20"/>
        </w:rPr>
        <w:t xml:space="preserve"> v roce 2040, což odpovídá nárůstu o 55,1 % oproti roku 2025. Kontinuálně rostoucí spotřeba je zapříčiněna následujícími dvěma důvody:</w:t>
      </w:r>
    </w:p>
    <w:p>
      <w:pPr>
        <w:pStyle w:val="Style19"/>
        <w:keepNext w:val="0"/>
        <w:keepLines w:val="0"/>
        <w:framePr w:w="6946" w:h="802" w:wrap="none" w:hAnchor="page" w:x="4354" w:y="9615"/>
        <w:widowControl w:val="0"/>
        <w:shd w:val="clear" w:color="auto" w:fill="auto"/>
        <w:bidi w:val="0"/>
        <w:spacing w:before="0" w:after="0" w:line="300" w:lineRule="auto"/>
        <w:ind w:left="220" w:right="0" w:hanging="220"/>
        <w:jc w:val="left"/>
      </w:pPr>
      <w:r>
        <w:rPr>
          <w:rStyle w:val="CharStyle20"/>
        </w:rPr>
        <w:t>a) Odchod od uhlí je v tomto scénáři nejpomalejší a v roce 2040 je v Respondentním scénáři očekáván provoz určitého množství uhelných zdrojů v souladu s daty poskytnutými provozovateli zdrojů</w:t>
      </w:r>
    </w:p>
    <w:p>
      <w:pPr>
        <w:pStyle w:val="Style19"/>
        <w:keepNext w:val="0"/>
        <w:keepLines w:val="0"/>
        <w:framePr w:w="6950" w:h="552" w:wrap="none" w:hAnchor="page" w:x="4358" w:y="10652"/>
        <w:widowControl w:val="0"/>
        <w:shd w:val="clear" w:color="auto" w:fill="auto"/>
        <w:bidi w:val="0"/>
        <w:spacing w:before="0" w:after="0" w:line="307" w:lineRule="auto"/>
        <w:ind w:left="220" w:right="0" w:hanging="220"/>
        <w:jc w:val="left"/>
      </w:pPr>
      <w:r>
        <w:rPr>
          <w:rStyle w:val="CharStyle20"/>
        </w:rPr>
        <w:t>b) Dochází k navyšování výroby na zdrojích spalujících zemní plyn, ať už jako hlavní nebo vedlejší palivo</w:t>
      </w:r>
    </w:p>
    <w:p>
      <w:pPr>
        <w:pStyle w:val="Style19"/>
        <w:keepNext w:val="0"/>
        <w:keepLines w:val="0"/>
        <w:framePr w:w="7133" w:h="835" w:wrap="none" w:hAnchor="page" w:x="4133" w:y="11377"/>
        <w:widowControl w:val="0"/>
        <w:shd w:val="clear" w:color="auto" w:fill="auto"/>
        <w:bidi w:val="0"/>
        <w:spacing w:before="0" w:after="0" w:line="276" w:lineRule="auto"/>
        <w:ind w:left="240" w:right="0" w:hanging="240"/>
        <w:jc w:val="left"/>
      </w:pPr>
      <w:r>
        <w:rPr>
          <w:rStyle w:val="CharStyle20"/>
          <w:color w:val="006AB4"/>
          <w:sz w:val="22"/>
          <w:szCs w:val="22"/>
        </w:rPr>
        <w:t xml:space="preserve">^ </w:t>
      </w:r>
      <w:r>
        <w:rPr>
          <w:rStyle w:val="CharStyle20"/>
        </w:rPr>
        <w:t>Spotřeba zemního plynu v Konzervativním scénáři má stejně jako v Respondentním scénáři vzestupnou tendenci, a to až do výše 2,6 mld. m</w:t>
      </w:r>
      <w:r>
        <w:rPr>
          <w:rStyle w:val="CharStyle20"/>
          <w:vertAlign w:val="superscript"/>
        </w:rPr>
        <w:t>3</w:t>
      </w:r>
      <w:r>
        <w:rPr>
          <w:rStyle w:val="CharStyle20"/>
        </w:rPr>
        <w:t xml:space="preserve"> (nárůst o 93,6 % oproti roku 2025) v roce 2040</w:t>
      </w:r>
    </w:p>
    <w:p>
      <w:pPr>
        <w:pStyle w:val="Style19"/>
        <w:keepNext w:val="0"/>
        <w:keepLines w:val="0"/>
        <w:framePr w:w="7099" w:h="1373" w:wrap="none" w:hAnchor="page" w:x="4133" w:y="12414"/>
        <w:widowControl w:val="0"/>
        <w:shd w:val="clear" w:color="auto" w:fill="auto"/>
        <w:bidi w:val="0"/>
        <w:spacing w:before="0" w:after="0" w:line="288" w:lineRule="auto"/>
        <w:ind w:left="240" w:right="0" w:hanging="240"/>
        <w:jc w:val="left"/>
      </w:pPr>
      <w:r>
        <w:rPr>
          <w:rStyle w:val="CharStyle20"/>
          <w:color w:val="006AB4"/>
          <w:sz w:val="22"/>
          <w:szCs w:val="22"/>
        </w:rPr>
        <w:t xml:space="preserve">^ </w:t>
      </w:r>
      <w:r>
        <w:rPr>
          <w:rStyle w:val="CharStyle20"/>
        </w:rPr>
        <w:t>V případě Progresivního scénáře vidíme podobný trend vývoje spotřeby zemního plynu jako u Dekarbonizačního scénáře. V Progresivním scénáři pro rok 2035 očekáváme spotřebu zemního plynu ve výši cca 3,5 mld. m</w:t>
      </w:r>
      <w:r>
        <w:rPr>
          <w:rStyle w:val="CharStyle20"/>
          <w:vertAlign w:val="superscript"/>
        </w:rPr>
        <w:t>3</w:t>
      </w:r>
      <w:r>
        <w:rPr>
          <w:rStyle w:val="CharStyle20"/>
        </w:rPr>
        <w:t xml:space="preserve"> (2,5násobný nárůst oproti roku 2025) a poté dochází z důvodu odstavení některých zdrojů k mírnému poklesu spotřeby na 3 mld. m</w:t>
      </w:r>
      <w:r>
        <w:rPr>
          <w:rStyle w:val="CharStyle20"/>
          <w:vertAlign w:val="superscript"/>
        </w:rPr>
        <w:t>3</w:t>
      </w:r>
      <w:r>
        <w:rPr>
          <w:rStyle w:val="CharStyle20"/>
        </w:rPr>
        <w:t xml:space="preserve"> v roce 2040</w:t>
      </w:r>
    </w:p>
    <w:p>
      <w:pPr>
        <w:pStyle w:val="Style19"/>
        <w:keepNext w:val="0"/>
        <w:keepLines w:val="0"/>
        <w:framePr w:w="7142" w:h="1632" w:wrap="none" w:hAnchor="page" w:x="4133" w:y="13974"/>
        <w:widowControl w:val="0"/>
        <w:shd w:val="clear" w:color="auto" w:fill="auto"/>
        <w:bidi w:val="0"/>
        <w:spacing w:before="0" w:after="0" w:line="290" w:lineRule="auto"/>
        <w:ind w:left="240" w:right="0" w:hanging="240"/>
        <w:jc w:val="left"/>
      </w:pPr>
      <w:bookmarkStart w:id="266" w:name="bookmark266"/>
      <w:r>
        <w:rPr>
          <w:rStyle w:val="CharStyle20"/>
          <w:color w:val="006AB4"/>
          <w:sz w:val="22"/>
          <w:szCs w:val="22"/>
        </w:rPr>
        <w:t xml:space="preserve">^ </w:t>
      </w:r>
      <w:r>
        <w:rPr>
          <w:rStyle w:val="CharStyle20"/>
        </w:rPr>
        <w:t>Nejrychlejší tempo růstu spotřeby a zároveň i nejvyšší roční spotřeba plynu se objevuje v Dekarbonizačním scénáři. Největší spotřebu zemního plynu očekáváme v roce 2035, a sice ve výši cca 4 mld. m</w:t>
      </w:r>
      <w:r>
        <w:rPr>
          <w:rStyle w:val="CharStyle20"/>
          <w:vertAlign w:val="superscript"/>
        </w:rPr>
        <w:t>3</w:t>
      </w:r>
      <w:r>
        <w:rPr>
          <w:rStyle w:val="CharStyle20"/>
        </w:rPr>
        <w:t>, což představuje téměř trojnásobné navýšení oproti roku 2025. Naopak v roce 2040 očekáváme pokles spotřeby zemního plynu o 8 %, což je zapříčiněno částečným ukončením provozu elektráren spalujících zemní plyn jako vedlejší palivo</w:t>
      </w:r>
      <w:bookmarkEnd w:id="266"/>
    </w:p>
    <w:p>
      <w:pPr>
        <w:widowControl w:val="0"/>
        <w:spacing w:line="360" w:lineRule="exact"/>
      </w:pPr>
      <w:r>
        <w:drawing>
          <wp:anchor distT="0" distB="438785" distL="0" distR="0" simplePos="0" relativeHeight="62914847" behindDoc="1" locked="0" layoutInCell="1" allowOverlap="1">
            <wp:simplePos x="0" y="0"/>
            <wp:positionH relativeFrom="page">
              <wp:posOffset>977900</wp:posOffset>
            </wp:positionH>
            <wp:positionV relativeFrom="margin">
              <wp:posOffset>1045210</wp:posOffset>
            </wp:positionV>
            <wp:extent cx="2980690" cy="2414270"/>
            <wp:wrapNone/>
            <wp:docPr id="503" name="Shape 503"/>
            <a:graphic xmlns:a="http://schemas.openxmlformats.org/drawingml/2006/main">
              <a:graphicData uri="http://schemas.openxmlformats.org/drawingml/2006/picture">
                <pic:pic xmlns:pic="http://schemas.openxmlformats.org/drawingml/2006/picture">
                  <pic:nvPicPr>
                    <pic:cNvPr id="504" name="Picture box 504"/>
                    <pic:cNvPicPr/>
                  </pic:nvPicPr>
                  <pic:blipFill>
                    <a:blip r:embed="rId319"/>
                    <a:stretch/>
                  </pic:blipFill>
                  <pic:spPr>
                    <a:xfrm>
                      <a:ext cx="2980690" cy="2414270"/>
                    </a:xfrm>
                    <a:prstGeom prst="rect"/>
                  </pic:spPr>
                </pic:pic>
              </a:graphicData>
            </a:graphic>
          </wp:anchor>
        </w:drawing>
      </w:r>
      <w:r>
        <w:drawing>
          <wp:anchor distT="0" distB="438785" distL="0" distR="0" simplePos="0" relativeHeight="62914848" behindDoc="1" locked="0" layoutInCell="1" allowOverlap="1">
            <wp:simplePos x="0" y="0"/>
            <wp:positionH relativeFrom="page">
              <wp:posOffset>4217670</wp:posOffset>
            </wp:positionH>
            <wp:positionV relativeFrom="margin">
              <wp:posOffset>1048385</wp:posOffset>
            </wp:positionV>
            <wp:extent cx="2956560" cy="2407920"/>
            <wp:wrapNone/>
            <wp:docPr id="505" name="Shape 505"/>
            <a:graphic xmlns:a="http://schemas.openxmlformats.org/drawingml/2006/main">
              <a:graphicData uri="http://schemas.openxmlformats.org/drawingml/2006/picture">
                <pic:pic xmlns:pic="http://schemas.openxmlformats.org/drawingml/2006/picture">
                  <pic:nvPicPr>
                    <pic:cNvPr id="506" name="Picture box 506"/>
                    <pic:cNvPicPr/>
                  </pic:nvPicPr>
                  <pic:blipFill>
                    <a:blip r:embed="rId321"/>
                    <a:stretch/>
                  </pic:blipFill>
                  <pic:spPr>
                    <a:xfrm>
                      <a:ext cx="2956560" cy="2407920"/>
                    </a:xfrm>
                    <a:prstGeom prst="rect"/>
                  </pic:spPr>
                </pic:pic>
              </a:graphicData>
            </a:graphic>
          </wp:anchor>
        </w:drawing>
      </w:r>
      <w:r>
        <w:drawing>
          <wp:anchor distT="0" distB="0" distL="0" distR="0" simplePos="0" relativeHeight="62914849" behindDoc="1" locked="0" layoutInCell="1" allowOverlap="1">
            <wp:simplePos x="0" y="0"/>
            <wp:positionH relativeFrom="page">
              <wp:posOffset>7397115</wp:posOffset>
            </wp:positionH>
            <wp:positionV relativeFrom="margin">
              <wp:posOffset>0</wp:posOffset>
            </wp:positionV>
            <wp:extent cx="237490" cy="1334770"/>
            <wp:wrapNone/>
            <wp:docPr id="507" name="Shape 507"/>
            <a:graphic xmlns:a="http://schemas.openxmlformats.org/drawingml/2006/main">
              <a:graphicData uri="http://schemas.openxmlformats.org/drawingml/2006/picture">
                <pic:pic xmlns:pic="http://schemas.openxmlformats.org/drawingml/2006/picture">
                  <pic:nvPicPr>
                    <pic:cNvPr id="508" name="Picture box 508"/>
                    <pic:cNvPicPr/>
                  </pic:nvPicPr>
                  <pic:blipFill>
                    <a:blip r:embed="rId323"/>
                    <a:stretch/>
                  </pic:blipFill>
                  <pic:spPr>
                    <a:xfrm>
                      <a:ext cx="237490" cy="1334770"/>
                    </a:xfrm>
                    <a:prstGeom prst="rect"/>
                  </pic:spPr>
                </pic:pic>
              </a:graphicData>
            </a:graphic>
          </wp:anchor>
        </w:drawing>
      </w:r>
      <w:r>
        <w:drawing>
          <wp:anchor distT="0" distB="0" distL="0" distR="0" simplePos="0" relativeHeight="62914850" behindDoc="1" locked="0" layoutInCell="1" allowOverlap="1">
            <wp:simplePos x="0" y="0"/>
            <wp:positionH relativeFrom="page">
              <wp:posOffset>7397115</wp:posOffset>
            </wp:positionH>
            <wp:positionV relativeFrom="margin">
              <wp:posOffset>1337945</wp:posOffset>
            </wp:positionV>
            <wp:extent cx="237490" cy="1334770"/>
            <wp:wrapNone/>
            <wp:docPr id="509" name="Shape 509"/>
            <a:graphic xmlns:a="http://schemas.openxmlformats.org/drawingml/2006/main">
              <a:graphicData uri="http://schemas.openxmlformats.org/drawingml/2006/picture">
                <pic:pic xmlns:pic="http://schemas.openxmlformats.org/drawingml/2006/picture">
                  <pic:nvPicPr>
                    <pic:cNvPr id="510" name="Picture box 510"/>
                    <pic:cNvPicPr/>
                  </pic:nvPicPr>
                  <pic:blipFill>
                    <a:blip r:embed="rId325"/>
                    <a:stretch/>
                  </pic:blipFill>
                  <pic:spPr>
                    <a:xfrm>
                      <a:ext cx="237490" cy="1334770"/>
                    </a:xfrm>
                    <a:prstGeom prst="rect"/>
                  </pic:spPr>
                </pic:pic>
              </a:graphicData>
            </a:graphic>
          </wp:anchor>
        </w:drawing>
      </w:r>
      <w:r>
        <w:drawing>
          <wp:anchor distT="0" distB="0" distL="0" distR="0" simplePos="0" relativeHeight="62914851" behindDoc="1" locked="0" layoutInCell="1" allowOverlap="1">
            <wp:simplePos x="0" y="0"/>
            <wp:positionH relativeFrom="page">
              <wp:posOffset>7397115</wp:posOffset>
            </wp:positionH>
            <wp:positionV relativeFrom="margin">
              <wp:posOffset>2675890</wp:posOffset>
            </wp:positionV>
            <wp:extent cx="237490" cy="1334770"/>
            <wp:wrapNone/>
            <wp:docPr id="511" name="Shape 511"/>
            <a:graphic xmlns:a="http://schemas.openxmlformats.org/drawingml/2006/main">
              <a:graphicData uri="http://schemas.openxmlformats.org/drawingml/2006/picture">
                <pic:pic xmlns:pic="http://schemas.openxmlformats.org/drawingml/2006/picture">
                  <pic:nvPicPr>
                    <pic:cNvPr id="512" name="Picture box 512"/>
                    <pic:cNvPicPr/>
                  </pic:nvPicPr>
                  <pic:blipFill>
                    <a:blip r:embed="rId327"/>
                    <a:stretch/>
                  </pic:blipFill>
                  <pic:spPr>
                    <a:xfrm>
                      <a:ext cx="237490" cy="1334770"/>
                    </a:xfrm>
                    <a:prstGeom prst="rect"/>
                  </pic:spPr>
                </pic:pic>
              </a:graphicData>
            </a:graphic>
          </wp:anchor>
        </w:drawing>
      </w:r>
      <w:r>
        <w:drawing>
          <wp:anchor distT="0" distB="0" distL="0" distR="0" simplePos="0" relativeHeight="62914852" behindDoc="1" locked="0" layoutInCell="1" allowOverlap="1">
            <wp:simplePos x="0" y="0"/>
            <wp:positionH relativeFrom="page">
              <wp:posOffset>7397115</wp:posOffset>
            </wp:positionH>
            <wp:positionV relativeFrom="margin">
              <wp:posOffset>4011295</wp:posOffset>
            </wp:positionV>
            <wp:extent cx="237490" cy="1334770"/>
            <wp:wrapNone/>
            <wp:docPr id="513" name="Shape 513"/>
            <a:graphic xmlns:a="http://schemas.openxmlformats.org/drawingml/2006/main">
              <a:graphicData uri="http://schemas.openxmlformats.org/drawingml/2006/picture">
                <pic:pic xmlns:pic="http://schemas.openxmlformats.org/drawingml/2006/picture">
                  <pic:nvPicPr>
                    <pic:cNvPr id="514" name="Picture box 514"/>
                    <pic:cNvPicPr/>
                  </pic:nvPicPr>
                  <pic:blipFill>
                    <a:blip r:embed="rId329"/>
                    <a:stretch/>
                  </pic:blipFill>
                  <pic:spPr>
                    <a:xfrm>
                      <a:ext cx="237490" cy="1334770"/>
                    </a:xfrm>
                    <a:prstGeom prst="rect"/>
                  </pic:spPr>
                </pic:pic>
              </a:graphicData>
            </a:graphic>
          </wp:anchor>
        </w:drawing>
      </w:r>
      <w:r>
        <w:drawing>
          <wp:anchor distT="0" distB="0" distL="0" distR="0" simplePos="0" relativeHeight="62914853" behindDoc="1" locked="0" layoutInCell="1" allowOverlap="1">
            <wp:simplePos x="0" y="0"/>
            <wp:positionH relativeFrom="page">
              <wp:posOffset>75565</wp:posOffset>
            </wp:positionH>
            <wp:positionV relativeFrom="margin">
              <wp:posOffset>5349240</wp:posOffset>
            </wp:positionV>
            <wp:extent cx="670560" cy="1334770"/>
            <wp:wrapNone/>
            <wp:docPr id="515" name="Shape 515"/>
            <a:graphic xmlns:a="http://schemas.openxmlformats.org/drawingml/2006/main">
              <a:graphicData uri="http://schemas.openxmlformats.org/drawingml/2006/picture">
                <pic:pic xmlns:pic="http://schemas.openxmlformats.org/drawingml/2006/picture">
                  <pic:nvPicPr>
                    <pic:cNvPr id="516" name="Picture box 516"/>
                    <pic:cNvPicPr/>
                  </pic:nvPicPr>
                  <pic:blipFill>
                    <a:blip r:embed="rId331"/>
                    <a:stretch/>
                  </pic:blipFill>
                  <pic:spPr>
                    <a:xfrm>
                      <a:ext cx="670560" cy="1334770"/>
                    </a:xfrm>
                    <a:prstGeom prst="rect"/>
                  </pic:spPr>
                </pic:pic>
              </a:graphicData>
            </a:graphic>
          </wp:anchor>
        </w:drawing>
      </w:r>
      <w:r>
        <w:drawing>
          <wp:anchor distT="0" distB="0" distL="0" distR="0" simplePos="0" relativeHeight="62914854" behindDoc="1" locked="0" layoutInCell="1" allowOverlap="1">
            <wp:simplePos x="0" y="0"/>
            <wp:positionH relativeFrom="page">
              <wp:posOffset>75565</wp:posOffset>
            </wp:positionH>
            <wp:positionV relativeFrom="margin">
              <wp:posOffset>6684010</wp:posOffset>
            </wp:positionV>
            <wp:extent cx="670560" cy="1334770"/>
            <wp:wrapNone/>
            <wp:docPr id="517" name="Shape 517"/>
            <a:graphic xmlns:a="http://schemas.openxmlformats.org/drawingml/2006/main">
              <a:graphicData uri="http://schemas.openxmlformats.org/drawingml/2006/picture">
                <pic:pic xmlns:pic="http://schemas.openxmlformats.org/drawingml/2006/picture">
                  <pic:nvPicPr>
                    <pic:cNvPr id="518" name="Picture box 518"/>
                    <pic:cNvPicPr/>
                  </pic:nvPicPr>
                  <pic:blipFill>
                    <a:blip r:embed="rId333"/>
                    <a:stretch/>
                  </pic:blipFill>
                  <pic:spPr>
                    <a:xfrm>
                      <a:ext cx="670560" cy="1334770"/>
                    </a:xfrm>
                    <a:prstGeom prst="rect"/>
                  </pic:spPr>
                </pic:pic>
              </a:graphicData>
            </a:graphic>
          </wp:anchor>
        </w:drawing>
      </w:r>
      <w:r>
        <w:drawing>
          <wp:anchor distT="0" distB="0" distL="0" distR="0" simplePos="0" relativeHeight="62914855" behindDoc="1" locked="0" layoutInCell="1" allowOverlap="1">
            <wp:simplePos x="0" y="0"/>
            <wp:positionH relativeFrom="page">
              <wp:posOffset>75565</wp:posOffset>
            </wp:positionH>
            <wp:positionV relativeFrom="margin">
              <wp:posOffset>8022590</wp:posOffset>
            </wp:positionV>
            <wp:extent cx="670560" cy="1334770"/>
            <wp:wrapNone/>
            <wp:docPr id="519" name="Shape 519"/>
            <a:graphic xmlns:a="http://schemas.openxmlformats.org/drawingml/2006/main">
              <a:graphicData uri="http://schemas.openxmlformats.org/drawingml/2006/picture">
                <pic:pic xmlns:pic="http://schemas.openxmlformats.org/drawingml/2006/picture">
                  <pic:nvPicPr>
                    <pic:cNvPr id="520" name="Picture box 520"/>
                    <pic:cNvPicPr/>
                  </pic:nvPicPr>
                  <pic:blipFill>
                    <a:blip r:embed="rId335"/>
                    <a:stretch/>
                  </pic:blipFill>
                  <pic:spPr>
                    <a:xfrm>
                      <a:ext cx="670560" cy="1334770"/>
                    </a:xfrm>
                    <a:prstGeom prst="rect"/>
                  </pic:spPr>
                </pic:pic>
              </a:graphicData>
            </a:graphic>
          </wp:anchor>
        </w:drawing>
      </w:r>
      <w:r>
        <w:drawing>
          <wp:anchor distT="0" distB="0" distL="0" distR="0" simplePos="0" relativeHeight="62914856" behindDoc="1" locked="0" layoutInCell="1" allowOverlap="1">
            <wp:simplePos x="0" y="0"/>
            <wp:positionH relativeFrom="page">
              <wp:posOffset>7397115</wp:posOffset>
            </wp:positionH>
            <wp:positionV relativeFrom="margin">
              <wp:posOffset>5349240</wp:posOffset>
            </wp:positionV>
            <wp:extent cx="237490" cy="1334770"/>
            <wp:wrapNone/>
            <wp:docPr id="521" name="Shape 521"/>
            <a:graphic xmlns:a="http://schemas.openxmlformats.org/drawingml/2006/main">
              <a:graphicData uri="http://schemas.openxmlformats.org/drawingml/2006/picture">
                <pic:pic xmlns:pic="http://schemas.openxmlformats.org/drawingml/2006/picture">
                  <pic:nvPicPr>
                    <pic:cNvPr id="522" name="Picture box 522"/>
                    <pic:cNvPicPr/>
                  </pic:nvPicPr>
                  <pic:blipFill>
                    <a:blip r:embed="rId337"/>
                    <a:stretch/>
                  </pic:blipFill>
                  <pic:spPr>
                    <a:xfrm>
                      <a:ext cx="237490" cy="1334770"/>
                    </a:xfrm>
                    <a:prstGeom prst="rect"/>
                  </pic:spPr>
                </pic:pic>
              </a:graphicData>
            </a:graphic>
          </wp:anchor>
        </w:drawing>
      </w:r>
      <w:r>
        <w:drawing>
          <wp:anchor distT="0" distB="0" distL="0" distR="0" simplePos="0" relativeHeight="62914857" behindDoc="1" locked="0" layoutInCell="1" allowOverlap="1">
            <wp:simplePos x="0" y="0"/>
            <wp:positionH relativeFrom="page">
              <wp:posOffset>7397115</wp:posOffset>
            </wp:positionH>
            <wp:positionV relativeFrom="margin">
              <wp:posOffset>6684010</wp:posOffset>
            </wp:positionV>
            <wp:extent cx="237490" cy="1334770"/>
            <wp:wrapNone/>
            <wp:docPr id="523" name="Shape 523"/>
            <a:graphic xmlns:a="http://schemas.openxmlformats.org/drawingml/2006/main">
              <a:graphicData uri="http://schemas.openxmlformats.org/drawingml/2006/picture">
                <pic:pic xmlns:pic="http://schemas.openxmlformats.org/drawingml/2006/picture">
                  <pic:nvPicPr>
                    <pic:cNvPr id="524" name="Picture box 524"/>
                    <pic:cNvPicPr/>
                  </pic:nvPicPr>
                  <pic:blipFill>
                    <a:blip r:embed="rId339"/>
                    <a:stretch/>
                  </pic:blipFill>
                  <pic:spPr>
                    <a:xfrm>
                      <a:ext cx="237490" cy="1334770"/>
                    </a:xfrm>
                    <a:prstGeom prst="rect"/>
                  </pic:spPr>
                </pic:pic>
              </a:graphicData>
            </a:graphic>
          </wp:anchor>
        </w:drawing>
      </w:r>
      <w:r>
        <w:drawing>
          <wp:anchor distT="0" distB="0" distL="0" distR="0" simplePos="0" relativeHeight="62914858" behindDoc="1" locked="0" layoutInCell="1" allowOverlap="1">
            <wp:simplePos x="0" y="0"/>
            <wp:positionH relativeFrom="page">
              <wp:posOffset>7397115</wp:posOffset>
            </wp:positionH>
            <wp:positionV relativeFrom="margin">
              <wp:posOffset>8022590</wp:posOffset>
            </wp:positionV>
            <wp:extent cx="237490" cy="1334770"/>
            <wp:wrapNone/>
            <wp:docPr id="525" name="Shape 525"/>
            <a:graphic xmlns:a="http://schemas.openxmlformats.org/drawingml/2006/main">
              <a:graphicData uri="http://schemas.openxmlformats.org/drawingml/2006/picture">
                <pic:pic xmlns:pic="http://schemas.openxmlformats.org/drawingml/2006/picture">
                  <pic:nvPicPr>
                    <pic:cNvPr id="526" name="Picture box 526"/>
                    <pic:cNvPicPr/>
                  </pic:nvPicPr>
                  <pic:blipFill>
                    <a:blip r:embed="rId341"/>
                    <a:stretch/>
                  </pic:blipFill>
                  <pic:spPr>
                    <a:xfrm>
                      <a:ext cx="237490"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4" w:line="1" w:lineRule="exact"/>
      </w:pPr>
    </w:p>
    <w:p>
      <w:pPr>
        <w:widowControl w:val="0"/>
        <w:spacing w:line="1" w:lineRule="exact"/>
        <w:sectPr>
          <w:footnotePr>
            <w:pos w:val="pageBottom"/>
            <w:numFmt w:val="decimal"/>
            <w:numRestart w:val="continuous"/>
          </w:footnotePr>
          <w:pgSz w:w="12142" w:h="17375"/>
          <w:pgMar w:top="268" w:right="119" w:bottom="586" w:left="119" w:header="0" w:footer="3" w:gutter="0"/>
          <w:cols w:space="720"/>
          <w:noEndnote/>
          <w:rtlGutter/>
          <w:docGrid w:linePitch="360"/>
        </w:sectPr>
      </w:pPr>
    </w:p>
    <w:p>
      <w:pPr>
        <w:pStyle w:val="Style15"/>
        <w:keepNext/>
        <w:keepLines/>
        <w:widowControl w:val="0"/>
        <w:shd w:val="clear" w:color="auto" w:fill="auto"/>
        <w:bidi w:val="0"/>
        <w:spacing w:before="0" w:after="0" w:line="240" w:lineRule="auto"/>
        <w:ind w:left="0" w:right="0" w:firstLine="0"/>
        <w:jc w:val="left"/>
      </w:pPr>
      <w:bookmarkStart w:id="267" w:name="bookmark267"/>
      <w:r>
        <w:rPr>
          <w:rStyle w:val="CharStyle16"/>
          <w:b/>
          <w:bCs/>
        </w:rPr>
        <w:t>Obr. 6.36 Odhad spotřeby zemního plynu pro období 2025-2040</w:t>
      </w:r>
      <w:bookmarkEnd w:id="267"/>
    </w:p>
    <w:p>
      <w:pPr>
        <w:widowControl w:val="0"/>
        <w:spacing w:line="1" w:lineRule="exact"/>
        <w:sectPr>
          <w:footnotePr>
            <w:pos w:val="pageBottom"/>
            <w:numFmt w:val="decimal"/>
            <w:numRestart w:val="continuous"/>
          </w:footnotePr>
          <w:pgSz w:w="12142" w:h="17375"/>
          <w:pgMar w:top="1199" w:right="834" w:bottom="1689" w:left="834" w:header="0" w:footer="3" w:gutter="3379"/>
          <w:cols w:space="720"/>
          <w:noEndnote/>
          <w:rtlGutter w:val="0"/>
          <w:docGrid w:linePitch="360"/>
        </w:sectPr>
      </w:pPr>
      <w:r>
        <w:drawing>
          <wp:anchor distT="228600" distB="527050" distL="0" distR="0" simplePos="0" relativeHeight="125829504" behindDoc="0" locked="0" layoutInCell="1" allowOverlap="1">
            <wp:simplePos x="0" y="0"/>
            <wp:positionH relativeFrom="margin">
              <wp:posOffset>457200</wp:posOffset>
            </wp:positionH>
            <wp:positionV relativeFrom="paragraph">
              <wp:posOffset>228600</wp:posOffset>
            </wp:positionV>
            <wp:extent cx="5754370" cy="2212975"/>
            <wp:wrapTopAndBottom/>
            <wp:docPr id="527" name="Shape 527"/>
            <a:graphic xmlns:a="http://schemas.openxmlformats.org/drawingml/2006/main">
              <a:graphicData uri="http://schemas.openxmlformats.org/drawingml/2006/picture">
                <pic:pic xmlns:pic="http://schemas.openxmlformats.org/drawingml/2006/picture">
                  <pic:nvPicPr>
                    <pic:cNvPr id="528" name="Picture box 528"/>
                    <pic:cNvPicPr/>
                  </pic:nvPicPr>
                  <pic:blipFill>
                    <a:blip r:embed="rId343"/>
                    <a:stretch/>
                  </pic:blipFill>
                  <pic:spPr>
                    <a:xfrm>
                      <a:ext cx="5754370" cy="2212975"/>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margin">
                  <wp:posOffset>917575</wp:posOffset>
                </wp:positionH>
                <wp:positionV relativeFrom="paragraph">
                  <wp:posOffset>2667000</wp:posOffset>
                </wp:positionV>
                <wp:extent cx="1060450" cy="298450"/>
                <wp:wrapNone/>
                <wp:docPr id="529" name="Shape 529"/>
                <a:graphic xmlns:a="http://schemas.openxmlformats.org/drawingml/2006/main">
                  <a:graphicData uri="http://schemas.microsoft.com/office/word/2010/wordprocessingShape">
                    <wps:wsp>
                      <wps:cNvSpPr txBox="1"/>
                      <wps:spPr>
                        <a:xfrm>
                          <a:ext cx="1060450" cy="29845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txbxContent>
                      </wps:txbx>
                      <wps:bodyPr lIns="0" tIns="0" rIns="0" bIns="0">
                        <a:noAutoFit/>
                      </wps:bodyPr>
                    </wps:wsp>
                  </a:graphicData>
                </a:graphic>
              </wp:anchor>
            </w:drawing>
          </mc:Choice>
          <mc:Fallback>
            <w:pict>
              <v:shape id="_x0000_s1555" type="#_x0000_t202" style="position:absolute;margin-left:72.25pt;margin-top:210.pt;width:83.5pt;height:23.5pt;z-index:251657817;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txbxContent>
                </v:textbox>
                <w10:wrap anchorx="margin"/>
              </v:shape>
            </w:pict>
          </mc:Fallback>
        </mc:AlternateContent>
      </w:r>
      <w:r>
        <mc:AlternateContent>
          <mc:Choice Requires="wps">
            <w:drawing>
              <wp:anchor distT="0" distB="0" distL="0" distR="0" simplePos="0" relativeHeight="503316572" behindDoc="0" locked="0" layoutInCell="1" allowOverlap="1">
                <wp:simplePos x="0" y="0"/>
                <wp:positionH relativeFrom="margin">
                  <wp:posOffset>3234055</wp:posOffset>
                </wp:positionH>
                <wp:positionV relativeFrom="paragraph">
                  <wp:posOffset>2667000</wp:posOffset>
                </wp:positionV>
                <wp:extent cx="1143000" cy="298450"/>
                <wp:wrapNone/>
                <wp:docPr id="531" name="Shape 531"/>
                <a:graphic xmlns:a="http://schemas.openxmlformats.org/drawingml/2006/main">
                  <a:graphicData uri="http://schemas.microsoft.com/office/word/2010/wordprocessingShape">
                    <wps:wsp>
                      <wps:cNvSpPr txBox="1"/>
                      <wps:spPr>
                        <a:xfrm>
                          <a:ext cx="1143000" cy="29845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Progresivní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Dekarbonizační scénář</w:t>
                            </w:r>
                          </w:p>
                        </w:txbxContent>
                      </wps:txbx>
                      <wps:bodyPr lIns="0" tIns="0" rIns="0" bIns="0">
                        <a:noAutoFit/>
                      </wps:bodyPr>
                    </wps:wsp>
                  </a:graphicData>
                </a:graphic>
              </wp:anchor>
            </w:drawing>
          </mc:Choice>
          <mc:Fallback>
            <w:pict>
              <v:shape id="_x0000_s1557" type="#_x0000_t202" style="position:absolute;margin-left:254.65000000000001pt;margin-top:210.pt;width:90.pt;height:23.5pt;z-index:251657819;mso-wrap-distance-left:0;mso-wrap-distance-right:0;mso-position-horizontal-relative:margin"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Progresivní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Dekarbonizační scénář</w:t>
                      </w:r>
                    </w:p>
                  </w:txbxContent>
                </v:textbox>
                <w10:wrap anchorx="margin"/>
              </v:shape>
            </w:pict>
          </mc:Fallback>
        </mc:AlternateContent>
      </w:r>
    </w:p>
    <w:p>
      <w:pPr>
        <w:widowControl w:val="0"/>
        <w:spacing w:line="138" w:lineRule="exact"/>
        <w:rPr>
          <w:sz w:val="11"/>
          <w:szCs w:val="11"/>
        </w:rPr>
      </w:pPr>
    </w:p>
    <w:p>
      <w:pPr>
        <w:widowControl w:val="0"/>
        <w:spacing w:line="1" w:lineRule="exact"/>
        <w:sectPr>
          <w:footnotePr>
            <w:pos w:val="pageBottom"/>
            <w:numFmt w:val="decimal"/>
            <w:numRestart w:val="continuous"/>
          </w:footnotePr>
          <w:type w:val="continuous"/>
          <w:pgSz w:w="12142" w:h="17375"/>
          <w:pgMar w:top="1199" w:right="0" w:bottom="1689" w:left="0" w:header="0" w:footer="3" w:gutter="0"/>
          <w:cols w:space="720"/>
          <w:noEndnote/>
          <w:rtlGutter w:val="0"/>
          <w:docGrid w:linePitch="360"/>
        </w:sectPr>
      </w:pPr>
    </w:p>
    <w:p>
      <w:pPr>
        <w:pStyle w:val="Style68"/>
        <w:keepNext w:val="0"/>
        <w:keepLines w:val="0"/>
        <w:widowControl w:val="0"/>
        <w:shd w:val="clear" w:color="auto" w:fill="auto"/>
        <w:tabs>
          <w:tab w:pos="4851" w:val="left"/>
        </w:tabs>
        <w:bidi w:val="0"/>
        <w:spacing w:before="0" w:after="320" w:line="240" w:lineRule="auto"/>
        <w:ind w:right="0" w:firstLine="0"/>
        <w:jc w:val="left"/>
      </w:pPr>
      <w:r>
        <w:rPr>
          <w:rStyle w:val="CharStyle69"/>
        </w:rPr>
        <w:t>I</w:t>
        <w:tab/>
        <w:t>I</w:t>
      </w:r>
    </w:p>
    <w:p>
      <w:pPr>
        <w:pStyle w:val="Style19"/>
        <w:keepNext w:val="0"/>
        <w:keepLines w:val="0"/>
        <w:widowControl w:val="0"/>
        <w:shd w:val="clear" w:color="auto" w:fill="auto"/>
        <w:bidi w:val="0"/>
        <w:spacing w:before="0" w:after="0"/>
        <w:ind w:left="0" w:right="0" w:firstLine="0"/>
        <w:jc w:val="left"/>
      </w:pPr>
      <w:r>
        <w:rPr>
          <w:rStyle w:val="CharStyle20"/>
          <w:b/>
          <w:bCs/>
          <w:color w:val="006AB4"/>
        </w:rPr>
        <w:t>BIOMASA A BIOPLYN</w:t>
      </w:r>
    </w:p>
    <w:p>
      <w:pPr>
        <w:pStyle w:val="Style19"/>
        <w:keepNext w:val="0"/>
        <w:keepLines w:val="0"/>
        <w:widowControl w:val="0"/>
        <w:shd w:val="clear" w:color="auto" w:fill="auto"/>
        <w:bidi w:val="0"/>
        <w:spacing w:before="0" w:after="180"/>
        <w:ind w:left="0" w:right="0" w:firstLine="0"/>
        <w:jc w:val="left"/>
      </w:pPr>
      <w:r>
        <w:rPr>
          <w:rStyle w:val="CharStyle20"/>
        </w:rPr>
        <w:t>Jak již bylo zmíněno v kapitole 4.4.2., z Akčního plánu pro biomasu vyplývá, že při zajištění 100 % potravinové soběstačnosti může celková potenciální plocha na cílené pěstování biomasy pro výrobu bioplynu dosahovat cca 900 tis. ha. Při výtěžnosti 20 t vstupního materiálu z 1 ha, podílu 35 % sušiny v 1 t vstupního materiálu a podílu 80 % organické sušiny v sušině dosahuje celkový potenciál dostupného bioplynu cca 3 mld. m</w:t>
      </w:r>
      <w:r>
        <w:rPr>
          <w:rStyle w:val="CharStyle20"/>
          <w:vertAlign w:val="superscript"/>
        </w:rPr>
        <w:t>3</w:t>
      </w:r>
      <w:r>
        <w:rPr>
          <w:rStyle w:val="CharStyle20"/>
        </w:rPr>
        <w:t>, což je více než dvojnásobek očekávané spotřeby bioplynu. Ve všech scénářích se tedy očekává dostatek bioplynu pro výrobu elektrické energie v požadovaném objemu.</w:t>
      </w:r>
    </w:p>
    <w:p>
      <w:pPr>
        <w:pStyle w:val="Style68"/>
        <w:keepNext w:val="0"/>
        <w:keepLines w:val="0"/>
        <w:widowControl w:val="0"/>
        <w:shd w:val="clear" w:color="auto" w:fill="auto"/>
        <w:tabs>
          <w:tab w:pos="4851" w:val="left"/>
        </w:tabs>
        <w:bidi w:val="0"/>
        <w:spacing w:before="0" w:line="240" w:lineRule="auto"/>
        <w:ind w:right="0" w:firstLine="0"/>
        <w:jc w:val="left"/>
      </w:pPr>
      <w:r>
        <w:rPr>
          <w:rStyle w:val="CharStyle69"/>
        </w:rPr>
        <w:t>I</w:t>
        <w:tab/>
        <w:t>I</w:t>
      </w:r>
    </w:p>
    <w:p>
      <w:pPr>
        <w:pStyle w:val="Style15"/>
        <w:keepNext/>
        <w:keepLines/>
        <w:widowControl w:val="0"/>
        <w:shd w:val="clear" w:color="auto" w:fill="auto"/>
        <w:bidi w:val="0"/>
        <w:spacing w:before="0" w:after="0" w:line="302" w:lineRule="auto"/>
        <w:ind w:left="0" w:right="0" w:firstLine="0"/>
        <w:jc w:val="left"/>
      </w:pPr>
      <w:bookmarkStart w:id="269" w:name="bookmark269"/>
      <w:r>
        <w:rPr>
          <w:rStyle w:val="CharStyle16"/>
          <w:b/>
          <w:bCs/>
        </w:rPr>
        <w:t>Obr. 6.37 Odhad spotřeby a) Biomasy a b) Bioplynu pro období 2025-2040</w:t>
      </w:r>
      <w:bookmarkEnd w:id="269"/>
    </w:p>
    <w:p>
      <w:pPr>
        <w:widowControl w:val="0"/>
        <w:spacing w:line="1" w:lineRule="exact"/>
        <w:sectPr>
          <w:footnotePr>
            <w:pos w:val="pageBottom"/>
            <w:numFmt w:val="decimal"/>
            <w:numRestart w:val="continuous"/>
          </w:footnotePr>
          <w:type w:val="continuous"/>
          <w:pgSz w:w="12142" w:h="17375"/>
          <w:pgMar w:top="1199" w:right="834" w:bottom="1689" w:left="834" w:header="0" w:footer="3" w:gutter="3379"/>
          <w:cols w:space="720"/>
          <w:noEndnote/>
          <w:rtlGutter w:val="0"/>
          <w:docGrid w:linePitch="360"/>
        </w:sectPr>
      </w:pPr>
      <w:r>
        <w:drawing>
          <wp:anchor distT="206375" distB="0" distL="0" distR="0" simplePos="0" relativeHeight="125829505" behindDoc="0" locked="0" layoutInCell="1" allowOverlap="1">
            <wp:simplePos x="0" y="0"/>
            <wp:positionH relativeFrom="margin">
              <wp:posOffset>15240</wp:posOffset>
            </wp:positionH>
            <wp:positionV relativeFrom="paragraph">
              <wp:posOffset>206375</wp:posOffset>
            </wp:positionV>
            <wp:extent cx="2980690" cy="2444750"/>
            <wp:wrapTopAndBottom/>
            <wp:docPr id="533" name="Shape 533"/>
            <a:graphic xmlns:a="http://schemas.openxmlformats.org/drawingml/2006/main">
              <a:graphicData uri="http://schemas.openxmlformats.org/drawingml/2006/picture">
                <pic:pic xmlns:pic="http://schemas.openxmlformats.org/drawingml/2006/picture">
                  <pic:nvPicPr>
                    <pic:cNvPr id="534" name="Picture box 534"/>
                    <pic:cNvPicPr/>
                  </pic:nvPicPr>
                  <pic:blipFill>
                    <a:blip r:embed="rId345"/>
                    <a:stretch/>
                  </pic:blipFill>
                  <pic:spPr>
                    <a:xfrm>
                      <a:ext cx="2980690" cy="2444750"/>
                    </a:xfrm>
                    <a:prstGeom prst="rect"/>
                  </pic:spPr>
                </pic:pic>
              </a:graphicData>
            </a:graphic>
          </wp:anchor>
        </w:drawing>
      </w:r>
      <w:r>
        <w:drawing>
          <wp:anchor distT="203200" distB="0" distL="0" distR="0" simplePos="0" relativeHeight="125829506" behindDoc="0" locked="0" layoutInCell="1" allowOverlap="1">
            <wp:simplePos x="0" y="0"/>
            <wp:positionH relativeFrom="margin">
              <wp:posOffset>3255010</wp:posOffset>
            </wp:positionH>
            <wp:positionV relativeFrom="paragraph">
              <wp:posOffset>203200</wp:posOffset>
            </wp:positionV>
            <wp:extent cx="2956560" cy="2444750"/>
            <wp:wrapTopAndBottom/>
            <wp:docPr id="535" name="Shape 535"/>
            <a:graphic xmlns:a="http://schemas.openxmlformats.org/drawingml/2006/main">
              <a:graphicData uri="http://schemas.openxmlformats.org/drawingml/2006/picture">
                <pic:pic xmlns:pic="http://schemas.openxmlformats.org/drawingml/2006/picture">
                  <pic:nvPicPr>
                    <pic:cNvPr id="536" name="Picture box 536"/>
                    <pic:cNvPicPr/>
                  </pic:nvPicPr>
                  <pic:blipFill>
                    <a:blip r:embed="rId347"/>
                    <a:stretch/>
                  </pic:blipFill>
                  <pic:spPr>
                    <a:xfrm>
                      <a:ext cx="2956560" cy="2444750"/>
                    </a:xfrm>
                    <a:prstGeom prst="rect"/>
                  </pic:spPr>
                </pic:pic>
              </a:graphicData>
            </a:graphic>
          </wp:anchor>
        </w:drawing>
      </w:r>
    </w:p>
    <w:p>
      <w:pPr>
        <w:widowControl w:val="0"/>
        <w:spacing w:line="238" w:lineRule="exact"/>
        <w:rPr>
          <w:sz w:val="19"/>
          <w:szCs w:val="19"/>
        </w:rPr>
      </w:pPr>
    </w:p>
    <w:p>
      <w:pPr>
        <w:widowControl w:val="0"/>
        <w:spacing w:line="1" w:lineRule="exact"/>
        <w:sectPr>
          <w:footnotePr>
            <w:pos w:val="pageBottom"/>
            <w:numFmt w:val="decimal"/>
            <w:numRestart w:val="continuous"/>
          </w:footnotePr>
          <w:type w:val="continuous"/>
          <w:pgSz w:w="12142" w:h="17375"/>
          <w:pgMar w:top="1199" w:right="0" w:bottom="1199" w:left="0" w:header="0" w:footer="3" w:gutter="0"/>
          <w:cols w:space="720"/>
          <w:noEndnote/>
          <w:rtlGutter w:val="0"/>
          <w:docGrid w:linePitch="360"/>
        </w:sectPr>
      </w:pPr>
    </w:p>
    <w:p>
      <w:pPr>
        <w:pStyle w:val="Style75"/>
        <w:keepNext w:val="0"/>
        <w:keepLines w:val="0"/>
        <w:widowControl w:val="0"/>
        <w:shd w:val="clear" w:color="auto" w:fill="auto"/>
        <w:tabs>
          <w:tab w:pos="5090" w:val="left"/>
        </w:tabs>
        <w:bidi w:val="0"/>
        <w:spacing w:before="0" w:after="60" w:line="240" w:lineRule="auto"/>
        <w:ind w:left="1500" w:right="0" w:firstLine="0"/>
        <w:jc w:val="left"/>
      </w:pPr>
      <w:r>
        <w:rPr>
          <w:rStyle w:val="CharStyle76"/>
        </w:rPr>
        <w:t>Respondentní scénář</w:t>
        <w:tab/>
        <w:t>Progresivní scénář</w:t>
      </w:r>
    </w:p>
    <w:p>
      <w:pPr>
        <w:pStyle w:val="Style75"/>
        <w:keepNext w:val="0"/>
        <w:keepLines w:val="0"/>
        <w:widowControl w:val="0"/>
        <w:shd w:val="clear" w:color="auto" w:fill="auto"/>
        <w:tabs>
          <w:tab w:pos="5090" w:val="left"/>
        </w:tabs>
        <w:bidi w:val="0"/>
        <w:spacing w:before="0" w:after="0" w:line="240" w:lineRule="auto"/>
        <w:ind w:left="1500" w:right="0" w:firstLine="0"/>
        <w:jc w:val="left"/>
        <w:sectPr>
          <w:footnotePr>
            <w:pos w:val="pageBottom"/>
            <w:numFmt w:val="decimal"/>
            <w:numRestart w:val="continuous"/>
          </w:footnotePr>
          <w:type w:val="continuous"/>
          <w:pgSz w:w="12142" w:h="17375"/>
          <w:pgMar w:top="1199" w:right="834" w:bottom="1199" w:left="834" w:header="0" w:footer="3" w:gutter="3379"/>
          <w:cols w:space="720"/>
          <w:noEndnote/>
          <w:rtlGutter w:val="0"/>
          <w:docGrid w:linePitch="360"/>
        </w:sectPr>
      </w:pPr>
      <w:r>
        <w:rPr>
          <w:rStyle w:val="CharStyle76"/>
        </w:rPr>
        <w:t>Konzervativní scénář</w:t>
        <w:tab/>
        <w:t>Dekarbonizační scénář</w:t>
      </w:r>
    </w:p>
    <w:p>
      <w:pPr>
        <w:pStyle w:val="Style19"/>
        <w:keepNext w:val="0"/>
        <w:keepLines w:val="0"/>
        <w:widowControl w:val="0"/>
        <w:shd w:val="clear" w:color="auto" w:fill="auto"/>
        <w:bidi w:val="0"/>
        <w:spacing w:before="0"/>
        <w:ind w:left="1080" w:right="0" w:firstLine="20"/>
        <w:jc w:val="left"/>
      </w:pPr>
      <w:r>
        <w:rPr>
          <w:rStyle w:val="CharStyle20"/>
        </w:rPr>
        <w:t>V případě biomasy představuje produkční potenciál ČR 2,7 mil. tun biomasy a dovoz činí přibližně 0,3 mil. tun. Tedy k dispozici je celkový potenciál 3 mil. tun biomasy. Tato hodnota však zahrnuje i lesní štěpku z lesů zasažených kůrovcem. Pokud nedojde k razantní změně počasí, odezní kůrovcová kalamita, která dlouhodobě postihovala české lesy, během několika málo let produkce biomasy klesne cca o 0,9 mil. tun. Celková produkce ČR včetně předpokládaného dovozu bude činit 2,1 mil. tun, což znamená výrazný deficit (viz. Tab. 6.5).</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6.5 Předpokládaný deficit biomasy napříč všemi scénáři</w:t>
      </w:r>
    </w:p>
    <w:tbl>
      <w:tblPr>
        <w:tblOverlap w:val="never"/>
        <w:jc w:val="right"/>
        <w:tblLayout w:type="fixed"/>
      </w:tblPr>
      <w:tblGrid>
        <w:gridCol w:w="1435"/>
        <w:gridCol w:w="1426"/>
        <w:gridCol w:w="1430"/>
        <w:gridCol w:w="1430"/>
        <w:gridCol w:w="1435"/>
      </w:tblGrid>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 (mil. 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 (mil. 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 (mil. t)</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 (mil. t)</w:t>
            </w:r>
          </w:p>
        </w:tc>
      </w:tr>
      <w:tr>
        <w:trPr>
          <w:trHeight w:val="32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-2,9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-1,9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-2,0</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-2,9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-2,3</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-2,3</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-2,4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-1,6</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-1,5</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-2,6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both"/>
              <w:rPr>
                <w:sz w:val="12"/>
                <w:szCs w:val="12"/>
              </w:rPr>
            </w:pPr>
            <w:r>
              <w:rPr>
                <w:rStyle w:val="CharStyle6"/>
                <w:b/>
                <w:bCs/>
                <w:color w:val="006AB4"/>
                <w:sz w:val="12"/>
                <w:szCs w:val="12"/>
              </w:rPr>
              <w:t>-1,6</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100" w:right="0" w:firstLine="0"/>
              <w:jc w:val="left"/>
              <w:rPr>
                <w:sz w:val="12"/>
                <w:szCs w:val="12"/>
              </w:rPr>
            </w:pPr>
            <w:r>
              <w:rPr>
                <w:rStyle w:val="CharStyle6"/>
                <w:b/>
                <w:bCs/>
                <w:color w:val="006AB4"/>
                <w:sz w:val="12"/>
                <w:szCs w:val="12"/>
              </w:rPr>
              <w:t>-1,5</w:t>
            </w:r>
          </w:p>
        </w:tc>
      </w:tr>
    </w:tbl>
    <w:p>
      <w:pPr>
        <w:widowControl w:val="0"/>
        <w:spacing w:after="479" w:line="1" w:lineRule="exact"/>
      </w:pPr>
    </w:p>
    <w:p>
      <w:pPr>
        <w:pStyle w:val="Style19"/>
        <w:keepNext w:val="0"/>
        <w:keepLines w:val="0"/>
        <w:widowControl w:val="0"/>
        <w:shd w:val="clear" w:color="auto" w:fill="auto"/>
        <w:bidi w:val="0"/>
        <w:spacing w:before="0"/>
        <w:ind w:left="1080" w:right="0" w:firstLine="20"/>
        <w:jc w:val="left"/>
      </w:pPr>
      <w:r>
        <w:rPr>
          <w:rStyle w:val="CharStyle20"/>
        </w:rPr>
        <w:t>Předpokládaný nedostatek biomasy bude nutné buďto dodatečně dovézt ze zahraničí nebo tuto chybějící biomasu nahradit jiným typem paliva (v takovém případě je nutné počítat i s náklady na změnu technologie spalování). V případě náhrady jiným typem paliva přichází v úvahu odpad, bioplyn nebo zemní plyn.</w:t>
      </w:r>
    </w:p>
    <w:p>
      <w:pPr>
        <w:pStyle w:val="Style19"/>
        <w:keepNext w:val="0"/>
        <w:keepLines w:val="0"/>
        <w:widowControl w:val="0"/>
        <w:shd w:val="clear" w:color="auto" w:fill="auto"/>
        <w:bidi w:val="0"/>
        <w:spacing w:before="0"/>
        <w:ind w:left="1080" w:right="0" w:firstLine="20"/>
        <w:jc w:val="left"/>
      </w:pPr>
      <w:r>
        <w:rPr>
          <w:rStyle w:val="CharStyle20"/>
        </w:rPr>
        <w:t>Po zevrubnější analýze se pro kompaktní náhradu jeví z pohledu dostupnosti paliva nejrealističtější variantou náhrada deficitu tuhé biomasy zemním plynem, což by znamenalo navýšení celkové roční spotřeby zemního plynu o 6 až 28 % v závislosti na scénáři a analyzovaném roku (viz Tab. 6.6 b).</w:t>
      </w:r>
    </w:p>
    <w:p>
      <w:pPr>
        <w:pStyle w:val="Style15"/>
        <w:keepNext/>
        <w:keepLines/>
        <w:widowControl w:val="0"/>
        <w:shd w:val="clear" w:color="auto" w:fill="auto"/>
        <w:bidi w:val="0"/>
        <w:spacing w:before="0" w:after="200" w:line="300" w:lineRule="auto"/>
        <w:ind w:left="1080" w:right="0" w:firstLine="20"/>
        <w:jc w:val="left"/>
      </w:pPr>
      <w:bookmarkStart w:id="272" w:name="bookmark272"/>
      <w:r>
        <w:rPr>
          <w:rStyle w:val="CharStyle16"/>
          <w:b/>
          <w:bCs/>
        </w:rPr>
        <w:t>Tab. 6.6 a) Objem zemního plynu nahrazujícího deficit biomasy a b) Procentuální navýšení spotřeby zemního plynu v z důvodu deficitu biomasy napříč všemi scénáři</w:t>
      </w:r>
      <w:bookmarkEnd w:id="272"/>
    </w:p>
    <w:tbl>
      <w:tblPr>
        <w:tblOverlap w:val="never"/>
        <w:jc w:val="right"/>
        <w:tblLayout w:type="fixed"/>
      </w:tblPr>
      <w:tblGrid>
        <w:gridCol w:w="1190"/>
        <w:gridCol w:w="706"/>
        <w:gridCol w:w="710"/>
        <w:gridCol w:w="710"/>
        <w:gridCol w:w="706"/>
        <w:gridCol w:w="341"/>
        <w:gridCol w:w="696"/>
        <w:gridCol w:w="691"/>
        <w:gridCol w:w="691"/>
        <w:gridCol w:w="706"/>
      </w:tblGrid>
      <w:tr>
        <w:trPr>
          <w:trHeight w:val="470"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right"/>
              <w:rPr>
                <w:sz w:val="15"/>
                <w:szCs w:val="15"/>
              </w:rPr>
            </w:pPr>
            <w:r>
              <w:rPr>
                <w:rStyle w:val="CharStyle6"/>
                <w:rFonts w:ascii="Calibri" w:eastAsia="Calibri" w:hAnsi="Calibri" w:cs="Calibri"/>
                <w:b/>
                <w:bCs/>
                <w:color w:val="006AB4"/>
                <w:sz w:val="15"/>
                <w:szCs w:val="15"/>
              </w:rPr>
              <w:t>2025 (mil. 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right"/>
              <w:rPr>
                <w:sz w:val="15"/>
                <w:szCs w:val="15"/>
              </w:rPr>
            </w:pPr>
            <w:r>
              <w:rPr>
                <w:rStyle w:val="CharStyle6"/>
                <w:rFonts w:ascii="Calibri" w:eastAsia="Calibri" w:hAnsi="Calibri" w:cs="Calibri"/>
                <w:b/>
                <w:bCs/>
                <w:color w:val="006AB4"/>
                <w:sz w:val="15"/>
                <w:szCs w:val="15"/>
              </w:rPr>
              <w:t>2030 (mil. 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right"/>
              <w:rPr>
                <w:sz w:val="15"/>
                <w:szCs w:val="15"/>
              </w:rPr>
            </w:pPr>
            <w:r>
              <w:rPr>
                <w:rStyle w:val="CharStyle6"/>
                <w:rFonts w:ascii="Calibri" w:eastAsia="Calibri" w:hAnsi="Calibri" w:cs="Calibri"/>
                <w:b/>
                <w:bCs/>
                <w:color w:val="006AB4"/>
                <w:sz w:val="15"/>
                <w:szCs w:val="15"/>
              </w:rPr>
              <w:t>2035 (mil. 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right"/>
              <w:rPr>
                <w:sz w:val="15"/>
                <w:szCs w:val="15"/>
              </w:rPr>
            </w:pPr>
            <w:r>
              <w:rPr>
                <w:rStyle w:val="CharStyle6"/>
                <w:rFonts w:ascii="Calibri" w:eastAsia="Calibri" w:hAnsi="Calibri" w:cs="Calibri"/>
                <w:b/>
                <w:bCs/>
                <w:color w:val="006AB4"/>
                <w:sz w:val="15"/>
                <w:szCs w:val="15"/>
              </w:rPr>
              <w:t>2040 (mil. t)</w:t>
            </w:r>
          </w:p>
        </w:tc>
        <w:tc>
          <w:tcPr>
            <w:vMerge w:val="restart"/>
            <w:tcBorders>
              <w:left w:val="single" w:sz="4"/>
            </w:tcBorders>
            <w:shd w:val="clear" w:color="auto" w:fill="auto"/>
            <w:vAlign w:val="top"/>
          </w:tcPr>
          <w:p>
            <w:pPr>
              <w:pStyle w:val="Style5"/>
              <w:keepNext w:val="0"/>
              <w:keepLines w:val="0"/>
              <w:widowControl w:val="0"/>
              <w:shd w:val="clear" w:color="auto" w:fill="auto"/>
              <w:bidi w:val="0"/>
              <w:spacing w:before="80" w:after="0" w:line="240" w:lineRule="auto"/>
              <w:ind w:left="0" w:right="0" w:firstLine="0"/>
              <w:jc w:val="right"/>
              <w:rPr>
                <w:sz w:val="26"/>
                <w:szCs w:val="26"/>
              </w:rPr>
            </w:pPr>
            <w:r>
              <w:rPr>
                <w:rStyle w:val="CharStyle6"/>
                <w:b/>
                <w:bCs/>
                <w:color w:val="006AB4"/>
                <w:sz w:val="26"/>
                <w:szCs w:val="26"/>
              </w:rPr>
              <w:t>^</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419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283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288</w:t>
            </w: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18,5%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27,5%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16,6%</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14,6%</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238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420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331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332</w:t>
            </w: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17,8%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21,4%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14,2%</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12,8%</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226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346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232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224</w:t>
            </w:r>
          </w:p>
        </w:tc>
        <w:tc>
          <w:tcPr>
            <w:vMerge/>
            <w:tcBorders>
              <w:left w:val="single" w:sz="4"/>
            </w:tcBorders>
            <w:shd w:val="clear" w:color="auto" w:fill="auto"/>
            <w:vAlign w:val="top"/>
          </w:tcPr>
          <w:p>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16,8%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16,9%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6,7%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7,5%</w:t>
            </w:r>
          </w:p>
        </w:tc>
      </w:tr>
      <w:tr>
        <w:trPr>
          <w:trHeight w:val="346"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bookmarkStart w:id="274" w:name="bookmark274"/>
            <w:r>
              <w:rPr>
                <w:rStyle w:val="CharStyle6"/>
                <w:rFonts w:ascii="Calibri" w:eastAsia="Calibri" w:hAnsi="Calibri" w:cs="Calibri"/>
                <w:b/>
                <w:bCs/>
                <w:color w:val="006AB4"/>
                <w:sz w:val="15"/>
                <w:szCs w:val="15"/>
              </w:rPr>
              <w:t>Dekarbonizační</w:t>
            </w:r>
            <w:bookmarkEnd w:id="274"/>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227</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383</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228</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219</w:t>
            </w:r>
          </w:p>
        </w:tc>
        <w:tc>
          <w:tcPr>
            <w:vMerge/>
            <w:tcBorders>
              <w:left w:val="single" w:sz="4"/>
            </w:tcBorders>
            <w:shd w:val="clear" w:color="auto" w:fill="auto"/>
            <w:vAlign w:val="top"/>
          </w:tcPr>
          <w:p>
            <w:pP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16,8%</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12,6%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5,6%</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5,9%</w:t>
            </w:r>
          </w:p>
        </w:tc>
      </w:tr>
    </w:tbl>
    <w:p>
      <w:pPr>
        <w:sectPr>
          <w:footnotePr>
            <w:pos w:val="pageBottom"/>
            <w:numFmt w:val="decimal"/>
            <w:numRestart w:val="continuous"/>
          </w:footnotePr>
          <w:pgSz w:w="12142" w:h="17375"/>
          <w:pgMar w:top="1281" w:right="834" w:bottom="1281" w:left="834" w:header="0" w:footer="3" w:gutter="2208"/>
          <w:cols w:space="720"/>
          <w:noEndnote/>
          <w:rtlGutter w:val="0"/>
          <w:docGrid w:linePitch="360"/>
        </w:sectPr>
      </w:pPr>
    </w:p>
    <w:p>
      <w:pPr>
        <w:pStyle w:val="Style19"/>
        <w:keepNext w:val="0"/>
        <w:keepLines w:val="0"/>
        <w:widowControl w:val="0"/>
        <w:shd w:val="clear" w:color="auto" w:fill="auto"/>
        <w:bidi w:val="0"/>
        <w:spacing w:before="0" w:after="0"/>
        <w:ind w:left="0" w:right="0" w:firstLine="0"/>
        <w:jc w:val="both"/>
      </w:pPr>
      <w:r>
        <w:rPr>
          <w:rStyle w:val="CharStyle20"/>
          <w:b/>
          <w:bCs/>
          <w:color w:val="006AB4"/>
        </w:rPr>
        <w:t>ODPAD</w:t>
      </w:r>
    </w:p>
    <w:p>
      <w:pPr>
        <w:pStyle w:val="Style19"/>
        <w:keepNext w:val="0"/>
        <w:keepLines w:val="0"/>
        <w:widowControl w:val="0"/>
        <w:shd w:val="clear" w:color="auto" w:fill="auto"/>
        <w:bidi w:val="0"/>
        <w:spacing w:before="0"/>
        <w:ind w:left="0" w:right="0" w:firstLine="0"/>
        <w:jc w:val="left"/>
      </w:pPr>
      <w:r>
        <w:rPr>
          <w:rStyle w:val="CharStyle20"/>
        </w:rPr>
        <w:t>Odpad v tomto případě zahrnuje jak tuhý komunální odpad (TKO), tak i tuhá alternativního paliva (TAP). TKO je komunální odpad, který si jako celek anebo jako jeho jednotlivé části za normálních atmosférických podmínek uchovává svůj tvar a objem. Komunální odpad obsahuje směsný a tříděný odpad z domácností (zejména papír, lepenku, sklo, kovy, plasty, biologický odpad, dřevo, textil, obaly, odpadní elektrická a elektronická zařízení, odpadní baterie a akumulátory) a objemný odpad (zejména matrace a nábytek, a dále směsný odpad a tříděný odpad z jiných zdrojů, pokud je co do povahy a složení podobný odpadu z domácností). Komunální odpad nezahrnuje odpad z výroby, zemědělství, lesnictví, rybolovu, septiků, kanalizační sítě a čistíren odpadních vod, včetně kalů, vozidla na konci životnosti ani stavební a demoliční odpad.</w:t>
      </w:r>
    </w:p>
    <w:p>
      <w:pPr>
        <w:pStyle w:val="Style19"/>
        <w:keepNext w:val="0"/>
        <w:keepLines w:val="0"/>
        <w:widowControl w:val="0"/>
        <w:shd w:val="clear" w:color="auto" w:fill="auto"/>
        <w:bidi w:val="0"/>
        <w:spacing w:before="0" w:line="300" w:lineRule="auto"/>
        <w:ind w:left="0" w:right="0" w:firstLine="0"/>
        <w:jc w:val="left"/>
      </w:pPr>
      <w:r>
        <w:rPr>
          <w:rStyle w:val="CharStyle20"/>
        </w:rPr>
        <w:t>TAP se sestává z drcené směsi, která obsahuje odpad z výroby, tuhý komunální odpad, průmyslový odpad, obchodní odpad, odpad ze staveb a demolicí a čistírenské kaly.</w:t>
      </w:r>
    </w:p>
    <w:p>
      <w:pPr>
        <w:pStyle w:val="Style19"/>
        <w:keepNext w:val="0"/>
        <w:keepLines w:val="0"/>
        <w:widowControl w:val="0"/>
        <w:shd w:val="clear" w:color="auto" w:fill="auto"/>
        <w:bidi w:val="0"/>
        <w:spacing w:before="0" w:after="2060"/>
        <w:ind w:left="0" w:right="0" w:firstLine="0"/>
        <w:jc w:val="left"/>
      </w:pPr>
      <w:r>
        <w:rPr>
          <w:rStyle w:val="CharStyle20"/>
        </w:rPr>
        <w:t>Největší nárůst spotřeby odpadu pro výrobu elektrické energie se očekává v Dekarbonizačním scénáři, a to v roce 2030. Nárůst spotřeby paliva činí 58,1 % oproti spotřebě odpadu pro elektroenergetické účely v roce 2025. Tento nárůst je dán tím, že v případě Dekarbonizačního scénáře k transformaci teplárenství (CZT) a závodních energetik z uhlí na zemní plyn, biomasu, odpad, popřípadě jiná alternativní paliva dochází již v roce 2030 (včetně) a zároveň ve stejném roce již nejsou v provozu ani žádné větší zdroje spalující uhlí. Po roce 2030 dochází u všech scénářů k poklesu spotřeby odpadu. Lze očekávat, že celková produkce odpadu v ČR bude 5-10x vyšší než spotřeba ve zdrojích vyrábějících elektrickou energii. Měl by tedy být dostatek odpadu pro výrobu elektrické energie.</w:t>
      </w:r>
    </w:p>
    <w:p>
      <w:pPr>
        <w:pStyle w:val="Style68"/>
        <w:keepNext w:val="0"/>
        <w:keepLines w:val="0"/>
        <w:widowControl w:val="0"/>
        <w:shd w:val="clear" w:color="auto" w:fill="auto"/>
        <w:tabs>
          <w:tab w:pos="4871" w:val="left"/>
          <w:tab w:pos="7492" w:val="left"/>
        </w:tabs>
        <w:bidi w:val="0"/>
        <w:spacing w:before="0" w:line="240" w:lineRule="auto"/>
        <w:ind w:left="2260" w:right="0" w:firstLine="0"/>
        <w:jc w:val="left"/>
      </w:pPr>
      <w:r>
        <w:rPr>
          <w:rStyle w:val="CharStyle69"/>
          <w:rFonts w:ascii="Arial" w:eastAsia="Arial" w:hAnsi="Arial" w:cs="Arial"/>
          <w:b/>
          <w:bCs/>
          <w:sz w:val="36"/>
          <w:szCs w:val="36"/>
        </w:rPr>
        <w:t>I</w:t>
        <w:tab/>
      </w:r>
      <w:r>
        <w:rPr>
          <w:rStyle w:val="CharStyle69"/>
        </w:rPr>
        <w:t>I</w:t>
        <w:tab/>
        <w:t>I</w:t>
      </w:r>
    </w:p>
    <w:p>
      <w:pPr>
        <w:pStyle w:val="Style15"/>
        <w:keepNext/>
        <w:keepLines/>
        <w:widowControl w:val="0"/>
        <w:shd w:val="clear" w:color="auto" w:fill="auto"/>
        <w:bidi w:val="0"/>
        <w:spacing w:before="0" w:after="500" w:line="240" w:lineRule="auto"/>
        <w:ind w:left="0" w:right="0" w:firstLine="0"/>
        <w:jc w:val="left"/>
      </w:pPr>
      <w:bookmarkStart w:id="277" w:name="bookmark277"/>
      <w:r>
        <w:rPr>
          <w:rStyle w:val="CharStyle16"/>
          <w:b/>
          <w:bCs/>
        </w:rPr>
        <w:t>Obr. 6.38 Odhad spotřeby tuhého komunálního a průmyslového odpadu pro období 2025-2040</w:t>
      </w:r>
      <w:bookmarkEnd w:id="277"/>
    </w:p>
    <w:p>
      <w:pPr>
        <w:widowControl w:val="0"/>
        <w:jc w:val="left"/>
        <w:rPr>
          <w:sz w:val="2"/>
          <w:szCs w:val="2"/>
        </w:rPr>
      </w:pPr>
      <w:r>
        <w:drawing>
          <wp:inline>
            <wp:extent cx="6193790" cy="2212975"/>
            <wp:docPr id="537" name="Picutre 537"/>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49"/>
                    <a:stretch/>
                  </pic:blipFill>
                  <pic:spPr>
                    <a:xfrm>
                      <a:ext cx="6193790" cy="2212975"/>
                    </a:xfrm>
                    <a:prstGeom prst="rect"/>
                  </pic:spPr>
                </pic:pic>
              </a:graphicData>
            </a:graphic>
          </wp:inline>
        </w:drawing>
      </w:r>
    </w:p>
    <w:p>
      <w:pPr>
        <w:pStyle w:val="Style2"/>
        <w:keepNext w:val="0"/>
        <w:keepLines w:val="0"/>
        <w:widowControl w:val="0"/>
        <w:shd w:val="clear" w:color="auto" w:fill="auto"/>
        <w:tabs>
          <w:tab w:pos="5011" w:val="left"/>
        </w:tabs>
        <w:bidi w:val="0"/>
        <w:spacing w:before="0" w:after="60" w:line="240" w:lineRule="auto"/>
        <w:ind w:left="1421" w:right="0" w:firstLine="0"/>
        <w:jc w:val="left"/>
        <w:rPr>
          <w:sz w:val="16"/>
          <w:szCs w:val="16"/>
        </w:rPr>
      </w:pPr>
      <w:r>
        <w:rPr>
          <w:rStyle w:val="CharStyle3"/>
          <w:color w:val="000000"/>
          <w:sz w:val="16"/>
          <w:szCs w:val="16"/>
        </w:rPr>
        <w:t>Respondentní scénář</w:t>
        <w:tab/>
        <w:t>Progresivní scénář</w:t>
      </w:r>
    </w:p>
    <w:p>
      <w:pPr>
        <w:pStyle w:val="Style2"/>
        <w:keepNext w:val="0"/>
        <w:keepLines w:val="0"/>
        <w:widowControl w:val="0"/>
        <w:shd w:val="clear" w:color="auto" w:fill="auto"/>
        <w:tabs>
          <w:tab w:pos="5011" w:val="left"/>
        </w:tabs>
        <w:bidi w:val="0"/>
        <w:spacing w:before="0" w:after="0" w:line="240" w:lineRule="auto"/>
        <w:ind w:left="1421" w:right="0" w:firstLine="0"/>
        <w:jc w:val="left"/>
        <w:rPr>
          <w:sz w:val="16"/>
          <w:szCs w:val="16"/>
        </w:rPr>
      </w:pPr>
      <w:r>
        <w:rPr>
          <w:rStyle w:val="CharStyle3"/>
          <w:color w:val="000000"/>
          <w:sz w:val="16"/>
          <w:szCs w:val="16"/>
        </w:rPr>
        <w:t>Konzervativní scénář</w:t>
        <w:tab/>
        <w:t>Dekarbonizační scénář</w:t>
      </w:r>
      <w:r>
        <w:br w:type="page"/>
      </w:r>
    </w:p>
    <w:p>
      <w:pPr>
        <w:pStyle w:val="Style19"/>
        <w:keepNext w:val="0"/>
        <w:keepLines w:val="0"/>
        <w:widowControl w:val="0"/>
        <w:shd w:val="clear" w:color="auto" w:fill="auto"/>
        <w:bidi w:val="0"/>
        <w:spacing w:before="0" w:after="0"/>
        <w:ind w:left="1140" w:right="0" w:firstLine="0"/>
        <w:jc w:val="left"/>
      </w:pPr>
      <w:r>
        <w:rPr>
          <w:rStyle w:val="CharStyle20"/>
          <w:b/>
          <w:bCs/>
          <w:color w:val="006AB4"/>
        </w:rPr>
        <w:t>OSTATNÍ PALIVA</w:t>
      </w:r>
    </w:p>
    <w:p>
      <w:pPr>
        <w:pStyle w:val="Style19"/>
        <w:keepNext w:val="0"/>
        <w:keepLines w:val="0"/>
        <w:widowControl w:val="0"/>
        <w:shd w:val="clear" w:color="auto" w:fill="auto"/>
        <w:bidi w:val="0"/>
        <w:spacing w:before="0" w:after="0"/>
        <w:ind w:left="1140" w:right="0" w:firstLine="0"/>
        <w:jc w:val="left"/>
        <w:sectPr>
          <w:footnotePr>
            <w:pos w:val="pageBottom"/>
            <w:numFmt w:val="decimal"/>
            <w:numRestart w:val="continuous"/>
          </w:footnotePr>
          <w:pgSz w:w="12142" w:h="17375"/>
          <w:pgMar w:top="1293" w:right="871" w:bottom="1696" w:left="871" w:header="0" w:footer="3" w:gutter="2134"/>
          <w:cols w:space="720"/>
          <w:noEndnote/>
          <w:rtlGutter w:val="0"/>
          <w:docGrid w:linePitch="360"/>
        </w:sectPr>
      </w:pPr>
      <w:r>
        <mc:AlternateContent>
          <mc:Choice Requires="wps">
            <w:drawing>
              <wp:anchor distT="279400" distB="0" distL="114300" distR="114300" simplePos="0" relativeHeight="125829507" behindDoc="0" locked="0" layoutInCell="1" allowOverlap="1">
                <wp:simplePos x="0" y="0"/>
                <wp:positionH relativeFrom="margin">
                  <wp:posOffset>-935990</wp:posOffset>
                </wp:positionH>
                <wp:positionV relativeFrom="margin">
                  <wp:posOffset>1694815</wp:posOffset>
                </wp:positionV>
                <wp:extent cx="5727065" cy="335280"/>
                <wp:wrapTopAndBottom/>
                <wp:docPr id="538" name="Shape 538"/>
                <a:graphic xmlns:a="http://schemas.openxmlformats.org/drawingml/2006/main">
                  <a:graphicData uri="http://schemas.microsoft.com/office/word/2010/wordprocessingShape">
                    <wps:wsp>
                      <wps:cNvSpPr txBox="1"/>
                      <wps:spPr>
                        <a:xfrm>
                          <a:ext cx="5727065" cy="335280"/>
                        </a:xfrm>
                        <a:prstGeom prst="rect"/>
                        <a:solidFill>
                          <a:srgbClr val="F7FCFF"/>
                        </a:solidFill>
                      </wps:spPr>
                      <wps:txbx>
                        <w:txbxContent>
                          <w:p>
                            <w:pPr>
                              <w:pStyle w:val="Style15"/>
                              <w:keepNext/>
                              <w:keepLines/>
                              <w:widowControl w:val="0"/>
                              <w:shd w:val="clear" w:color="auto" w:fill="auto"/>
                              <w:bidi w:val="0"/>
                              <w:spacing w:before="0" w:after="0" w:line="300" w:lineRule="auto"/>
                              <w:ind w:left="0" w:right="0" w:firstLine="0"/>
                              <w:jc w:val="left"/>
                            </w:pPr>
                            <w:bookmarkStart w:id="275" w:name="bookmark275"/>
                            <w:r>
                              <w:rPr>
                                <w:rStyle w:val="CharStyle16"/>
                                <w:b/>
                                <w:bCs/>
                              </w:rPr>
                              <w:t>Obr. 6.39 Odhad spotřeby a) Ostatních plynových paliv a b) Ostatních tuhých a tekutých paliv pro období 2025-2040</w:t>
                            </w:r>
                            <w:bookmarkEnd w:id="275"/>
                          </w:p>
                        </w:txbxContent>
                      </wps:txbx>
                      <wps:bodyPr lIns="0" tIns="0" rIns="0" bIns="0">
                        <a:noAutoFit/>
                      </wps:bodyPr>
                    </wps:wsp>
                  </a:graphicData>
                </a:graphic>
              </wp:anchor>
            </w:drawing>
          </mc:Choice>
          <mc:Fallback>
            <w:pict>
              <v:shape id="_x0000_s1564" type="#_x0000_t202" style="position:absolute;margin-left:-73.700000000000003pt;margin-top:133.44999999999999pt;width:450.94999999999999pt;height:26.400000000000002pt;z-index:-125829246;mso-wrap-distance-left:9.pt;mso-wrap-distance-top:22.pt;mso-wrap-distance-right:9.pt;mso-position-horizontal-relative:margin;mso-position-vertical-relative:margin" fillcolor="#F7FCFF" stroked="f">
                <v:textbox inset="0,0,0,0">
                  <w:txbxContent>
                    <w:p>
                      <w:pPr>
                        <w:pStyle w:val="Style15"/>
                        <w:keepNext/>
                        <w:keepLines/>
                        <w:widowControl w:val="0"/>
                        <w:shd w:val="clear" w:color="auto" w:fill="auto"/>
                        <w:bidi w:val="0"/>
                        <w:spacing w:before="0" w:after="0" w:line="300" w:lineRule="auto"/>
                        <w:ind w:left="0" w:right="0" w:firstLine="0"/>
                        <w:jc w:val="left"/>
                      </w:pPr>
                      <w:bookmarkStart w:id="275" w:name="bookmark275"/>
                      <w:r>
                        <w:rPr>
                          <w:rStyle w:val="CharStyle16"/>
                          <w:b/>
                          <w:bCs/>
                        </w:rPr>
                        <w:t>Obr. 6.39 Odhad spotřeby a) Ostatních plynových paliv a b) Ostatních tuhých a tekutých paliv pro období 2025-2040</w:t>
                      </w:r>
                      <w:bookmarkEnd w:id="275"/>
                    </w:p>
                  </w:txbxContent>
                </v:textbox>
                <w10:wrap type="topAndBottom" anchorx="margin" anchory="margin"/>
              </v:shape>
            </w:pict>
          </mc:Fallback>
        </mc:AlternateContent>
      </w:r>
      <w:r>
        <w:drawing>
          <wp:anchor distT="0" distB="0" distL="114300" distR="114300" simplePos="0" relativeHeight="125829509" behindDoc="0" locked="0" layoutInCell="1" allowOverlap="1">
            <wp:simplePos x="0" y="0"/>
            <wp:positionH relativeFrom="margin">
              <wp:posOffset>5498465</wp:posOffset>
            </wp:positionH>
            <wp:positionV relativeFrom="margin">
              <wp:posOffset>-643255</wp:posOffset>
            </wp:positionV>
            <wp:extent cx="237490" cy="1334770"/>
            <wp:wrapSquare wrapText="bothSides"/>
            <wp:docPr id="540" name="Shape 540"/>
            <a:graphic xmlns:a="http://schemas.openxmlformats.org/drawingml/2006/main">
              <a:graphicData uri="http://schemas.openxmlformats.org/drawingml/2006/picture">
                <pic:pic xmlns:pic="http://schemas.openxmlformats.org/drawingml/2006/picture">
                  <pic:nvPicPr>
                    <pic:cNvPr id="541" name="Picture box 541"/>
                    <pic:cNvPicPr/>
                  </pic:nvPicPr>
                  <pic:blipFill>
                    <a:blip r:embed="rId351"/>
                    <a:stretch/>
                  </pic:blipFill>
                  <pic:spPr>
                    <a:xfrm>
                      <a:ext cx="237490" cy="1334770"/>
                    </a:xfrm>
                    <a:prstGeom prst="rect"/>
                  </pic:spPr>
                </pic:pic>
              </a:graphicData>
            </a:graphic>
          </wp:anchor>
        </w:drawing>
      </w:r>
      <w:r>
        <w:drawing>
          <wp:anchor distT="0" distB="0" distL="114300" distR="114300" simplePos="0" relativeHeight="125829510" behindDoc="0" locked="0" layoutInCell="1" allowOverlap="1">
            <wp:simplePos x="0" y="0"/>
            <wp:positionH relativeFrom="margin">
              <wp:posOffset>5498465</wp:posOffset>
            </wp:positionH>
            <wp:positionV relativeFrom="margin">
              <wp:posOffset>694690</wp:posOffset>
            </wp:positionV>
            <wp:extent cx="237490" cy="1334770"/>
            <wp:wrapSquare wrapText="bothSides"/>
            <wp:docPr id="542" name="Shape 542"/>
            <a:graphic xmlns:a="http://schemas.openxmlformats.org/drawingml/2006/main">
              <a:graphicData uri="http://schemas.openxmlformats.org/drawingml/2006/picture">
                <pic:pic xmlns:pic="http://schemas.openxmlformats.org/drawingml/2006/picture">
                  <pic:nvPicPr>
                    <pic:cNvPr id="543" name="Picture box 543"/>
                    <pic:cNvPicPr/>
                  </pic:nvPicPr>
                  <pic:blipFill>
                    <a:blip r:embed="rId353"/>
                    <a:stretch/>
                  </pic:blipFill>
                  <pic:spPr>
                    <a:xfrm>
                      <a:ext cx="237490" cy="1334770"/>
                    </a:xfrm>
                    <a:prstGeom prst="rect"/>
                  </pic:spPr>
                </pic:pic>
              </a:graphicData>
            </a:graphic>
          </wp:anchor>
        </w:drawing>
      </w:r>
      <w:r>
        <w:rPr>
          <w:rStyle w:val="CharStyle20"/>
        </w:rPr>
        <w:t>Tato kategorie ve většině případu reprezentuje paliva, která vznikají jako druhotný vedlejší produkt při hlavní průmyslové výrobní činnosti provozovatele zdroje vyrábějícího elektrickou energii (závodní energetiky). Přestože tato paliva mají několikanásobně nižší výhřevnost než například zemní plyn, představují pro provozovatele zdrojů výraznou úsporu na straně nákladů, protože je výrobci nemusí kupovat. Lze tedy předpokládat, že ze strany těchto výrobců bude snaha o zachování využívání těchto vedlejších produktů průmyslové výroby.</w:t>
      </w:r>
    </w:p>
    <w:p>
      <w:pPr>
        <w:pStyle w:val="Style2"/>
        <w:keepNext w:val="0"/>
        <w:keepLines w:val="0"/>
        <w:framePr w:w="1613" w:h="466" w:wrap="none" w:vAnchor="text" w:hAnchor="page" w:x="3030" w:y="4359"/>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framePr w:w="1613" w:h="466" w:wrap="none" w:vAnchor="text" w:hAnchor="page" w:x="3030" w:y="435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p>
      <w:pPr>
        <w:pStyle w:val="Style2"/>
        <w:keepNext w:val="0"/>
        <w:keepLines w:val="0"/>
        <w:framePr w:w="1747" w:h="466" w:wrap="none" w:vAnchor="text" w:hAnchor="page" w:x="6678" w:y="4359"/>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Progresivní scénář</w:t>
      </w:r>
    </w:p>
    <w:p>
      <w:pPr>
        <w:pStyle w:val="Style2"/>
        <w:keepNext w:val="0"/>
        <w:keepLines w:val="0"/>
        <w:framePr w:w="1747" w:h="466" w:wrap="none" w:vAnchor="text" w:hAnchor="page" w:x="6678" w:y="4359"/>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Dekarbonizační scénář</w:t>
      </w:r>
    </w:p>
    <w:p>
      <w:pPr>
        <w:pStyle w:val="Style27"/>
        <w:keepNext/>
        <w:keepLines/>
        <w:framePr w:w="7166" w:h="3163" w:wrap="none" w:vAnchor="text" w:hAnchor="page" w:x="4129" w:y="5900"/>
        <w:widowControl w:val="0"/>
        <w:shd w:val="clear" w:color="auto" w:fill="auto"/>
        <w:bidi w:val="0"/>
        <w:spacing w:before="0" w:after="0"/>
        <w:ind w:left="0" w:right="0" w:firstLine="0"/>
        <w:jc w:val="left"/>
      </w:pPr>
      <w:bookmarkStart w:id="279" w:name="bookmark279"/>
      <w:r>
        <w:rPr>
          <w:rStyle w:val="CharStyle28"/>
          <w:b/>
          <w:bCs/>
        </w:rPr>
        <w:t>6.4.5 EMISNÍ STOPA</w:t>
      </w:r>
      <w:bookmarkEnd w:id="279"/>
    </w:p>
    <w:p>
      <w:pPr>
        <w:pStyle w:val="Style19"/>
        <w:keepNext w:val="0"/>
        <w:keepLines w:val="0"/>
        <w:framePr w:w="7166" w:h="3163" w:wrap="none" w:vAnchor="text" w:hAnchor="page" w:x="4129" w:y="5900"/>
        <w:widowControl w:val="0"/>
        <w:shd w:val="clear" w:color="auto" w:fill="auto"/>
        <w:bidi w:val="0"/>
        <w:spacing w:before="0" w:after="0"/>
        <w:ind w:left="0" w:right="0" w:firstLine="0"/>
        <w:jc w:val="left"/>
      </w:pPr>
      <w:r>
        <w:rPr>
          <w:rStyle w:val="CharStyle20"/>
        </w:rPr>
        <w:t>Výsledky provedených výpočtů umožňují také analyzovat vývoj emisní stopy CO</w:t>
      </w:r>
      <w:r>
        <w:rPr>
          <w:rStyle w:val="CharStyle20"/>
          <w:sz w:val="10"/>
          <w:szCs w:val="10"/>
        </w:rPr>
        <w:t xml:space="preserve">2 </w:t>
      </w:r>
      <w:r>
        <w:rPr>
          <w:rStyle w:val="CharStyle20"/>
        </w:rPr>
        <w:t>v ČR z výroby elektřiny. Emise se vztahují jenom na tuzemskou výrobu elektřiny, nikoliv na importy, které spadají pod emisní stopu dalších států. Provedené simulace se zaměřují na segment elektroenergetiky, konkrétně na výrobce elektřiny s výkonem větším než 10 MWe. Emisní model nezahrnuje detailně všechny emitenty v ČR napříč sektory hospodářství. Proto je nutné uvažovat prezentovaná data v této kapitole jako indikace trendů vývoje emisí z výroby elektřiny dle scénářů, a ne jako definitivní predikci celého energetického mixu ČR. Výpočet ročních emisí pro každou uvažovanou technologii odpovídá součinu výroby elektřiny s emisním faktorem zdroje v rámci dané technologie. Celkové roční emise z výroby elektřiny pak představují součet emisí všech technologií:</w:t>
      </w:r>
    </w:p>
    <w:p>
      <w:pPr>
        <w:pStyle w:val="Style119"/>
        <w:keepNext w:val="0"/>
        <w:keepLines w:val="0"/>
        <w:framePr w:w="5117" w:h="547" w:wrap="none" w:vAnchor="text" w:hAnchor="page" w:x="5185" w:y="9649"/>
        <w:widowControl w:val="0"/>
        <w:shd w:val="clear" w:color="auto" w:fill="auto"/>
        <w:bidi w:val="0"/>
        <w:spacing w:before="0" w:after="0" w:line="240" w:lineRule="auto"/>
        <w:ind w:left="0" w:right="0" w:firstLine="0"/>
        <w:jc w:val="left"/>
      </w:pPr>
      <w:bookmarkStart w:id="281" w:name="bookmark281"/>
      <w:r>
        <w:rPr>
          <w:rStyle w:val="CharStyle120"/>
          <w:rFonts w:ascii="Times New Roman" w:eastAsia="Times New Roman" w:hAnsi="Times New Roman" w:cs="Times New Roman"/>
          <w:sz w:val="20"/>
          <w:szCs w:val="20"/>
          <w:vertAlign w:val="superscript"/>
        </w:rPr>
        <w:t>Emise ČR</w:t>
      </w:r>
      <w:r>
        <w:rPr>
          <w:rStyle w:val="CharStyle120"/>
        </w:rPr>
        <w:t xml:space="preserve">Rok </w:t>
      </w:r>
      <w:r>
        <w:rPr>
          <w:rStyle w:val="CharStyle120"/>
          <w:sz w:val="18"/>
          <w:szCs w:val="18"/>
        </w:rPr>
        <w:t xml:space="preserve">= </w:t>
      </w:r>
      <w:r>
        <w:rPr>
          <w:rStyle w:val="CharStyle120"/>
          <w:sz w:val="42"/>
          <w:szCs w:val="42"/>
        </w:rPr>
        <w:t>^</w:t>
      </w:r>
      <w:r>
        <w:rPr>
          <w:rStyle w:val="CharStyle120"/>
          <w:sz w:val="18"/>
          <w:szCs w:val="18"/>
        </w:rPr>
        <w:t>Výroba</w:t>
      </w:r>
      <w:r>
        <w:rPr>
          <w:rStyle w:val="CharStyle120"/>
        </w:rPr>
        <w:t xml:space="preserve">Technologie, Rok </w:t>
      </w:r>
      <w:r>
        <w:rPr>
          <w:rStyle w:val="CharStyle120"/>
          <w:sz w:val="18"/>
          <w:szCs w:val="18"/>
        </w:rPr>
        <w:t xml:space="preserve">* </w:t>
      </w:r>
      <w:r>
        <w:rPr>
          <w:rStyle w:val="CharStyle120"/>
          <w:rFonts w:ascii="Times New Roman" w:eastAsia="Times New Roman" w:hAnsi="Times New Roman" w:cs="Times New Roman"/>
          <w:sz w:val="20"/>
          <w:szCs w:val="20"/>
          <w:vertAlign w:val="superscript"/>
        </w:rPr>
        <w:t>Emisní</w:t>
      </w:r>
      <w:r>
        <w:rPr>
          <w:rStyle w:val="CharStyle120"/>
          <w:rFonts w:ascii="Times New Roman" w:eastAsia="Times New Roman" w:hAnsi="Times New Roman" w:cs="Times New Roman"/>
          <w:sz w:val="20"/>
          <w:szCs w:val="20"/>
        </w:rPr>
        <w:t xml:space="preserve"> </w:t>
      </w:r>
      <w:r>
        <w:rPr>
          <w:rStyle w:val="CharStyle120"/>
          <w:sz w:val="18"/>
          <w:szCs w:val="18"/>
        </w:rPr>
        <w:t>faktor</w:t>
      </w:r>
      <w:r>
        <w:rPr>
          <w:rStyle w:val="CharStyle120"/>
        </w:rPr>
        <w:t>Technologie, Rok</w:t>
      </w:r>
      <w:bookmarkEnd w:id="281"/>
    </w:p>
    <w:p>
      <w:pPr>
        <w:widowControl w:val="0"/>
        <w:spacing w:line="360" w:lineRule="exact"/>
      </w:pPr>
      <w:r>
        <w:drawing>
          <wp:anchor distT="0" distB="0" distL="0" distR="0" simplePos="0" relativeHeight="62914859" behindDoc="1" locked="0" layoutInCell="1" allowOverlap="1">
            <wp:simplePos x="0" y="0"/>
            <wp:positionH relativeFrom="page">
              <wp:posOffset>85725</wp:posOffset>
            </wp:positionH>
            <wp:positionV relativeFrom="paragraph">
              <wp:posOffset>4008120</wp:posOffset>
            </wp:positionV>
            <wp:extent cx="670560" cy="1334770"/>
            <wp:wrapNone/>
            <wp:docPr id="544" name="Shape 544"/>
            <a:graphic xmlns:a="http://schemas.openxmlformats.org/drawingml/2006/main">
              <a:graphicData uri="http://schemas.openxmlformats.org/drawingml/2006/picture">
                <pic:pic xmlns:pic="http://schemas.openxmlformats.org/drawingml/2006/picture">
                  <pic:nvPicPr>
                    <pic:cNvPr id="545" name="Picture box 545"/>
                    <pic:cNvPicPr/>
                  </pic:nvPicPr>
                  <pic:blipFill>
                    <a:blip r:embed="rId355"/>
                    <a:stretch/>
                  </pic:blipFill>
                  <pic:spPr>
                    <a:xfrm>
                      <a:ext cx="670560" cy="1334770"/>
                    </a:xfrm>
                    <a:prstGeom prst="rect"/>
                  </pic:spPr>
                </pic:pic>
              </a:graphicData>
            </a:graphic>
          </wp:anchor>
        </w:drawing>
      </w:r>
      <w:r>
        <w:drawing>
          <wp:anchor distT="0" distB="0" distL="0" distR="0" simplePos="0" relativeHeight="62914860" behindDoc="1" locked="0" layoutInCell="1" allowOverlap="1">
            <wp:simplePos x="0" y="0"/>
            <wp:positionH relativeFrom="page">
              <wp:posOffset>85725</wp:posOffset>
            </wp:positionH>
            <wp:positionV relativeFrom="paragraph">
              <wp:posOffset>5346065</wp:posOffset>
            </wp:positionV>
            <wp:extent cx="670560" cy="1334770"/>
            <wp:wrapNone/>
            <wp:docPr id="546" name="Shape 546"/>
            <a:graphic xmlns:a="http://schemas.openxmlformats.org/drawingml/2006/main">
              <a:graphicData uri="http://schemas.openxmlformats.org/drawingml/2006/picture">
                <pic:pic xmlns:pic="http://schemas.openxmlformats.org/drawingml/2006/picture">
                  <pic:nvPicPr>
                    <pic:cNvPr id="547" name="Picture box 547"/>
                    <pic:cNvPicPr/>
                  </pic:nvPicPr>
                  <pic:blipFill>
                    <a:blip r:embed="rId357"/>
                    <a:stretch/>
                  </pic:blipFill>
                  <pic:spPr>
                    <a:xfrm>
                      <a:ext cx="670560" cy="1334770"/>
                    </a:xfrm>
                    <a:prstGeom prst="rect"/>
                  </pic:spPr>
                </pic:pic>
              </a:graphicData>
            </a:graphic>
          </wp:anchor>
        </w:drawing>
      </w:r>
      <w:r>
        <w:drawing>
          <wp:anchor distT="0" distB="502920" distL="0" distR="0" simplePos="0" relativeHeight="62914861" behindDoc="1" locked="0" layoutInCell="1" allowOverlap="1">
            <wp:simplePos x="0" y="0"/>
            <wp:positionH relativeFrom="page">
              <wp:posOffset>987425</wp:posOffset>
            </wp:positionH>
            <wp:positionV relativeFrom="paragraph">
              <wp:posOffset>115570</wp:posOffset>
            </wp:positionV>
            <wp:extent cx="2980690" cy="2444750"/>
            <wp:wrapNone/>
            <wp:docPr id="548" name="Shape 548"/>
            <a:graphic xmlns:a="http://schemas.openxmlformats.org/drawingml/2006/main">
              <a:graphicData uri="http://schemas.openxmlformats.org/drawingml/2006/picture">
                <pic:pic xmlns:pic="http://schemas.openxmlformats.org/drawingml/2006/picture">
                  <pic:nvPicPr>
                    <pic:cNvPr id="549" name="Picture box 549"/>
                    <pic:cNvPicPr/>
                  </pic:nvPicPr>
                  <pic:blipFill>
                    <a:blip r:embed="rId359"/>
                    <a:stretch/>
                  </pic:blipFill>
                  <pic:spPr>
                    <a:xfrm>
                      <a:ext cx="2980690" cy="2444750"/>
                    </a:xfrm>
                    <a:prstGeom prst="rect"/>
                  </pic:spPr>
                </pic:pic>
              </a:graphicData>
            </a:graphic>
          </wp:anchor>
        </w:drawing>
      </w:r>
      <w:r>
        <w:drawing>
          <wp:anchor distT="0" distB="502920" distL="0" distR="0" simplePos="0" relativeHeight="62914862" behindDoc="1" locked="0" layoutInCell="1" allowOverlap="1">
            <wp:simplePos x="0" y="0"/>
            <wp:positionH relativeFrom="page">
              <wp:posOffset>4227830</wp:posOffset>
            </wp:positionH>
            <wp:positionV relativeFrom="paragraph">
              <wp:posOffset>115570</wp:posOffset>
            </wp:positionV>
            <wp:extent cx="2956560" cy="2444750"/>
            <wp:wrapNone/>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361"/>
                    <a:stretch/>
                  </pic:blipFill>
                  <pic:spPr>
                    <a:xfrm>
                      <a:ext cx="2956560" cy="2444750"/>
                    </a:xfrm>
                    <a:prstGeom prst="rect"/>
                  </pic:spPr>
                </pic:pic>
              </a:graphicData>
            </a:graphic>
          </wp:anchor>
        </w:drawing>
      </w:r>
      <w:r>
        <w:drawing>
          <wp:anchor distT="0" distB="0" distL="0" distR="0" simplePos="0" relativeHeight="62914863" behindDoc="1" locked="0" layoutInCell="1" allowOverlap="1">
            <wp:simplePos x="0" y="0"/>
            <wp:positionH relativeFrom="page">
              <wp:posOffset>7406640</wp:posOffset>
            </wp:positionH>
            <wp:positionV relativeFrom="paragraph">
              <wp:posOffset>12700</wp:posOffset>
            </wp:positionV>
            <wp:extent cx="237490" cy="1334770"/>
            <wp:wrapNone/>
            <wp:docPr id="552" name="Shape 552"/>
            <a:graphic xmlns:a="http://schemas.openxmlformats.org/drawingml/2006/main">
              <a:graphicData uri="http://schemas.openxmlformats.org/drawingml/2006/picture">
                <pic:pic xmlns:pic="http://schemas.openxmlformats.org/drawingml/2006/picture">
                  <pic:nvPicPr>
                    <pic:cNvPr id="553" name="Picture box 553"/>
                    <pic:cNvPicPr/>
                  </pic:nvPicPr>
                  <pic:blipFill>
                    <a:blip r:embed="rId363"/>
                    <a:stretch/>
                  </pic:blipFill>
                  <pic:spPr>
                    <a:xfrm>
                      <a:ext cx="237490" cy="1334770"/>
                    </a:xfrm>
                    <a:prstGeom prst="rect"/>
                  </pic:spPr>
                </pic:pic>
              </a:graphicData>
            </a:graphic>
          </wp:anchor>
        </w:drawing>
      </w:r>
      <w:r>
        <w:drawing>
          <wp:anchor distT="0" distB="0" distL="0" distR="0" simplePos="0" relativeHeight="62914864" behindDoc="1" locked="0" layoutInCell="1" allowOverlap="1">
            <wp:simplePos x="0" y="0"/>
            <wp:positionH relativeFrom="page">
              <wp:posOffset>7406640</wp:posOffset>
            </wp:positionH>
            <wp:positionV relativeFrom="paragraph">
              <wp:posOffset>1334770</wp:posOffset>
            </wp:positionV>
            <wp:extent cx="237490" cy="1334770"/>
            <wp:wrapNone/>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365"/>
                    <a:stretch/>
                  </pic:blipFill>
                  <pic:spPr>
                    <a:xfrm>
                      <a:ext cx="237490" cy="1334770"/>
                    </a:xfrm>
                    <a:prstGeom prst="rect"/>
                  </pic:spPr>
                </pic:pic>
              </a:graphicData>
            </a:graphic>
          </wp:anchor>
        </w:drawing>
      </w:r>
      <w:r>
        <w:drawing>
          <wp:anchor distT="0" distB="0" distL="0" distR="0" simplePos="0" relativeHeight="62914865" behindDoc="1" locked="0" layoutInCell="1" allowOverlap="1">
            <wp:simplePos x="0" y="0"/>
            <wp:positionH relativeFrom="page">
              <wp:posOffset>756285</wp:posOffset>
            </wp:positionH>
            <wp:positionV relativeFrom="paragraph">
              <wp:posOffset>4008120</wp:posOffset>
            </wp:positionV>
            <wp:extent cx="1657985" cy="1334770"/>
            <wp:wrapNone/>
            <wp:docPr id="556" name="Shape 556"/>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367"/>
                    <a:stretch/>
                  </pic:blipFill>
                  <pic:spPr>
                    <a:xfrm>
                      <a:ext cx="1657985" cy="1334770"/>
                    </a:xfrm>
                    <a:prstGeom prst="rect"/>
                  </pic:spPr>
                </pic:pic>
              </a:graphicData>
            </a:graphic>
          </wp:anchor>
        </w:drawing>
      </w:r>
      <w:r>
        <w:drawing>
          <wp:anchor distT="0" distB="0" distL="0" distR="0" simplePos="0" relativeHeight="62914866" behindDoc="1" locked="0" layoutInCell="1" allowOverlap="1">
            <wp:simplePos x="0" y="0"/>
            <wp:positionH relativeFrom="page">
              <wp:posOffset>756285</wp:posOffset>
            </wp:positionH>
            <wp:positionV relativeFrom="paragraph">
              <wp:posOffset>5346065</wp:posOffset>
            </wp:positionV>
            <wp:extent cx="1657985" cy="1334770"/>
            <wp:wrapNone/>
            <wp:docPr id="558" name="Shape 558"/>
            <a:graphic xmlns:a="http://schemas.openxmlformats.org/drawingml/2006/main">
              <a:graphicData uri="http://schemas.openxmlformats.org/drawingml/2006/picture">
                <pic:pic xmlns:pic="http://schemas.openxmlformats.org/drawingml/2006/picture">
                  <pic:nvPicPr>
                    <pic:cNvPr id="559" name="Picture box 559"/>
                    <pic:cNvPicPr/>
                  </pic:nvPicPr>
                  <pic:blipFill>
                    <a:blip r:embed="rId369"/>
                    <a:stretch/>
                  </pic:blipFill>
                  <pic:spPr>
                    <a:xfrm>
                      <a:ext cx="1657985" cy="1334770"/>
                    </a:xfrm>
                    <a:prstGeom prst="rect"/>
                  </pic:spPr>
                </pic:pic>
              </a:graphicData>
            </a:graphic>
          </wp:anchor>
        </w:drawing>
      </w:r>
      <w:r>
        <w:drawing>
          <wp:anchor distT="0" distB="0" distL="0" distR="0" simplePos="0" relativeHeight="62914867" behindDoc="1" locked="0" layoutInCell="1" allowOverlap="1">
            <wp:simplePos x="0" y="0"/>
            <wp:positionH relativeFrom="page">
              <wp:posOffset>7406640</wp:posOffset>
            </wp:positionH>
            <wp:positionV relativeFrom="paragraph">
              <wp:posOffset>2673350</wp:posOffset>
            </wp:positionV>
            <wp:extent cx="237490" cy="1334770"/>
            <wp:wrapNone/>
            <wp:docPr id="560" name="Shape 560"/>
            <a:graphic xmlns:a="http://schemas.openxmlformats.org/drawingml/2006/main">
              <a:graphicData uri="http://schemas.openxmlformats.org/drawingml/2006/picture">
                <pic:pic xmlns:pic="http://schemas.openxmlformats.org/drawingml/2006/picture">
                  <pic:nvPicPr>
                    <pic:cNvPr id="561" name="Picture box 561"/>
                    <pic:cNvPicPr/>
                  </pic:nvPicPr>
                  <pic:blipFill>
                    <a:blip r:embed="rId371"/>
                    <a:stretch/>
                  </pic:blipFill>
                  <pic:spPr>
                    <a:xfrm>
                      <a:ext cx="237490" cy="1334770"/>
                    </a:xfrm>
                    <a:prstGeom prst="rect"/>
                  </pic:spPr>
                </pic:pic>
              </a:graphicData>
            </a:graphic>
          </wp:anchor>
        </w:drawing>
      </w:r>
      <w:r>
        <w:drawing>
          <wp:anchor distT="0" distB="0" distL="0" distR="0" simplePos="0" relativeHeight="62914868" behindDoc="1" locked="0" layoutInCell="1" allowOverlap="1">
            <wp:simplePos x="0" y="0"/>
            <wp:positionH relativeFrom="page">
              <wp:posOffset>7406640</wp:posOffset>
            </wp:positionH>
            <wp:positionV relativeFrom="paragraph">
              <wp:posOffset>4008120</wp:posOffset>
            </wp:positionV>
            <wp:extent cx="237490" cy="1334770"/>
            <wp:wrapNone/>
            <wp:docPr id="562" name="Shape 562"/>
            <a:graphic xmlns:a="http://schemas.openxmlformats.org/drawingml/2006/main">
              <a:graphicData uri="http://schemas.openxmlformats.org/drawingml/2006/picture">
                <pic:pic xmlns:pic="http://schemas.openxmlformats.org/drawingml/2006/picture">
                  <pic:nvPicPr>
                    <pic:cNvPr id="563" name="Picture box 563"/>
                    <pic:cNvPicPr/>
                  </pic:nvPicPr>
                  <pic:blipFill>
                    <a:blip r:embed="rId373"/>
                    <a:stretch/>
                  </pic:blipFill>
                  <pic:spPr>
                    <a:xfrm>
                      <a:ext cx="237490" cy="1334770"/>
                    </a:xfrm>
                    <a:prstGeom prst="rect"/>
                  </pic:spPr>
                </pic:pic>
              </a:graphicData>
            </a:graphic>
          </wp:anchor>
        </w:drawing>
      </w:r>
      <w:r>
        <w:drawing>
          <wp:anchor distT="0" distB="0" distL="0" distR="0" simplePos="0" relativeHeight="62914869" behindDoc="1" locked="0" layoutInCell="1" allowOverlap="1">
            <wp:simplePos x="0" y="0"/>
            <wp:positionH relativeFrom="page">
              <wp:posOffset>7406640</wp:posOffset>
            </wp:positionH>
            <wp:positionV relativeFrom="paragraph">
              <wp:posOffset>5346065</wp:posOffset>
            </wp:positionV>
            <wp:extent cx="237490" cy="1334770"/>
            <wp:wrapNone/>
            <wp:docPr id="564" name="Shape 564"/>
            <a:graphic xmlns:a="http://schemas.openxmlformats.org/drawingml/2006/main">
              <a:graphicData uri="http://schemas.openxmlformats.org/drawingml/2006/picture">
                <pic:pic xmlns:pic="http://schemas.openxmlformats.org/drawingml/2006/picture">
                  <pic:nvPicPr>
                    <pic:cNvPr id="565" name="Picture box 565"/>
                    <pic:cNvPicPr/>
                  </pic:nvPicPr>
                  <pic:blipFill>
                    <a:blip r:embed="rId375"/>
                    <a:stretch/>
                  </pic:blipFill>
                  <pic:spPr>
                    <a:xfrm>
                      <a:ext cx="237490"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1" w:line="1" w:lineRule="exact"/>
      </w:pPr>
    </w:p>
    <w:p>
      <w:pPr>
        <w:widowControl w:val="0"/>
        <w:spacing w:line="1" w:lineRule="exact"/>
        <w:sectPr>
          <w:footnotePr>
            <w:pos w:val="pageBottom"/>
            <w:numFmt w:val="decimal"/>
            <w:numRestart w:val="continuous"/>
          </w:footnotePr>
          <w:type w:val="continuous"/>
          <w:pgSz w:w="12142" w:h="17375"/>
          <w:pgMar w:top="268" w:right="119" w:bottom="581" w:left="119" w:header="0" w:footer="3" w:gutter="0"/>
          <w:cols w:space="720"/>
          <w:noEndnote/>
          <w:rtlGutter/>
          <w:docGrid w:linePitch="360"/>
        </w:sectPr>
      </w:pPr>
    </w:p>
    <w:p>
      <w:pPr>
        <w:pStyle w:val="Style15"/>
        <w:keepNext/>
        <w:keepLines/>
        <w:widowControl w:val="0"/>
        <w:shd w:val="clear" w:color="auto" w:fill="auto"/>
        <w:bidi w:val="0"/>
        <w:spacing w:before="0" w:after="460" w:line="240" w:lineRule="auto"/>
        <w:ind w:left="0" w:right="0" w:firstLine="0"/>
        <w:jc w:val="left"/>
      </w:pPr>
      <w:bookmarkStart w:id="282" w:name="bookmark282"/>
      <w:r>
        <w:rPr>
          <w:rStyle w:val="CharStyle16"/>
          <w:b/>
          <w:bCs/>
        </w:rPr>
        <w:t>Obr. 6.40 Emise CO</w:t>
      </w:r>
      <w:r>
        <w:rPr>
          <w:rStyle w:val="CharStyle16"/>
          <w:b/>
          <w:bCs/>
          <w:sz w:val="8"/>
          <w:szCs w:val="8"/>
        </w:rPr>
        <w:t xml:space="preserve">2 </w:t>
      </w:r>
      <w:r>
        <w:rPr>
          <w:rStyle w:val="CharStyle16"/>
          <w:b/>
          <w:bCs/>
        </w:rPr>
        <w:t>v ČR v pro cílové roky</w:t>
      </w:r>
      <w:bookmarkEnd w:id="282"/>
    </w:p>
    <w:p>
      <w:pPr>
        <w:widowControl w:val="0"/>
        <w:jc w:val="center"/>
        <w:rPr>
          <w:sz w:val="2"/>
          <w:szCs w:val="2"/>
        </w:rPr>
      </w:pPr>
      <w:r>
        <w:drawing>
          <wp:inline>
            <wp:extent cx="6193790" cy="2212975"/>
            <wp:docPr id="566" name="Picutre 566"/>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377"/>
                    <a:stretch/>
                  </pic:blipFill>
                  <pic:spPr>
                    <a:xfrm>
                      <a:ext cx="6193790" cy="2212975"/>
                    </a:xfrm>
                    <a:prstGeom prst="rect"/>
                  </pic:spPr>
                </pic:pic>
              </a:graphicData>
            </a:graphic>
          </wp:inline>
        </w:drawing>
      </w:r>
    </w:p>
    <w:p>
      <w:pPr>
        <w:pStyle w:val="Style2"/>
        <w:keepNext w:val="0"/>
        <w:keepLines w:val="0"/>
        <w:widowControl w:val="0"/>
        <w:shd w:val="clear" w:color="auto" w:fill="auto"/>
        <w:tabs>
          <w:tab w:pos="3614" w:val="left"/>
        </w:tabs>
        <w:bidi w:val="0"/>
        <w:spacing w:before="0" w:after="60" w:line="240" w:lineRule="auto"/>
        <w:ind w:left="0" w:right="0" w:firstLine="0"/>
        <w:jc w:val="left"/>
        <w:rPr>
          <w:sz w:val="16"/>
          <w:szCs w:val="16"/>
        </w:rPr>
      </w:pPr>
      <w:r>
        <w:rPr>
          <w:rStyle w:val="CharStyle3"/>
          <w:color w:val="000000"/>
          <w:sz w:val="16"/>
          <w:szCs w:val="16"/>
        </w:rPr>
        <w:t>Respondentní scénář</w:t>
        <w:tab/>
        <w:t>Progresivní scénář</w:t>
      </w:r>
    </w:p>
    <w:p>
      <w:pPr>
        <w:pStyle w:val="Style2"/>
        <w:keepNext w:val="0"/>
        <w:keepLines w:val="0"/>
        <w:widowControl w:val="0"/>
        <w:shd w:val="clear" w:color="auto" w:fill="auto"/>
        <w:tabs>
          <w:tab w:pos="3614" w:val="left"/>
        </w:tabs>
        <w:bidi w:val="0"/>
        <w:spacing w:before="0" w:after="0" w:line="240" w:lineRule="auto"/>
        <w:ind w:left="0" w:right="0" w:firstLine="0"/>
        <w:jc w:val="left"/>
        <w:rPr>
          <w:sz w:val="16"/>
          <w:szCs w:val="16"/>
        </w:rPr>
      </w:pPr>
      <w:r>
        <w:rPr>
          <w:rStyle w:val="CharStyle3"/>
          <w:color w:val="000000"/>
          <w:sz w:val="16"/>
          <w:szCs w:val="16"/>
        </w:rPr>
        <w:t>Konzervativní scénář</w:t>
        <w:tab/>
        <w:t>Dekarbonizační scénář</w:t>
      </w:r>
    </w:p>
    <w:p>
      <w:pPr>
        <w:widowControl w:val="0"/>
        <w:spacing w:after="339" w:line="1" w:lineRule="exact"/>
      </w:pPr>
    </w:p>
    <w:p>
      <w:pPr>
        <w:pStyle w:val="Style68"/>
        <w:keepNext w:val="0"/>
        <w:keepLines w:val="0"/>
        <w:widowControl w:val="0"/>
        <w:shd w:val="clear" w:color="auto" w:fill="auto"/>
        <w:tabs>
          <w:tab w:pos="4851" w:val="left"/>
        </w:tabs>
        <w:bidi w:val="0"/>
        <w:spacing w:before="0" w:after="340" w:line="240" w:lineRule="auto"/>
        <w:ind w:right="0" w:firstLine="0"/>
        <w:jc w:val="left"/>
      </w:pPr>
      <w:r>
        <w:rPr>
          <w:rStyle w:val="CharStyle69"/>
        </w:rPr>
        <w:t>I</w:t>
        <w:tab/>
        <w:t>I</w:t>
      </w:r>
    </w:p>
    <w:p>
      <w:pPr>
        <w:pStyle w:val="Style19"/>
        <w:keepNext w:val="0"/>
        <w:keepLines w:val="0"/>
        <w:widowControl w:val="0"/>
        <w:shd w:val="clear" w:color="auto" w:fill="auto"/>
        <w:bidi w:val="0"/>
        <w:spacing w:before="0" w:after="520"/>
        <w:ind w:left="0" w:right="0" w:firstLine="0"/>
        <w:jc w:val="left"/>
      </w:pPr>
      <w:r>
        <w:rPr>
          <w:rStyle w:val="CharStyle20"/>
        </w:rPr>
        <w:t>Emise všech scénářů se v roce 2025 nacházejí na srovnatelné úrovni. V roce 2030 je v objemu emisí Dekarbonizačního scénáře již zřejmý vliv útlumu uhlí, v letech 2035 a 2040 ale dosahují emise tohoto scénáře vyšší úrovně než všechny ostatní scénáře. Tyto vysoké hodnoty jsou způsobeny vyšší produkci elektřiny z plynových zdrojů z důvodu zvýšené spotřeby elektrické energie - v roce 2040 se spotřeba elektřiny Dekarbonizačního scénáře pohybuje ve výši 112 TWh, Progresivního na 98 TWh a Konzervativního 83 TWh. Většinová část nárůstu spotřeby je pokryta z OZE, plynovými elektrárnami a novým jaderným zdrojem. Pouze minimální část je pokryta zvýšením dovozu o 2 TWh, který je na hranici technických možností importu.</w:t>
      </w:r>
    </w:p>
    <w:p>
      <w:pPr>
        <w:pStyle w:val="Style68"/>
        <w:keepNext w:val="0"/>
        <w:keepLines w:val="0"/>
        <w:widowControl w:val="0"/>
        <w:shd w:val="clear" w:color="auto" w:fill="auto"/>
        <w:tabs>
          <w:tab w:pos="4851" w:val="left"/>
        </w:tabs>
        <w:bidi w:val="0"/>
        <w:spacing w:before="0" w:line="240" w:lineRule="auto"/>
        <w:ind w:right="0" w:firstLine="0"/>
        <w:jc w:val="left"/>
      </w:pPr>
      <w:r>
        <w:rPr>
          <w:rStyle w:val="CharStyle69"/>
        </w:rPr>
        <w:t>I</w:t>
        <w:tab/>
        <w:t>I</w:t>
      </w:r>
    </w:p>
    <w:p>
      <w:pPr>
        <w:pStyle w:val="Style15"/>
        <w:keepNext/>
        <w:keepLines/>
        <w:widowControl w:val="0"/>
        <w:shd w:val="clear" w:color="auto" w:fill="auto"/>
        <w:bidi w:val="0"/>
        <w:spacing w:before="0" w:after="460" w:line="302" w:lineRule="auto"/>
        <w:ind w:left="0" w:right="0" w:firstLine="0"/>
        <w:jc w:val="left"/>
      </w:pPr>
      <w:bookmarkStart w:id="284" w:name="bookmark284"/>
      <w:r>
        <w:rPr>
          <w:rStyle w:val="CharStyle16"/>
          <w:b/>
          <w:bCs/>
        </w:rPr>
        <w:t>Obr. 6.41 Vývoj kumulovaných emisí CO</w:t>
      </w:r>
      <w:r>
        <w:rPr>
          <w:rStyle w:val="CharStyle16"/>
          <w:b/>
          <w:bCs/>
          <w:sz w:val="8"/>
          <w:szCs w:val="8"/>
        </w:rPr>
        <w:t xml:space="preserve">2 </w:t>
      </w:r>
      <w:r>
        <w:rPr>
          <w:rStyle w:val="CharStyle16"/>
          <w:b/>
          <w:bCs/>
        </w:rPr>
        <w:t>v ČR v období 2025-2040</w:t>
      </w:r>
      <w:bookmarkEnd w:id="284"/>
    </w:p>
    <w:p>
      <w:pPr>
        <w:framePr w:w="9754" w:h="3480" w:vSpace="830" w:wrap="notBeside" w:vAnchor="text" w:hAnchor="text" w:x="15" w:y="1"/>
        <w:widowControl w:val="0"/>
        <w:rPr>
          <w:sz w:val="2"/>
          <w:szCs w:val="2"/>
        </w:rPr>
      </w:pPr>
      <w:r>
        <w:drawing>
          <wp:inline>
            <wp:extent cx="6193790" cy="2212975"/>
            <wp:docPr id="567" name="Picutre 567"/>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79"/>
                    <a:stretch/>
                  </pic:blipFill>
                  <pic:spPr>
                    <a:xfrm>
                      <a:ext cx="6193790" cy="2212975"/>
                    </a:xfrm>
                    <a:prstGeom prst="rect"/>
                  </pic:spPr>
                </pic:pic>
              </a:graphicData>
            </a:graphic>
          </wp:inline>
        </w:drawing>
      </w:r>
    </w:p>
    <w:p>
      <w:pPr>
        <w:widowControl w:val="0"/>
        <w:spacing w:line="1" w:lineRule="exact"/>
      </w:pPr>
      <w:r>
        <mc:AlternateContent>
          <mc:Choice Requires="wps">
            <w:drawing>
              <wp:anchor distT="0" distB="0" distL="8890" distR="5142230" simplePos="0" relativeHeight="125829511" behindDoc="0" locked="0" layoutInCell="1" allowOverlap="1">
                <wp:simplePos x="0" y="0"/>
                <wp:positionH relativeFrom="column">
                  <wp:posOffset>911225</wp:posOffset>
                </wp:positionH>
                <wp:positionV relativeFrom="paragraph">
                  <wp:posOffset>2441575</wp:posOffset>
                </wp:positionV>
                <wp:extent cx="1060450" cy="295910"/>
                <wp:wrapTopAndBottom/>
                <wp:docPr id="568" name="Shape 568"/>
                <a:graphic xmlns:a="http://schemas.openxmlformats.org/drawingml/2006/main">
                  <a:graphicData uri="http://schemas.microsoft.com/office/word/2010/wordprocessingShape">
                    <wps:wsp>
                      <wps:cNvSpPr txBox="1"/>
                      <wps:spPr>
                        <a:xfrm>
                          <a:ext cx="1060450" cy="29591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txbxContent>
                      </wps:txbx>
                      <wps:bodyPr lIns="0" tIns="0" rIns="0" bIns="0">
                        <a:noAutoFit/>
                      </wps:bodyPr>
                    </wps:wsp>
                  </a:graphicData>
                </a:graphic>
              </wp:anchor>
            </w:drawing>
          </mc:Choice>
          <mc:Fallback>
            <w:pict>
              <v:shape id="_x0000_s1594" type="#_x0000_t202" style="position:absolute;margin-left:71.75pt;margin-top:192.25pt;width:83.5pt;height:23.300000000000001pt;z-index:-125829242;mso-wrap-distance-left:0.70000000000000007pt;mso-wrap-distance-right:404.90000000000003pt"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000000"/>
                          <w:sz w:val="16"/>
                          <w:szCs w:val="16"/>
                        </w:rPr>
                        <w:t>Respondentní scénář</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Konzervativní scénář</w:t>
                      </w:r>
                    </w:p>
                  </w:txbxContent>
                </v:textbox>
                <w10:wrap type="topAndBottom"/>
              </v:shape>
            </w:pict>
          </mc:Fallback>
        </mc:AlternateContent>
      </w:r>
      <w:r>
        <mc:AlternateContent>
          <mc:Choice Requires="wps">
            <w:drawing>
              <wp:anchor distT="0" distB="0" distL="8890" distR="4721225" simplePos="0" relativeHeight="125829513" behindDoc="0" locked="0" layoutInCell="1" allowOverlap="1">
                <wp:simplePos x="0" y="0"/>
                <wp:positionH relativeFrom="column">
                  <wp:posOffset>2889250</wp:posOffset>
                </wp:positionH>
                <wp:positionV relativeFrom="paragraph">
                  <wp:posOffset>2441575</wp:posOffset>
                </wp:positionV>
                <wp:extent cx="1481455" cy="295910"/>
                <wp:wrapTopAndBottom/>
                <wp:docPr id="570" name="Shape 570"/>
                <a:graphic xmlns:a="http://schemas.openxmlformats.org/drawingml/2006/main">
                  <a:graphicData uri="http://schemas.microsoft.com/office/word/2010/wordprocessingShape">
                    <wps:wsp>
                      <wps:cNvSpPr txBox="1"/>
                      <wps:spPr>
                        <a:xfrm>
                          <a:ext cx="1481455" cy="29591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Progresivní scénář</w:t>
                            </w:r>
                          </w:p>
                          <w:p>
                            <w:pPr>
                              <w:pStyle w:val="Style2"/>
                              <w:keepNext w:val="0"/>
                              <w:keepLines w:val="0"/>
                              <w:widowControl w:val="0"/>
                              <w:shd w:val="clear" w:color="auto" w:fill="auto"/>
                              <w:bidi w:val="0"/>
                              <w:spacing w:before="0" w:after="0" w:line="240" w:lineRule="auto"/>
                              <w:ind w:left="0" w:right="0" w:firstLine="600"/>
                              <w:jc w:val="left"/>
                              <w:rPr>
                                <w:sz w:val="16"/>
                                <w:szCs w:val="16"/>
                              </w:rPr>
                            </w:pPr>
                            <w:r>
                              <w:rPr>
                                <w:rStyle w:val="CharStyle3"/>
                                <w:color w:val="000000"/>
                                <w:sz w:val="16"/>
                                <w:szCs w:val="16"/>
                              </w:rPr>
                              <w:t>Dekarbonizační scénář</w:t>
                            </w:r>
                          </w:p>
                        </w:txbxContent>
                      </wps:txbx>
                      <wps:bodyPr lIns="0" tIns="0" rIns="0" bIns="0">
                        <a:noAutoFit/>
                      </wps:bodyPr>
                    </wps:wsp>
                  </a:graphicData>
                </a:graphic>
              </wp:anchor>
            </w:drawing>
          </mc:Choice>
          <mc:Fallback>
            <w:pict>
              <v:shape id="_x0000_s1596" type="#_x0000_t202" style="position:absolute;margin-left:227.5pt;margin-top:192.25pt;width:116.65000000000001pt;height:23.300000000000001pt;z-index:-125829240;mso-wrap-distance-left:0.70000000000000007pt;mso-wrap-distance-right:371.75pt" filled="f" stroked="f">
                <v:textbox inset="0,0,0,0">
                  <w:txbxContent>
                    <w:p>
                      <w:pPr>
                        <w:pStyle w:val="Style2"/>
                        <w:keepNext w:val="0"/>
                        <w:keepLines w:val="0"/>
                        <w:widowControl w:val="0"/>
                        <w:shd w:val="clear" w:color="auto" w:fill="auto"/>
                        <w:bidi w:val="0"/>
                        <w:spacing w:before="0" w:after="60" w:line="240" w:lineRule="auto"/>
                        <w:ind w:left="0" w:right="0" w:firstLine="0"/>
                        <w:jc w:val="left"/>
                        <w:rPr>
                          <w:sz w:val="16"/>
                          <w:szCs w:val="16"/>
                        </w:rPr>
                      </w:pPr>
                      <w:r>
                        <w:rPr>
                          <w:rStyle w:val="CharStyle3"/>
                          <w:color w:val="27A851"/>
                          <w:sz w:val="16"/>
                          <w:szCs w:val="16"/>
                        </w:rPr>
                        <w:t xml:space="preserve">—— </w:t>
                      </w:r>
                      <w:r>
                        <w:rPr>
                          <w:rStyle w:val="CharStyle3"/>
                          <w:color w:val="000000"/>
                          <w:sz w:val="16"/>
                          <w:szCs w:val="16"/>
                        </w:rPr>
                        <w:t>Progresivní scénář</w:t>
                      </w:r>
                    </w:p>
                    <w:p>
                      <w:pPr>
                        <w:pStyle w:val="Style2"/>
                        <w:keepNext w:val="0"/>
                        <w:keepLines w:val="0"/>
                        <w:widowControl w:val="0"/>
                        <w:shd w:val="clear" w:color="auto" w:fill="auto"/>
                        <w:bidi w:val="0"/>
                        <w:spacing w:before="0" w:after="0" w:line="240" w:lineRule="auto"/>
                        <w:ind w:left="0" w:right="0" w:firstLine="600"/>
                        <w:jc w:val="left"/>
                        <w:rPr>
                          <w:sz w:val="16"/>
                          <w:szCs w:val="16"/>
                        </w:rPr>
                      </w:pPr>
                      <w:r>
                        <w:rPr>
                          <w:rStyle w:val="CharStyle3"/>
                          <w:color w:val="000000"/>
                          <w:sz w:val="16"/>
                          <w:szCs w:val="16"/>
                        </w:rPr>
                        <w:t>Dekarbonizační scénář</w:t>
                      </w:r>
                    </w:p>
                  </w:txbxContent>
                </v:textbox>
                <w10:wrap type="topAndBottom"/>
              </v:shape>
            </w:pict>
          </mc:Fallback>
        </mc:AlternateContent>
      </w:r>
      <w:r>
        <w:br w:type="page"/>
      </w:r>
    </w:p>
    <w:p>
      <w:pPr>
        <w:pStyle w:val="Style19"/>
        <w:keepNext w:val="0"/>
        <w:keepLines w:val="0"/>
        <w:widowControl w:val="0"/>
        <w:shd w:val="clear" w:color="auto" w:fill="auto"/>
        <w:bidi w:val="0"/>
        <w:spacing w:before="0" w:after="0"/>
        <w:ind w:left="2620" w:right="0" w:firstLine="0"/>
        <w:jc w:val="left"/>
      </w:pPr>
      <w:r>
        <w:rPr>
          <w:rStyle w:val="CharStyle20"/>
        </w:rPr>
        <w:t>Nejnižší úroveň celkových kumulovaných emisí za periodu 2025-2040 vykazuje Konzervativní scénář, a to ve výši 162 mil. tCO</w:t>
      </w:r>
      <w:r>
        <w:rPr>
          <w:rStyle w:val="CharStyle20"/>
          <w:vertAlign w:val="subscript"/>
        </w:rPr>
        <w:t>2</w:t>
      </w:r>
      <w:r>
        <w:rPr>
          <w:rStyle w:val="CharStyle20"/>
        </w:rPr>
        <w:t>. Dekarbonizační a Progresivní scénář se sice vyznačují nejvyššími kumulovanými emisemi, ale jak již bylo uvedeno výše, dochází v nich také k větší spotřebě elektrické energie, a tedy ke zvýšené výrobě z plynových zdrojů. Měrné hodnoty emisí korigují vliv vysoké spotřeby:</w:t>
      </w:r>
    </w:p>
    <w:p>
      <w:pPr>
        <w:pStyle w:val="Style5"/>
        <w:keepNext w:val="0"/>
        <w:keepLines w:val="0"/>
        <w:widowControl w:val="0"/>
        <w:shd w:val="clear" w:color="auto" w:fill="auto"/>
        <w:tabs>
          <w:tab w:pos="2616" w:val="left"/>
          <w:tab w:pos="5237" w:val="left"/>
        </w:tabs>
        <w:bidi w:val="0"/>
        <w:spacing w:before="0" w:after="40" w:line="202" w:lineRule="auto"/>
        <w:ind w:left="0" w:right="0" w:firstLine="0"/>
        <w:jc w:val="center"/>
        <w:rPr>
          <w:sz w:val="56"/>
          <w:szCs w:val="56"/>
        </w:rPr>
      </w:pPr>
      <w:r>
        <w:rPr>
          <w:rStyle w:val="CharStyle6"/>
          <w:rFonts w:ascii="Courier New" w:eastAsia="Courier New" w:hAnsi="Courier New" w:cs="Courier New"/>
          <w:color w:val="B7B8B8"/>
          <w:sz w:val="56"/>
          <w:szCs w:val="56"/>
        </w:rPr>
        <w:t>I</w:t>
        <w:tab/>
        <w:t>I</w:t>
        <w:tab/>
        <w:t>I</w:t>
      </w:r>
    </w:p>
    <w:p>
      <w:pPr>
        <w:pStyle w:val="Style15"/>
        <w:keepNext/>
        <w:keepLines/>
        <w:widowControl w:val="0"/>
        <w:shd w:val="clear" w:color="auto" w:fill="auto"/>
        <w:bidi w:val="0"/>
        <w:spacing w:before="0" w:after="440" w:line="302" w:lineRule="auto"/>
        <w:ind w:left="0" w:right="0" w:firstLine="0"/>
        <w:jc w:val="left"/>
      </w:pPr>
      <w:bookmarkStart w:id="286" w:name="bookmark286"/>
      <w:r>
        <w:rPr>
          <w:rStyle w:val="CharStyle16"/>
          <w:b/>
          <w:bCs/>
        </w:rPr>
        <w:t>Obr. 6.42 Emisní intenzita scénářů CO</w:t>
      </w:r>
      <w:r>
        <w:rPr>
          <w:rStyle w:val="CharStyle16"/>
          <w:b/>
          <w:bCs/>
          <w:vertAlign w:val="subscript"/>
        </w:rPr>
        <w:t>2</w:t>
      </w:r>
      <w:r>
        <w:rPr>
          <w:rStyle w:val="CharStyle16"/>
          <w:b/>
          <w:bCs/>
        </w:rPr>
        <w:t xml:space="preserve"> v ČR v pro cílové roky</w:t>
      </w:r>
      <w:bookmarkEnd w:id="286"/>
    </w:p>
    <w:p>
      <w:pPr>
        <w:widowControl w:val="0"/>
        <w:jc w:val="center"/>
        <w:rPr>
          <w:sz w:val="2"/>
          <w:szCs w:val="2"/>
        </w:rPr>
      </w:pPr>
      <w:r>
        <w:drawing>
          <wp:inline>
            <wp:extent cx="6193790" cy="2365375"/>
            <wp:docPr id="572" name="Picutre 572"/>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81"/>
                    <a:stretch/>
                  </pic:blipFill>
                  <pic:spPr>
                    <a:xfrm>
                      <a:ext cx="6193790" cy="2365375"/>
                    </a:xfrm>
                    <a:prstGeom prst="rect"/>
                  </pic:spPr>
                </pic:pic>
              </a:graphicData>
            </a:graphic>
          </wp:inline>
        </w:drawing>
      </w:r>
    </w:p>
    <w:p>
      <w:pPr>
        <w:pStyle w:val="Style2"/>
        <w:keepNext w:val="0"/>
        <w:keepLines w:val="0"/>
        <w:widowControl w:val="0"/>
        <w:shd w:val="clear" w:color="auto" w:fill="auto"/>
        <w:tabs>
          <w:tab w:pos="4454" w:val="left"/>
        </w:tabs>
        <w:bidi w:val="0"/>
        <w:spacing w:before="0" w:after="60" w:line="240" w:lineRule="auto"/>
        <w:ind w:left="1421" w:right="0" w:firstLine="0"/>
        <w:jc w:val="left"/>
        <w:rPr>
          <w:sz w:val="16"/>
          <w:szCs w:val="16"/>
        </w:rPr>
      </w:pPr>
      <w:r>
        <w:rPr>
          <w:rStyle w:val="CharStyle3"/>
          <w:color w:val="000000"/>
          <w:sz w:val="16"/>
          <w:szCs w:val="16"/>
        </w:rPr>
        <w:t>Respondentní scénář</w:t>
        <w:tab/>
      </w:r>
      <w:r>
        <w:rPr>
          <w:rStyle w:val="CharStyle3"/>
          <w:color w:val="27A851"/>
          <w:sz w:val="16"/>
          <w:szCs w:val="16"/>
        </w:rPr>
        <w:t>—</w:t>
      </w:r>
      <w:r>
        <w:rPr>
          <w:rStyle w:val="CharStyle3"/>
          <w:color w:val="000000"/>
          <w:sz w:val="16"/>
          <w:szCs w:val="16"/>
        </w:rPr>
        <w:t>Progresivní scénář</w:t>
      </w:r>
    </w:p>
    <w:p>
      <w:pPr>
        <w:pStyle w:val="Style2"/>
        <w:keepNext w:val="0"/>
        <w:keepLines w:val="0"/>
        <w:widowControl w:val="0"/>
        <w:shd w:val="clear" w:color="auto" w:fill="auto"/>
        <w:tabs>
          <w:tab w:pos="4454" w:val="left"/>
        </w:tabs>
        <w:bidi w:val="0"/>
        <w:spacing w:before="0" w:after="0" w:line="240" w:lineRule="auto"/>
        <w:ind w:left="1421" w:right="0" w:firstLine="0"/>
        <w:jc w:val="left"/>
        <w:rPr>
          <w:sz w:val="16"/>
          <w:szCs w:val="16"/>
        </w:rPr>
      </w:pPr>
      <w:r>
        <w:rPr>
          <w:rStyle w:val="CharStyle3"/>
          <w:color w:val="000000"/>
          <w:sz w:val="16"/>
          <w:szCs w:val="16"/>
        </w:rPr>
        <w:t>Konzervativní scénář</w:t>
        <w:tab/>
      </w:r>
      <w:r>
        <w:rPr>
          <w:rStyle w:val="CharStyle3"/>
          <w:color w:val="FED851"/>
          <w:sz w:val="16"/>
          <w:szCs w:val="16"/>
        </w:rPr>
        <w:t>—</w:t>
      </w:r>
      <w:r>
        <w:rPr>
          <w:rStyle w:val="CharStyle3"/>
          <w:color w:val="000000"/>
          <w:sz w:val="16"/>
          <w:szCs w:val="16"/>
        </w:rPr>
        <w:t>Dekarbonizační scénář</w:t>
      </w:r>
    </w:p>
    <w:p>
      <w:pPr>
        <w:widowControl w:val="0"/>
        <w:spacing w:after="839" w:line="1" w:lineRule="exact"/>
      </w:pPr>
    </w:p>
    <w:p>
      <w:pPr>
        <w:pStyle w:val="Style19"/>
        <w:keepNext w:val="0"/>
        <w:keepLines w:val="0"/>
        <w:widowControl w:val="0"/>
        <w:shd w:val="clear" w:color="auto" w:fill="auto"/>
        <w:bidi w:val="0"/>
        <w:spacing w:before="0"/>
        <w:ind w:left="2620" w:right="0" w:firstLine="0"/>
        <w:jc w:val="left"/>
      </w:pPr>
      <w:r>
        <w:rPr>
          <w:rStyle w:val="CharStyle20"/>
        </w:rPr>
        <w:t>Emisní intenzita představuje podíl mezi ročními emisemi a tuzemskou výrobou elektřiny v ČR. V období 2025-2040 je patrný klesající trend emisní intenzity pro všechny scénáře, v roce 2040 však dosahuje nejmenší intenzitu Konzervativní scénář, a to i proto, že má nižší spotřebu ve srovnání s Dekarbonizačním a Progresivním scénářem, kde je znatelná vysoká výroba z plynových zdrojů. Největší emisní intenzitu dosahuje scénář Respondentní, kde nedochází k útlumu uhlí.</w:t>
      </w:r>
    </w:p>
    <w:p>
      <w:pPr>
        <w:pStyle w:val="Style19"/>
        <w:keepNext w:val="0"/>
        <w:keepLines w:val="0"/>
        <w:widowControl w:val="0"/>
        <w:shd w:val="clear" w:color="auto" w:fill="auto"/>
        <w:bidi w:val="0"/>
        <w:spacing w:before="0" w:after="440"/>
        <w:ind w:left="2620" w:right="0" w:firstLine="0"/>
        <w:jc w:val="left"/>
      </w:pPr>
      <w:r>
        <w:rPr>
          <w:rStyle w:val="CharStyle20"/>
        </w:rPr>
        <w:t xml:space="preserve">Vysoké emise Dekarbonizačního (a částečně Progresivního) implikují, že elektroenergetika ČR bude v průběhu období 2025-2040 přebírat emise ze sektorů založených na spalování paliv (průmyslová výroba, doprava, vytápění budov aj). Přechod ze spalování fosilních paliv na elektrický pohon, tedy </w:t>
      </w:r>
      <w:r>
        <w:rPr>
          <w:rStyle w:val="CharStyle20"/>
          <w:i/>
          <w:iCs/>
        </w:rPr>
        <w:t>switching</w:t>
      </w:r>
      <w:r>
        <w:rPr>
          <w:rStyle w:val="CharStyle20"/>
        </w:rPr>
        <w:t>, je v některých odvětvích (zejména v průmyslu) náročné kvantifikovat. Pro ilustraci vlivu rostoucí elektrifikace na vývoj emisní stopy byly nejprve určeny emise z výroby elektřiny do roku 2040 pro spotřebu elektromobilů a tepelných čerpadel. Tyto emise byly následně srovnány s emisemi automobilů na spalovací pohon a plynových kotlů:</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6.7 Suma přírůstků emisí nových vozidel/zařízení v mil. tCO</w:t>
      </w:r>
      <w:r>
        <w:rPr>
          <w:rStyle w:val="CharStyle45"/>
          <w:b/>
          <w:bCs/>
          <w:vertAlign w:val="subscript"/>
        </w:rPr>
        <w:t>2</w:t>
      </w:r>
      <w:r>
        <w:rPr>
          <w:rStyle w:val="CharStyle45"/>
          <w:b/>
          <w:bCs/>
        </w:rPr>
        <w:t xml:space="preserve"> v letech 2025-2040</w:t>
      </w:r>
    </w:p>
    <w:tbl>
      <w:tblPr>
        <w:tblOverlap w:val="never"/>
        <w:jc w:val="center"/>
        <w:tblLayout w:type="fixed"/>
      </w:tblPr>
      <w:tblGrid>
        <w:gridCol w:w="1224"/>
        <w:gridCol w:w="1248"/>
        <w:gridCol w:w="1248"/>
        <w:gridCol w:w="1243"/>
        <w:gridCol w:w="1248"/>
        <w:gridCol w:w="1248"/>
        <w:gridCol w:w="1248"/>
        <w:gridCol w:w="1051"/>
      </w:tblGrid>
      <w:tr>
        <w:trPr>
          <w:trHeight w:val="336" w:hRule="exact"/>
        </w:trPr>
        <w:tc>
          <w:tcPr>
            <w:tcBorders>
              <w:top w:val="single" w:sz="4"/>
              <w:left w:val="single" w:sz="4"/>
            </w:tcBorders>
            <w:shd w:val="clear" w:color="auto" w:fill="auto"/>
            <w:vAlign w:val="top"/>
          </w:tcPr>
          <w:p>
            <w:pPr>
              <w:widowControl w:val="0"/>
              <w:rPr>
                <w:sz w:val="10"/>
                <w:szCs w:val="10"/>
              </w:rPr>
            </w:pPr>
          </w:p>
        </w:tc>
        <w:tc>
          <w:tcPr>
            <w:gridSpan w:val="3"/>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Emise z dopravy (v mil. KO</w:t>
            </w:r>
            <w:r>
              <w:rPr>
                <w:rStyle w:val="CharStyle6"/>
                <w:b/>
                <w:bCs/>
                <w:color w:val="006AB4"/>
                <w:sz w:val="8"/>
                <w:szCs w:val="8"/>
              </w:rPr>
              <w:t>2</w:t>
            </w:r>
            <w:r>
              <w:rPr>
                <w:rStyle w:val="CharStyle6"/>
                <w:rFonts w:ascii="Calibri" w:eastAsia="Calibri" w:hAnsi="Calibri" w:cs="Calibri"/>
                <w:b/>
                <w:bCs/>
                <w:color w:val="006AB4"/>
                <w:sz w:val="15"/>
                <w:szCs w:val="15"/>
              </w:rPr>
              <w:t>)</w:t>
            </w:r>
          </w:p>
        </w:tc>
        <w:tc>
          <w:tcPr>
            <w:gridSpan w:val="3"/>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color w:val="006AB4"/>
                <w:sz w:val="15"/>
                <w:szCs w:val="15"/>
              </w:rPr>
              <w:t>Emise z vytápění (v mil. KO</w:t>
            </w:r>
            <w:r>
              <w:rPr>
                <w:rStyle w:val="CharStyle6"/>
                <w:b/>
                <w:bCs/>
                <w:color w:val="006AB4"/>
                <w:sz w:val="8"/>
                <w:szCs w:val="8"/>
              </w:rPr>
              <w:t>2</w:t>
            </w:r>
            <w:r>
              <w:rPr>
                <w:rStyle w:val="CharStyle6"/>
                <w:rFonts w:ascii="Calibri" w:eastAsia="Calibri" w:hAnsi="Calibri" w:cs="Calibri"/>
                <w:b/>
                <w:bCs/>
                <w:color w:val="006AB4"/>
                <w:sz w:val="15"/>
                <w:szCs w:val="15"/>
              </w:rPr>
              <w:t>)</w:t>
            </w:r>
          </w:p>
        </w:tc>
        <w:tc>
          <w:tcPr>
            <w:vMerge w:val="restart"/>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16" w:lineRule="auto"/>
              <w:ind w:left="0" w:right="0" w:firstLine="0"/>
              <w:jc w:val="right"/>
              <w:rPr>
                <w:sz w:val="15"/>
                <w:szCs w:val="15"/>
              </w:rPr>
            </w:pPr>
            <w:r>
              <w:rPr>
                <w:rStyle w:val="CharStyle6"/>
                <w:rFonts w:ascii="Calibri" w:eastAsia="Calibri" w:hAnsi="Calibri" w:cs="Calibri"/>
                <w:b/>
                <w:bCs/>
                <w:color w:val="006AB4"/>
                <w:sz w:val="15"/>
                <w:szCs w:val="15"/>
              </w:rPr>
              <w:t>Celkový rozdíl</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Spalovací motory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80"/>
              <w:jc w:val="both"/>
              <w:rPr>
                <w:sz w:val="15"/>
                <w:szCs w:val="15"/>
              </w:rPr>
            </w:pPr>
            <w:r>
              <w:rPr>
                <w:rStyle w:val="CharStyle6"/>
                <w:rFonts w:ascii="Calibri" w:eastAsia="Calibri" w:hAnsi="Calibri" w:cs="Calibri"/>
                <w:b/>
                <w:bCs/>
                <w:color w:val="006AB4"/>
                <w:sz w:val="15"/>
                <w:szCs w:val="15"/>
              </w:rPr>
              <w:t>Elektromobily</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Rozdíl</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Plynové kotle</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Tepelná čerpadla</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Rozdíl</w:t>
            </w:r>
          </w:p>
        </w:tc>
        <w:tc>
          <w:tcPr>
            <w:vMerge/>
            <w:tcBorders>
              <w:left w:val="single" w:sz="4"/>
              <w:right w:val="single" w:sz="4"/>
            </w:tcBorders>
            <w:shd w:val="clear" w:color="auto" w:fill="auto"/>
            <w:vAlign w:val="center"/>
          </w:tcPr>
          <w:p>
            <w:pPr/>
          </w:p>
        </w:tc>
      </w:tr>
      <w:tr>
        <w:trPr>
          <w:trHeight w:val="32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00"/>
              <w:jc w:val="left"/>
              <w:rPr>
                <w:sz w:val="12"/>
                <w:szCs w:val="12"/>
              </w:rPr>
            </w:pPr>
            <w:r>
              <w:rPr>
                <w:rStyle w:val="CharStyle6"/>
                <w:b/>
                <w:bCs/>
                <w:color w:val="006AB4"/>
                <w:sz w:val="12"/>
                <w:szCs w:val="12"/>
              </w:rPr>
              <w:t>3,96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00"/>
              <w:jc w:val="left"/>
              <w:rPr>
                <w:sz w:val="12"/>
                <w:szCs w:val="12"/>
              </w:rPr>
            </w:pPr>
            <w:r>
              <w:rPr>
                <w:rStyle w:val="CharStyle6"/>
                <w:b/>
                <w:bCs/>
                <w:color w:val="006AB4"/>
                <w:sz w:val="12"/>
                <w:szCs w:val="12"/>
              </w:rPr>
              <w:t>1,34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2,62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30,08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5,69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20"/>
              <w:jc w:val="left"/>
              <w:rPr>
                <w:sz w:val="12"/>
                <w:szCs w:val="12"/>
              </w:rPr>
            </w:pPr>
            <w:r>
              <w:rPr>
                <w:rStyle w:val="CharStyle6"/>
                <w:b/>
                <w:bCs/>
                <w:color w:val="E30613"/>
                <w:sz w:val="12"/>
                <w:szCs w:val="12"/>
              </w:rPr>
              <w:t>24,39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600"/>
              <w:jc w:val="left"/>
              <w:rPr>
                <w:sz w:val="12"/>
                <w:szCs w:val="12"/>
              </w:rPr>
            </w:pPr>
            <w:r>
              <w:rPr>
                <w:rStyle w:val="CharStyle6"/>
                <w:b/>
                <w:bCs/>
                <w:color w:val="E30613"/>
                <w:sz w:val="12"/>
                <w:szCs w:val="12"/>
              </w:rPr>
              <w:t>27,02</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00"/>
              <w:jc w:val="left"/>
              <w:rPr>
                <w:sz w:val="12"/>
                <w:szCs w:val="12"/>
              </w:rPr>
            </w:pPr>
            <w:r>
              <w:rPr>
                <w:rStyle w:val="CharStyle6"/>
                <w:b/>
                <w:bCs/>
                <w:color w:val="006AB4"/>
                <w:sz w:val="12"/>
                <w:szCs w:val="12"/>
              </w:rPr>
              <w:t>7,86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00"/>
              <w:jc w:val="left"/>
              <w:rPr>
                <w:sz w:val="12"/>
                <w:szCs w:val="12"/>
              </w:rPr>
            </w:pPr>
            <w:r>
              <w:rPr>
                <w:rStyle w:val="CharStyle6"/>
                <w:b/>
                <w:bCs/>
                <w:color w:val="006AB4"/>
                <w:sz w:val="12"/>
                <w:szCs w:val="12"/>
              </w:rPr>
              <w:t>2,81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5,05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40,77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7,78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20"/>
              <w:jc w:val="left"/>
              <w:rPr>
                <w:sz w:val="12"/>
                <w:szCs w:val="12"/>
              </w:rPr>
            </w:pPr>
            <w:r>
              <w:rPr>
                <w:rStyle w:val="CharStyle6"/>
                <w:b/>
                <w:bCs/>
                <w:color w:val="E30613"/>
                <w:sz w:val="12"/>
                <w:szCs w:val="12"/>
              </w:rPr>
              <w:t>32,99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600"/>
              <w:jc w:val="left"/>
              <w:rPr>
                <w:sz w:val="12"/>
                <w:szCs w:val="12"/>
              </w:rPr>
            </w:pPr>
            <w:r>
              <w:rPr>
                <w:rStyle w:val="CharStyle6"/>
                <w:b/>
                <w:bCs/>
                <w:color w:val="E30613"/>
                <w:sz w:val="12"/>
                <w:szCs w:val="12"/>
              </w:rPr>
              <w:t>38,04</w:t>
            </w:r>
          </w:p>
        </w:tc>
      </w:tr>
      <w:tr>
        <w:trPr>
          <w:trHeight w:val="341"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bookmarkStart w:id="289" w:name="bookmark289"/>
            <w:r>
              <w:rPr>
                <w:rStyle w:val="CharStyle6"/>
                <w:rFonts w:ascii="Calibri" w:eastAsia="Calibri" w:hAnsi="Calibri" w:cs="Calibri"/>
                <w:b/>
                <w:bCs/>
                <w:color w:val="006AB4"/>
                <w:sz w:val="15"/>
                <w:szCs w:val="15"/>
              </w:rPr>
              <w:t>Dekarbonizační</w:t>
            </w:r>
            <w:bookmarkEnd w:id="289"/>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17,55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900"/>
              <w:jc w:val="left"/>
              <w:rPr>
                <w:sz w:val="12"/>
                <w:szCs w:val="12"/>
              </w:rPr>
            </w:pPr>
            <w:r>
              <w:rPr>
                <w:rStyle w:val="CharStyle6"/>
                <w:b/>
                <w:bCs/>
                <w:color w:val="006AB4"/>
                <w:sz w:val="12"/>
                <w:szCs w:val="12"/>
              </w:rPr>
              <w:t>5,95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E30613"/>
                <w:sz w:val="12"/>
                <w:szCs w:val="12"/>
              </w:rPr>
              <w:t>11,61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46,16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8,18</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20"/>
              <w:jc w:val="left"/>
              <w:rPr>
                <w:sz w:val="12"/>
                <w:szCs w:val="12"/>
              </w:rPr>
            </w:pPr>
            <w:r>
              <w:rPr>
                <w:rStyle w:val="CharStyle6"/>
                <w:b/>
                <w:bCs/>
                <w:color w:val="E30613"/>
                <w:sz w:val="12"/>
                <w:szCs w:val="12"/>
              </w:rPr>
              <w:t>37,97</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600"/>
              <w:jc w:val="left"/>
              <w:rPr>
                <w:sz w:val="12"/>
                <w:szCs w:val="12"/>
              </w:rPr>
            </w:pPr>
            <w:r>
              <w:rPr>
                <w:rStyle w:val="CharStyle6"/>
                <w:b/>
                <w:bCs/>
                <w:color w:val="E30613"/>
                <w:sz w:val="12"/>
                <w:szCs w:val="12"/>
              </w:rPr>
              <w:t>49,58</w:t>
            </w:r>
          </w:p>
        </w:tc>
      </w:tr>
    </w:tbl>
    <w:p>
      <w:pPr>
        <w:spacing w:lineRule="exact" w:line="1"/>
        <w:rPr>
          <w:sz w:val="2"/>
          <w:szCs w:val="2"/>
        </w:rPr>
      </w:pPr>
      <w:r>
        <w:br w:type="page"/>
      </w:r>
    </w:p>
    <w:p>
      <w:pPr>
        <w:pStyle w:val="Style19"/>
        <w:keepNext w:val="0"/>
        <w:keepLines w:val="0"/>
        <w:widowControl w:val="0"/>
        <w:numPr>
          <w:ilvl w:val="0"/>
          <w:numId w:val="39"/>
        </w:numPr>
        <w:shd w:val="clear" w:color="auto" w:fill="auto"/>
        <w:tabs>
          <w:tab w:pos="279" w:val="left"/>
        </w:tabs>
        <w:bidi w:val="0"/>
        <w:spacing w:before="0"/>
        <w:ind w:left="240" w:right="0" w:hanging="240"/>
        <w:jc w:val="left"/>
      </w:pPr>
      <w:r>
        <w:rPr>
          <w:rStyle w:val="CharStyle20"/>
          <w:b/>
          <w:bCs/>
          <w:color w:val="006AB4"/>
        </w:rPr>
        <w:t xml:space="preserve">Elektromobily: </w:t>
      </w:r>
      <w:r>
        <w:rPr>
          <w:rStyle w:val="CharStyle20"/>
        </w:rPr>
        <w:t>Emise z výroby elektřiny pro nabíjení nových elektromobilů při predikovaném počtu, spotřebě a nájezdu dle emisní intenzity indikované na Obr. 6.43</w:t>
      </w:r>
    </w:p>
    <w:p>
      <w:pPr>
        <w:pStyle w:val="Style19"/>
        <w:keepNext w:val="0"/>
        <w:keepLines w:val="0"/>
        <w:widowControl w:val="0"/>
        <w:numPr>
          <w:ilvl w:val="0"/>
          <w:numId w:val="39"/>
        </w:numPr>
        <w:shd w:val="clear" w:color="auto" w:fill="auto"/>
        <w:tabs>
          <w:tab w:pos="284" w:val="left"/>
        </w:tabs>
        <w:bidi w:val="0"/>
        <w:spacing w:before="0" w:line="300" w:lineRule="auto"/>
        <w:ind w:left="240" w:right="0" w:hanging="240"/>
        <w:jc w:val="left"/>
      </w:pPr>
      <w:r>
        <w:rPr>
          <w:rStyle w:val="CharStyle20"/>
          <w:b/>
          <w:bCs/>
          <w:color w:val="006AB4"/>
        </w:rPr>
        <w:t xml:space="preserve">Spalovací motory: </w:t>
      </w:r>
      <w:r>
        <w:rPr>
          <w:rStyle w:val="CharStyle20"/>
        </w:rPr>
        <w:t>Emise spalovacích motorů při počtu a nájezdu elektromobilů dle dostupné predikce (emisní intenzita pro nové vozy se spalovacími motory vychází ze současné EU legislativy a návrhů Fit for 55)</w:t>
      </w:r>
    </w:p>
    <w:p>
      <w:pPr>
        <w:pStyle w:val="Style19"/>
        <w:keepNext w:val="0"/>
        <w:keepLines w:val="0"/>
        <w:widowControl w:val="0"/>
        <w:numPr>
          <w:ilvl w:val="0"/>
          <w:numId w:val="39"/>
        </w:numPr>
        <w:shd w:val="clear" w:color="auto" w:fill="auto"/>
        <w:tabs>
          <w:tab w:pos="260" w:val="left"/>
        </w:tabs>
        <w:bidi w:val="0"/>
        <w:spacing w:before="0" w:line="300" w:lineRule="auto"/>
        <w:ind w:left="240" w:right="0" w:hanging="240"/>
        <w:jc w:val="left"/>
      </w:pPr>
      <w:r>
        <w:rPr>
          <w:rStyle w:val="CharStyle20"/>
          <w:b/>
          <w:bCs/>
          <w:color w:val="006AB4"/>
        </w:rPr>
        <w:t xml:space="preserve">Tepelná čerpadla: </w:t>
      </w:r>
      <w:r>
        <w:rPr>
          <w:rStyle w:val="CharStyle20"/>
        </w:rPr>
        <w:t>Emise navázány na produkci elektřiny pro predikovanou spotřebu TČ dle emisní intenzity indikované na Obr. 6.43</w:t>
      </w:r>
    </w:p>
    <w:p>
      <w:pPr>
        <w:pStyle w:val="Style19"/>
        <w:keepNext w:val="0"/>
        <w:keepLines w:val="0"/>
        <w:widowControl w:val="0"/>
        <w:numPr>
          <w:ilvl w:val="0"/>
          <w:numId w:val="39"/>
        </w:numPr>
        <w:shd w:val="clear" w:color="auto" w:fill="auto"/>
        <w:tabs>
          <w:tab w:pos="289" w:val="left"/>
        </w:tabs>
        <w:bidi w:val="0"/>
        <w:spacing w:before="0"/>
        <w:ind w:left="0" w:right="0" w:firstLine="0"/>
        <w:jc w:val="left"/>
      </w:pPr>
      <w:r>
        <w:rPr>
          <w:rStyle w:val="CharStyle20"/>
          <w:b/>
          <w:bCs/>
          <w:color w:val="006AB4"/>
        </w:rPr>
        <w:t xml:space="preserve">Plynové kotle: </w:t>
      </w:r>
      <w:r>
        <w:rPr>
          <w:rStyle w:val="CharStyle20"/>
        </w:rPr>
        <w:t>Emise ze spalování plynu pro dodání stejné kvantity tepla jako TČ</w:t>
      </w:r>
    </w:p>
    <w:p>
      <w:pPr>
        <w:pStyle w:val="Style19"/>
        <w:keepNext w:val="0"/>
        <w:keepLines w:val="0"/>
        <w:widowControl w:val="0"/>
        <w:shd w:val="clear" w:color="auto" w:fill="auto"/>
        <w:bidi w:val="0"/>
        <w:spacing w:before="0" w:after="100"/>
        <w:ind w:left="0" w:right="0" w:firstLine="0"/>
        <w:jc w:val="left"/>
      </w:pPr>
      <w:r>
        <w:rPr>
          <w:rStyle w:val="CharStyle20"/>
        </w:rPr>
        <w:t>Switching v Dekarbonizačním scénáři dosahuje největších úspor ve výši 49,58 mil. tCO</w:t>
      </w:r>
      <w:r>
        <w:rPr>
          <w:rStyle w:val="CharStyle20"/>
          <w:sz w:val="10"/>
          <w:szCs w:val="10"/>
        </w:rPr>
        <w:t>2</w:t>
      </w:r>
      <w:r>
        <w:rPr>
          <w:rStyle w:val="CharStyle20"/>
        </w:rPr>
        <w:t>. Respondentní scénář kopíruje rozvoj elektromobilů a TČ Konzervativního scénáře. Zohlednění těchto redukcí v kumulovaných emisích z výroby elektřiny za období 2025-2040 ilustruje, že elektroenergetika bude vázat emise ze sektorů se spalováním paliv:</w:t>
      </w:r>
    </w:p>
    <w:p>
      <w:pPr>
        <w:pStyle w:val="Style68"/>
        <w:keepNext w:val="0"/>
        <w:keepLines w:val="0"/>
        <w:widowControl w:val="0"/>
        <w:shd w:val="clear" w:color="auto" w:fill="auto"/>
        <w:tabs>
          <w:tab w:pos="4871" w:val="left"/>
        </w:tabs>
        <w:bidi w:val="0"/>
        <w:spacing w:before="0" w:after="100" w:line="240" w:lineRule="auto"/>
        <w:ind w:left="2260" w:right="0" w:firstLine="0"/>
        <w:jc w:val="left"/>
      </w:pPr>
      <w:r>
        <w:rPr>
          <w:rStyle w:val="CharStyle69"/>
        </w:rPr>
        <w:t>I</w:t>
        <w:tab/>
        <w:t>I</w:t>
      </w:r>
    </w:p>
    <w:p>
      <w:pPr>
        <w:pStyle w:val="Style15"/>
        <w:keepNext/>
        <w:keepLines/>
        <w:widowControl w:val="0"/>
        <w:shd w:val="clear" w:color="auto" w:fill="auto"/>
        <w:bidi w:val="0"/>
        <w:spacing w:before="0" w:after="100" w:line="300" w:lineRule="auto"/>
        <w:ind w:left="0" w:right="0" w:firstLine="0"/>
        <w:jc w:val="left"/>
      </w:pPr>
      <w:bookmarkStart w:id="290" w:name="bookmark290"/>
      <w:r>
        <w:rPr>
          <w:rStyle w:val="CharStyle16"/>
          <w:b/>
          <w:bCs/>
        </w:rPr>
        <w:t>Obr. 6.43 Kumulované emise z výroby elektřiny v letech 2025-2040 korigované o úspory ze switchingu do elektromobilů a TČ</w:t>
      </w:r>
      <w:bookmarkEnd w:id="290"/>
    </w:p>
    <w:p>
      <w:pPr>
        <w:widowControl w:val="0"/>
        <w:jc w:val="center"/>
        <w:rPr>
          <w:sz w:val="2"/>
          <w:szCs w:val="2"/>
        </w:rPr>
      </w:pPr>
      <w:r>
        <w:drawing>
          <wp:inline>
            <wp:extent cx="6193790" cy="2273935"/>
            <wp:docPr id="573" name="Picutre 573"/>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383"/>
                    <a:stretch/>
                  </pic:blipFill>
                  <pic:spPr>
                    <a:xfrm>
                      <a:ext cx="6193790" cy="2273935"/>
                    </a:xfrm>
                    <a:prstGeom prst="rect"/>
                  </pic:spPr>
                </pic:pic>
              </a:graphicData>
            </a:graphic>
          </wp:inline>
        </w:drawing>
      </w:r>
    </w:p>
    <w:p>
      <w:pPr>
        <w:widowControl w:val="0"/>
        <w:spacing w:after="359" w:line="1" w:lineRule="exact"/>
      </w:pPr>
    </w:p>
    <w:p>
      <w:pPr>
        <w:pStyle w:val="Style68"/>
        <w:keepNext w:val="0"/>
        <w:keepLines w:val="0"/>
        <w:widowControl w:val="0"/>
        <w:shd w:val="clear" w:color="auto" w:fill="auto"/>
        <w:tabs>
          <w:tab w:pos="4871" w:val="left"/>
        </w:tabs>
        <w:bidi w:val="0"/>
        <w:spacing w:before="0" w:after="320" w:line="240" w:lineRule="auto"/>
        <w:ind w:left="2260" w:right="0" w:firstLine="0"/>
        <w:jc w:val="left"/>
      </w:pPr>
      <w:r>
        <w:rPr>
          <w:rStyle w:val="CharStyle69"/>
        </w:rPr>
        <w:t>I</w:t>
        <w:tab/>
        <w:t>I</w:t>
      </w:r>
    </w:p>
    <w:p>
      <w:pPr>
        <w:pStyle w:val="Style19"/>
        <w:keepNext w:val="0"/>
        <w:keepLines w:val="0"/>
        <w:widowControl w:val="0"/>
        <w:shd w:val="clear" w:color="auto" w:fill="auto"/>
        <w:bidi w:val="0"/>
        <w:spacing w:before="0"/>
        <w:ind w:left="0" w:right="0" w:firstLine="0"/>
        <w:jc w:val="left"/>
      </w:pPr>
      <w:r>
        <w:rPr>
          <w:rStyle w:val="CharStyle20"/>
        </w:rPr>
        <w:t>Dekarbonizační scénář dosahuje po zohlednění úspor z přechodu na elektromobily a TČ nejnižší korigované kumulované emisí za období 2025-2040. Výpočet výše tedy demonstruje, že elektrifikace má značný potenciál vázat a snížit emise ze spalování fosilních paliv mimo elektroenergetiku. Rovněž je ale nutné podotknout, že od roku 2030 ve všech scénářích významně roste se spotřebou i objem importů, čímž se určitá část emisí z české spotřeby elektřiny přesouvá do zahraničí. Výpočet emisní stopy těchto importů nespadá do záběru této studie, její výše však může mít značný vliv na celkové emise z výroby elektřiny v rámci Evropy.</w:t>
      </w:r>
    </w:p>
    <w:p>
      <w:pPr>
        <w:pStyle w:val="Style27"/>
        <w:keepNext/>
        <w:keepLines/>
        <w:widowControl w:val="0"/>
        <w:shd w:val="clear" w:color="auto" w:fill="auto"/>
        <w:bidi w:val="0"/>
        <w:spacing w:before="0" w:after="260"/>
        <w:ind w:left="2620" w:right="0" w:firstLine="0"/>
        <w:jc w:val="left"/>
      </w:pPr>
      <w:bookmarkStart w:id="292" w:name="bookmark292"/>
      <w:r>
        <w:rPr>
          <w:rStyle w:val="CharStyle28"/>
          <w:b/>
          <w:bCs/>
        </w:rPr>
        <w:t>6.4.6 SROVNÁNÍ EKONOMICKÝCH DOPADŮ</w:t>
      </w:r>
      <w:bookmarkEnd w:id="292"/>
    </w:p>
    <w:p>
      <w:pPr>
        <w:pStyle w:val="Style27"/>
        <w:keepNext/>
        <w:keepLines/>
        <w:widowControl w:val="0"/>
        <w:numPr>
          <w:ilvl w:val="3"/>
          <w:numId w:val="41"/>
        </w:numPr>
        <w:shd w:val="clear" w:color="auto" w:fill="auto"/>
        <w:tabs>
          <w:tab w:pos="3349" w:val="left"/>
        </w:tabs>
        <w:bidi w:val="0"/>
        <w:spacing w:before="0" w:after="0"/>
        <w:ind w:left="2620" w:right="0" w:firstLine="0"/>
        <w:jc w:val="left"/>
      </w:pPr>
      <w:bookmarkStart w:id="294" w:name="bookmark294"/>
      <w:r>
        <w:rPr>
          <w:rStyle w:val="CharStyle28"/>
          <w:b/>
          <w:bCs/>
        </w:rPr>
        <w:t>PŘEDSTAVENÍ METODIKY EKONOMICKÉ ČÁSTI MAF CZ</w:t>
      </w:r>
      <w:bookmarkEnd w:id="294"/>
    </w:p>
    <w:p>
      <w:pPr>
        <w:pStyle w:val="Style19"/>
        <w:keepNext w:val="0"/>
        <w:keepLines w:val="0"/>
        <w:widowControl w:val="0"/>
        <w:shd w:val="clear" w:color="auto" w:fill="auto"/>
        <w:bidi w:val="0"/>
        <w:spacing w:before="0" w:after="0"/>
        <w:ind w:left="2620" w:right="0" w:firstLine="0"/>
        <w:jc w:val="left"/>
      </w:pPr>
      <w:r>
        <w:rPr>
          <w:rStyle w:val="CharStyle20"/>
        </w:rPr>
        <w:t>Primárním cílem této kapitoly je srovnání ekonomické náročnosti jednotlivých scénářů v Česku v letech 2025-2040, tedy všech nevyhnutných nákladů na pokrytí tuzemské spotřeby elektrické energie. Srovnání probíhá na základě součtu celkových ročních nákladů pro všechny roky v období 2025-2040 pro jednotlivé scénáře.</w:t>
      </w:r>
    </w:p>
    <w:p>
      <w:pPr>
        <w:pStyle w:val="Style19"/>
        <w:keepNext w:val="0"/>
        <w:keepLines w:val="0"/>
        <w:widowControl w:val="0"/>
        <w:shd w:val="clear" w:color="auto" w:fill="auto"/>
        <w:bidi w:val="0"/>
        <w:spacing w:before="0" w:after="220"/>
        <w:ind w:left="2620" w:right="0" w:firstLine="0"/>
        <w:jc w:val="left"/>
      </w:pPr>
      <w:r>
        <w:rPr>
          <w:rStyle w:val="CharStyle20"/>
        </w:rPr>
        <w:t>Celkové roční náklady, tedy Totexy (</w:t>
      </w:r>
      <w:r>
        <w:rPr>
          <w:rStyle w:val="CharStyle20"/>
          <w:i/>
          <w:iCs/>
        </w:rPr>
        <w:t>Total Expenditure</w:t>
      </w:r>
      <w:r>
        <w:rPr>
          <w:rStyle w:val="CharStyle20"/>
        </w:rPr>
        <w:t>) se vztahují na všechny české producenty elektrické energie s výkonem nad 10 MWe. Stanovení Totexů pro specifický rok a scénář probíhá na základě součtu následujících ročních nákladů (odpovídajích definicím metodiky ACER):</w:t>
      </w:r>
    </w:p>
    <w:p>
      <w:pPr>
        <w:pStyle w:val="Style19"/>
        <w:keepNext w:val="0"/>
        <w:keepLines w:val="0"/>
        <w:widowControl w:val="0"/>
        <w:shd w:val="clear" w:color="auto" w:fill="auto"/>
        <w:bidi w:val="0"/>
        <w:spacing w:before="0" w:after="220" w:line="271" w:lineRule="auto"/>
        <w:ind w:left="2840" w:right="0" w:hanging="220"/>
        <w:jc w:val="left"/>
      </w:pPr>
      <w:r>
        <w:rPr>
          <w:rStyle w:val="CharStyle20"/>
          <w:color w:val="006AB4"/>
          <w:sz w:val="22"/>
          <w:szCs w:val="22"/>
        </w:rPr>
        <w:t xml:space="preserve">^ </w:t>
      </w:r>
      <w:r>
        <w:rPr>
          <w:rStyle w:val="CharStyle20"/>
          <w:b/>
          <w:bCs/>
          <w:color w:val="006AB4"/>
        </w:rPr>
        <w:t xml:space="preserve">Roční kapitálové náklady - Capex </w:t>
      </w:r>
      <w:r>
        <w:rPr>
          <w:rStyle w:val="CharStyle20"/>
        </w:rPr>
        <w:t>(Capital Expenditure) pro vývoj a výstavbu nových zdrojů a retrofit stávajících zdrojů</w:t>
      </w:r>
    </w:p>
    <w:p>
      <w:pPr>
        <w:pStyle w:val="Style19"/>
        <w:keepNext w:val="0"/>
        <w:keepLines w:val="0"/>
        <w:widowControl w:val="0"/>
        <w:shd w:val="clear" w:color="auto" w:fill="auto"/>
        <w:bidi w:val="0"/>
        <w:spacing w:before="0" w:after="220" w:line="271" w:lineRule="auto"/>
        <w:ind w:left="2840" w:right="0" w:hanging="220"/>
        <w:jc w:val="left"/>
      </w:pPr>
      <w:r>
        <w:rPr>
          <w:rStyle w:val="CharStyle20"/>
          <w:color w:val="006AB4"/>
          <w:sz w:val="22"/>
          <w:szCs w:val="22"/>
        </w:rPr>
        <w:t xml:space="preserve">^ </w:t>
      </w:r>
      <w:r>
        <w:rPr>
          <w:rStyle w:val="CharStyle20"/>
          <w:b/>
          <w:bCs/>
          <w:color w:val="006AB4"/>
        </w:rPr>
        <w:t xml:space="preserve">Fixní roční náklady - FRN </w:t>
      </w:r>
      <w:r>
        <w:rPr>
          <w:rStyle w:val="CharStyle20"/>
        </w:rPr>
        <w:t>(platy, licence aj.) všech zdrojů elektrické energie (nové a stávající)</w:t>
      </w:r>
    </w:p>
    <w:p>
      <w:pPr>
        <w:pStyle w:val="Style19"/>
        <w:keepNext w:val="0"/>
        <w:keepLines w:val="0"/>
        <w:widowControl w:val="0"/>
        <w:shd w:val="clear" w:color="auto" w:fill="auto"/>
        <w:bidi w:val="0"/>
        <w:spacing w:before="0" w:after="220" w:line="271" w:lineRule="auto"/>
        <w:ind w:left="2840" w:right="0" w:hanging="220"/>
        <w:jc w:val="left"/>
      </w:pPr>
      <w:r>
        <w:rPr>
          <w:rStyle w:val="CharStyle20"/>
          <w:color w:val="006AB4"/>
          <w:sz w:val="22"/>
          <w:szCs w:val="22"/>
        </w:rPr>
        <w:t xml:space="preserve">^ </w:t>
      </w:r>
      <w:r>
        <w:rPr>
          <w:rStyle w:val="CharStyle20"/>
          <w:b/>
          <w:bCs/>
          <w:color w:val="006AB4"/>
        </w:rPr>
        <w:t xml:space="preserve">Roční variabilní náklady na výrobu elektřiny - Opex </w:t>
      </w:r>
      <w:r>
        <w:rPr>
          <w:rStyle w:val="CharStyle20"/>
        </w:rPr>
        <w:t>(Operational Expenditure) pro všechny uvažované zdroje (náklady na paliva/sorbenty, povolenky)</w:t>
      </w:r>
    </w:p>
    <w:p>
      <w:pPr>
        <w:pStyle w:val="Style19"/>
        <w:keepNext w:val="0"/>
        <w:keepLines w:val="0"/>
        <w:widowControl w:val="0"/>
        <w:shd w:val="clear" w:color="auto" w:fill="auto"/>
        <w:bidi w:val="0"/>
        <w:spacing w:before="0" w:after="260" w:line="271" w:lineRule="auto"/>
        <w:ind w:left="2840" w:right="0" w:hanging="220"/>
        <w:jc w:val="left"/>
      </w:pPr>
      <w:r>
        <w:rPr>
          <w:rStyle w:val="CharStyle20"/>
          <w:color w:val="006AB4"/>
          <w:sz w:val="22"/>
          <w:szCs w:val="22"/>
        </w:rPr>
        <w:t xml:space="preserve">^ </w:t>
      </w:r>
      <w:r>
        <w:rPr>
          <w:rStyle w:val="CharStyle20"/>
          <w:b/>
          <w:bCs/>
          <w:color w:val="006AB4"/>
        </w:rPr>
        <w:t xml:space="preserve">Importy </w:t>
      </w:r>
      <w:r>
        <w:rPr>
          <w:rStyle w:val="CharStyle20"/>
        </w:rPr>
        <w:t>elektrické energie potřebné na pokrytí rozdílu mezi výrobou a spotřebou v České republice</w:t>
      </w:r>
    </w:p>
    <w:p>
      <w:pPr>
        <w:pStyle w:val="Style19"/>
        <w:keepNext w:val="0"/>
        <w:keepLines w:val="0"/>
        <w:widowControl w:val="0"/>
        <w:shd w:val="clear" w:color="auto" w:fill="auto"/>
        <w:bidi w:val="0"/>
        <w:spacing w:before="0" w:after="260"/>
        <w:ind w:left="2620" w:right="0" w:firstLine="0"/>
        <w:jc w:val="left"/>
      </w:pPr>
      <w:r>
        <w:rPr>
          <w:rStyle w:val="CharStyle20"/>
        </w:rPr>
        <w:t>Srovnání ekonomické náročnosti probíhá jak v celkových Totexech, tak i v Totexech měrných (přepočet Totexu na 1 MWh spotřebované elektrické energie). V rámci modelu zdrojové přiměřenosti je prezentován základní stav složení tuzemského zdrojového mixu dle předpokladů scénářů. Totex je prezentován v cenách nominálních, nikoliv reálných.</w:t>
      </w:r>
    </w:p>
    <w:p>
      <w:pPr>
        <w:pStyle w:val="Style19"/>
        <w:keepNext w:val="0"/>
        <w:keepLines w:val="0"/>
        <w:widowControl w:val="0"/>
        <w:shd w:val="clear" w:color="auto" w:fill="auto"/>
        <w:bidi w:val="0"/>
        <w:spacing w:before="0" w:after="260"/>
        <w:ind w:left="2620" w:right="0" w:firstLine="0"/>
        <w:jc w:val="left"/>
      </w:pPr>
      <w:r>
        <w:rPr>
          <w:rStyle w:val="CharStyle20"/>
          <w:b/>
          <w:bCs/>
        </w:rPr>
        <w:t>Metodika výpočtu se zaměřuje pouze na nejdůležitější a nejpodstatnější nákladové složky (např. budoucí sanační náklady ve formě tvořených rezerv). Tržní prémie a riziko volatility cen nejsou součástí vyhodnocení ekonomické náročnosti scénářů.</w:t>
      </w:r>
    </w:p>
    <w:p>
      <w:pPr>
        <w:pStyle w:val="Style15"/>
        <w:keepNext/>
        <w:keepLines/>
        <w:widowControl w:val="0"/>
        <w:shd w:val="clear" w:color="auto" w:fill="auto"/>
        <w:bidi w:val="0"/>
        <w:spacing w:before="0" w:after="220" w:line="302" w:lineRule="auto"/>
        <w:ind w:left="2620" w:right="0" w:firstLine="0"/>
        <w:jc w:val="left"/>
      </w:pPr>
      <w:bookmarkStart w:id="296" w:name="bookmark296"/>
      <w:r>
        <w:rPr>
          <w:rStyle w:val="CharStyle16"/>
          <w:b/>
          <w:bCs/>
        </w:rPr>
        <w:t>Tab. 6.8 Grafický přehled vstupů pro výpočet Totexů jednotlivých scénářů</w:t>
      </w:r>
      <w:bookmarkEnd w:id="296"/>
    </w:p>
    <w:p>
      <w:pPr>
        <w:pStyle w:val="Style44"/>
        <w:keepNext w:val="0"/>
        <w:keepLines w:val="0"/>
        <w:widowControl w:val="0"/>
        <w:pBdr>
          <w:top w:val="single" w:sz="0" w:space="0" w:color="F7FCFF"/>
          <w:left w:val="single" w:sz="0" w:space="0" w:color="F7FCFF"/>
          <w:bottom w:val="single" w:sz="0" w:space="0" w:color="F7FCFF"/>
          <w:right w:val="single" w:sz="0" w:space="0" w:color="F7FCFF"/>
        </w:pBdr>
        <w:shd w:val="clear" w:color="auto" w:fill="F7FCFF"/>
        <w:bidi w:val="0"/>
        <w:spacing w:before="0" w:after="0" w:line="240" w:lineRule="auto"/>
        <w:ind w:left="1661" w:right="0" w:firstLine="0"/>
        <w:jc w:val="left"/>
        <w:rPr>
          <w:sz w:val="15"/>
          <w:szCs w:val="15"/>
        </w:rPr>
      </w:pPr>
      <w:r>
        <w:rPr>
          <w:rStyle w:val="CharStyle45"/>
          <w:rFonts w:ascii="Calibri" w:eastAsia="Calibri" w:hAnsi="Calibri" w:cs="Calibri"/>
          <w:b/>
          <w:bCs/>
          <w:color w:val="FFFFFF"/>
          <w:sz w:val="15"/>
          <w:szCs w:val="15"/>
        </w:rPr>
        <w:t>Celkové náklady na pokrytí spotřeby elektrické energie v ČR</w:t>
      </w:r>
    </w:p>
    <w:tbl>
      <w:tblPr>
        <w:tblOverlap w:val="never"/>
        <w:jc w:val="right"/>
        <w:tblLayout w:type="fixed"/>
      </w:tblPr>
      <w:tblGrid>
        <w:gridCol w:w="1435"/>
        <w:gridCol w:w="1426"/>
        <w:gridCol w:w="1430"/>
        <w:gridCol w:w="1416"/>
        <w:gridCol w:w="1454"/>
      </w:tblGrid>
      <w:tr>
        <w:trPr>
          <w:trHeight w:val="374" w:hRule="exact"/>
        </w:trPr>
        <w:tc>
          <w:tcPr>
            <w:gridSpan w:val="4"/>
            <w:tcBorders>
              <w:top w:val="single" w:sz="4"/>
              <w:left w:val="single" w:sz="4"/>
            </w:tcBorders>
            <w:shd w:val="clear" w:color="auto" w:fill="B7B9B8"/>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sz w:val="15"/>
                <w:szCs w:val="15"/>
              </w:rPr>
              <w:t>Celkové náklady výrobního systému v ČR</w:t>
            </w:r>
          </w:p>
        </w:tc>
        <w:tc>
          <w:tcPr>
            <w:vMerge w:val="restart"/>
            <w:tcBorders>
              <w:left w:val="single" w:sz="4"/>
            </w:tcBorders>
            <w:shd w:val="clear" w:color="auto" w:fill="FED851"/>
            <w:vAlign w:val="center"/>
          </w:tcPr>
          <w:p>
            <w:pPr>
              <w:pStyle w:val="Style5"/>
              <w:keepNext w:val="0"/>
              <w:keepLines w:val="0"/>
              <w:widowControl w:val="0"/>
              <w:shd w:val="clear" w:color="auto" w:fill="auto"/>
              <w:bidi w:val="0"/>
              <w:spacing w:before="0" w:after="0" w:line="216" w:lineRule="auto"/>
              <w:ind w:left="0" w:right="0" w:firstLine="0"/>
              <w:jc w:val="center"/>
              <w:rPr>
                <w:sz w:val="15"/>
                <w:szCs w:val="15"/>
              </w:rPr>
            </w:pPr>
            <w:r>
              <w:rPr>
                <w:rStyle w:val="CharStyle6"/>
                <w:rFonts w:ascii="Calibri" w:eastAsia="Calibri" w:hAnsi="Calibri" w:cs="Calibri"/>
                <w:b/>
                <w:bCs/>
                <w:sz w:val="15"/>
                <w:szCs w:val="15"/>
              </w:rPr>
              <w:t>Import elektřiny</w:t>
            </w:r>
          </w:p>
        </w:tc>
      </w:tr>
      <w:tr>
        <w:trPr>
          <w:trHeight w:val="336" w:hRule="exact"/>
        </w:trPr>
        <w:tc>
          <w:tcPr>
            <w:gridSpan w:val="2"/>
            <w:tcBorders>
              <w:top w:val="single" w:sz="4"/>
              <w:left w:val="single" w:sz="4"/>
            </w:tcBorders>
            <w:shd w:val="clear" w:color="auto" w:fill="27A951"/>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sz w:val="15"/>
                <w:szCs w:val="15"/>
              </w:rPr>
              <w:t>Fixní náklady</w:t>
            </w:r>
          </w:p>
        </w:tc>
        <w:tc>
          <w:tcPr>
            <w:gridSpan w:val="2"/>
            <w:tcBorders>
              <w:top w:val="single" w:sz="4"/>
              <w:left w:val="single" w:sz="4"/>
            </w:tcBorders>
            <w:shd w:val="clear" w:color="auto" w:fill="1BB8ED"/>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sz w:val="15"/>
                <w:szCs w:val="15"/>
              </w:rPr>
              <w:t>Variabilní náklady (OPEX)</w:t>
            </w:r>
          </w:p>
        </w:tc>
        <w:tc>
          <w:tcPr>
            <w:vMerge/>
            <w:tcBorders>
              <w:left w:val="single" w:sz="4"/>
            </w:tcBorders>
            <w:shd w:val="clear" w:color="auto" w:fill="FED851"/>
            <w:vAlign w:val="center"/>
          </w:tcPr>
          <w:p>
            <w:pPr/>
          </w:p>
        </w:tc>
      </w:tr>
      <w:tr>
        <w:trPr>
          <w:trHeight w:val="830" w:hRule="exact"/>
        </w:trPr>
        <w:tc>
          <w:tcPr>
            <w:tcBorders>
              <w:top w:val="single" w:sz="4"/>
              <w:left w:val="single" w:sz="4"/>
              <w:bottom w:val="single" w:sz="4"/>
            </w:tcBorders>
            <w:shd w:val="clear" w:color="auto" w:fill="74BC77"/>
            <w:vAlign w:val="center"/>
          </w:tcPr>
          <w:p>
            <w:pPr>
              <w:pStyle w:val="Style5"/>
              <w:keepNext w:val="0"/>
              <w:keepLines w:val="0"/>
              <w:widowControl w:val="0"/>
              <w:shd w:val="clear" w:color="auto" w:fill="auto"/>
              <w:bidi w:val="0"/>
              <w:spacing w:before="0" w:after="0" w:line="221" w:lineRule="auto"/>
              <w:ind w:left="0" w:right="0" w:firstLine="0"/>
              <w:jc w:val="center"/>
              <w:rPr>
                <w:sz w:val="15"/>
                <w:szCs w:val="15"/>
              </w:rPr>
            </w:pPr>
            <w:r>
              <w:rPr>
                <w:rStyle w:val="CharStyle6"/>
                <w:rFonts w:ascii="Calibri" w:eastAsia="Calibri" w:hAnsi="Calibri" w:cs="Calibri"/>
                <w:b/>
                <w:bCs/>
                <w:sz w:val="15"/>
                <w:szCs w:val="15"/>
              </w:rPr>
              <w:t>CAPEX</w:t>
            </w:r>
          </w:p>
          <w:p>
            <w:pPr>
              <w:pStyle w:val="Style5"/>
              <w:keepNext w:val="0"/>
              <w:keepLines w:val="0"/>
              <w:widowControl w:val="0"/>
              <w:shd w:val="clear" w:color="auto" w:fill="auto"/>
              <w:bidi w:val="0"/>
              <w:spacing w:before="0" w:after="0" w:line="298" w:lineRule="auto"/>
              <w:ind w:left="0" w:right="0" w:firstLine="0"/>
              <w:jc w:val="center"/>
              <w:rPr>
                <w:sz w:val="12"/>
                <w:szCs w:val="12"/>
              </w:rPr>
            </w:pPr>
            <w:bookmarkStart w:id="298" w:name="bookmark298"/>
            <w:r>
              <w:rPr>
                <w:rStyle w:val="CharStyle6"/>
                <w:b/>
                <w:bCs/>
                <w:sz w:val="12"/>
                <w:szCs w:val="12"/>
              </w:rPr>
              <w:t>(Potřebný pro výstavbu nových zdrojů &amp; retrofity</w:t>
            </w:r>
            <w:bookmarkEnd w:id="298"/>
          </w:p>
        </w:tc>
        <w:tc>
          <w:tcPr>
            <w:tcBorders>
              <w:top w:val="single" w:sz="4"/>
              <w:left w:val="single" w:sz="4"/>
              <w:bottom w:val="single" w:sz="4"/>
            </w:tcBorders>
            <w:shd w:val="clear" w:color="auto" w:fill="74BC77"/>
            <w:vAlign w:val="center"/>
          </w:tcPr>
          <w:p>
            <w:pPr>
              <w:pStyle w:val="Style5"/>
              <w:keepNext w:val="0"/>
              <w:keepLines w:val="0"/>
              <w:widowControl w:val="0"/>
              <w:shd w:val="clear" w:color="auto" w:fill="auto"/>
              <w:bidi w:val="0"/>
              <w:spacing w:before="0" w:after="0" w:line="240" w:lineRule="auto"/>
              <w:ind w:left="0" w:right="0" w:firstLine="0"/>
              <w:jc w:val="center"/>
              <w:rPr>
                <w:sz w:val="12"/>
                <w:szCs w:val="12"/>
              </w:rPr>
            </w:pPr>
            <w:r>
              <w:rPr>
                <w:rStyle w:val="CharStyle6"/>
                <w:rFonts w:ascii="Calibri" w:eastAsia="Calibri" w:hAnsi="Calibri" w:cs="Calibri"/>
                <w:b/>
                <w:bCs/>
                <w:sz w:val="15"/>
                <w:szCs w:val="15"/>
              </w:rPr>
              <w:t xml:space="preserve">FRN Fixní roční náklady </w:t>
            </w:r>
            <w:r>
              <w:rPr>
                <w:rStyle w:val="CharStyle6"/>
                <w:b/>
                <w:bCs/>
                <w:sz w:val="12"/>
                <w:szCs w:val="12"/>
              </w:rPr>
              <w:t>(Platy, licence, aj.)</w:t>
            </w:r>
          </w:p>
        </w:tc>
        <w:tc>
          <w:tcPr>
            <w:tcBorders>
              <w:top w:val="single" w:sz="4"/>
              <w:left w:val="single" w:sz="4"/>
              <w:bottom w:val="single" w:sz="4"/>
            </w:tcBorders>
            <w:shd w:val="clear" w:color="auto" w:fill="7ACBF3"/>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sz w:val="15"/>
                <w:szCs w:val="15"/>
              </w:rPr>
              <w:t>Paliva</w:t>
            </w:r>
          </w:p>
        </w:tc>
        <w:tc>
          <w:tcPr>
            <w:tcBorders>
              <w:top w:val="single" w:sz="4"/>
              <w:left w:val="single" w:sz="4"/>
              <w:bottom w:val="single" w:sz="4"/>
            </w:tcBorders>
            <w:shd w:val="clear" w:color="auto" w:fill="7ACBF3"/>
            <w:vAlign w:val="center"/>
          </w:tcPr>
          <w:p>
            <w:pPr>
              <w:pStyle w:val="Style5"/>
              <w:keepNext w:val="0"/>
              <w:keepLines w:val="0"/>
              <w:widowControl w:val="0"/>
              <w:shd w:val="clear" w:color="auto" w:fill="auto"/>
              <w:bidi w:val="0"/>
              <w:spacing w:before="0" w:after="0" w:line="240" w:lineRule="auto"/>
              <w:ind w:left="0" w:right="0" w:firstLine="0"/>
              <w:jc w:val="center"/>
              <w:rPr>
                <w:sz w:val="15"/>
                <w:szCs w:val="15"/>
              </w:rPr>
            </w:pPr>
            <w:r>
              <w:rPr>
                <w:rStyle w:val="CharStyle6"/>
                <w:rFonts w:ascii="Calibri" w:eastAsia="Calibri" w:hAnsi="Calibri" w:cs="Calibri"/>
                <w:b/>
                <w:bCs/>
                <w:sz w:val="15"/>
                <w:szCs w:val="15"/>
              </w:rPr>
              <w:t>Povolenky</w:t>
            </w:r>
          </w:p>
        </w:tc>
        <w:tc>
          <w:tcPr>
            <w:vMerge/>
            <w:tcBorders>
              <w:left w:val="single" w:sz="4"/>
            </w:tcBorders>
            <w:shd w:val="clear" w:color="auto" w:fill="FED851"/>
            <w:vAlign w:val="center"/>
          </w:tcPr>
          <w:p>
            <w:pPr/>
          </w:p>
        </w:tc>
      </w:tr>
    </w:tbl>
    <w:p>
      <w:pPr>
        <w:sectPr>
          <w:footnotePr>
            <w:pos w:val="pageBottom"/>
            <w:numFmt w:val="decimal"/>
            <w:numRestart w:val="continuous"/>
          </w:footnotePr>
          <w:pgSz w:w="12142" w:h="17375"/>
          <w:pgMar w:top="1232" w:right="837" w:bottom="1273" w:left="837" w:header="0" w:footer="3" w:gutter="686"/>
          <w:cols w:space="720"/>
          <w:noEndnote/>
          <w:rtlGutter w:val="0"/>
          <w:docGrid w:linePitch="360"/>
        </w:sectPr>
      </w:pPr>
    </w:p>
    <w:p>
      <w:pPr>
        <w:pStyle w:val="Style19"/>
        <w:keepNext w:val="0"/>
        <w:keepLines w:val="0"/>
        <w:widowControl w:val="0"/>
        <w:numPr>
          <w:ilvl w:val="0"/>
          <w:numId w:val="43"/>
        </w:numPr>
        <w:shd w:val="clear" w:color="auto" w:fill="auto"/>
        <w:tabs>
          <w:tab w:pos="351" w:val="left"/>
        </w:tabs>
        <w:bidi w:val="0"/>
        <w:spacing w:before="0" w:after="0"/>
        <w:ind w:left="0" w:right="0" w:firstLine="0"/>
        <w:jc w:val="left"/>
      </w:pPr>
      <w:r>
        <w:rPr>
          <w:rStyle w:val="CharStyle20"/>
          <w:b/>
          <w:bCs/>
          <w:color w:val="006AB4"/>
        </w:rPr>
        <w:t>ROČNÍ CAPEXY</w:t>
      </w:r>
    </w:p>
    <w:p>
      <w:pPr>
        <w:pStyle w:val="Style19"/>
        <w:keepNext w:val="0"/>
        <w:keepLines w:val="0"/>
        <w:widowControl w:val="0"/>
        <w:shd w:val="clear" w:color="auto" w:fill="auto"/>
        <w:bidi w:val="0"/>
        <w:spacing w:before="0" w:after="200"/>
        <w:ind w:left="0" w:right="0" w:firstLine="0"/>
        <w:jc w:val="left"/>
      </w:pPr>
      <w:r>
        <w:rPr>
          <w:rStyle w:val="CharStyle20"/>
        </w:rPr>
        <w:t>Celkovými kapitálovými náklady (Capexy) se rozumí náklady na vývoj, výstavbu nebo rekonstrukci zdroje elektrické energie, které vzniknou během výstavby tohoto zdroje. Pod kapitálovými náklady se dle metodiky ACER rozumí zejména:</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Náklady na stavbu, včetně vybavení, stavební práce, materiál, odměny zhotovitele a nepředvídaných nákladů zhotovitele</w:t>
      </w:r>
    </w:p>
    <w:p>
      <w:pPr>
        <w:pStyle w:val="Style19"/>
        <w:keepNext w:val="0"/>
        <w:keepLines w:val="0"/>
        <w:widowControl w:val="0"/>
        <w:shd w:val="clear" w:color="auto" w:fill="auto"/>
        <w:bidi w:val="0"/>
        <w:spacing w:before="0" w:after="200" w:line="271" w:lineRule="auto"/>
        <w:ind w:left="240" w:right="0" w:hanging="240"/>
        <w:jc w:val="left"/>
      </w:pPr>
      <w:r>
        <w:rPr>
          <w:rStyle w:val="CharStyle20"/>
          <w:color w:val="006AB4"/>
          <w:sz w:val="22"/>
          <w:szCs w:val="22"/>
        </w:rPr>
        <w:t xml:space="preserve">^ </w:t>
      </w:r>
      <w:r>
        <w:rPr>
          <w:rStyle w:val="CharStyle20"/>
        </w:rPr>
        <w:t>Náklady vlastníka, včetně nákladů na vypracování projektu, nákladů na licence a povolení, aj.</w:t>
      </w:r>
    </w:p>
    <w:p>
      <w:pPr>
        <w:pStyle w:val="Style19"/>
        <w:keepNext w:val="0"/>
        <w:keepLines w:val="0"/>
        <w:widowControl w:val="0"/>
        <w:shd w:val="clear" w:color="auto" w:fill="auto"/>
        <w:bidi w:val="0"/>
        <w:spacing w:before="0" w:after="260" w:line="271" w:lineRule="auto"/>
        <w:ind w:left="240" w:right="0" w:hanging="240"/>
        <w:jc w:val="left"/>
      </w:pPr>
      <w:r>
        <w:rPr>
          <w:rStyle w:val="CharStyle20"/>
          <w:color w:val="006AB4"/>
          <w:sz w:val="22"/>
          <w:szCs w:val="22"/>
        </w:rPr>
        <w:t xml:space="preserve">^ </w:t>
      </w:r>
      <w:r>
        <w:rPr>
          <w:rStyle w:val="CharStyle20"/>
        </w:rPr>
        <w:t>Další počáteční náklady související s kompenzacemi na ochranu životního prostředí, kompenzacemi pro místní obyvatele, vyřazení z provozu, aj.</w:t>
      </w:r>
    </w:p>
    <w:p>
      <w:pPr>
        <w:pStyle w:val="Style19"/>
        <w:keepNext w:val="0"/>
        <w:keepLines w:val="0"/>
        <w:widowControl w:val="0"/>
        <w:shd w:val="clear" w:color="auto" w:fill="auto"/>
        <w:bidi w:val="0"/>
        <w:spacing w:before="0" w:after="340" w:line="300" w:lineRule="auto"/>
        <w:ind w:left="0" w:right="0" w:firstLine="0"/>
        <w:jc w:val="left"/>
      </w:pPr>
      <w:r>
        <w:rPr>
          <w:rStyle w:val="CharStyle20"/>
        </w:rPr>
        <w:t>Roční anualizované kapitálové náklady (v textu jako roční Capexy) pro jednotlivé uvažované technologie představují požadavek na anualizované platby (výdaje) jejich celkových kapitálových nákladů při požadované návratnosti:</w:t>
      </w:r>
    </w:p>
    <w:p>
      <w:pPr>
        <w:pStyle w:val="Style19"/>
        <w:keepNext w:val="0"/>
        <w:keepLines w:val="0"/>
        <w:widowControl w:val="0"/>
        <w:shd w:val="clear" w:color="auto" w:fill="auto"/>
        <w:bidi w:val="0"/>
        <w:spacing w:before="0" w:after="0" w:line="240" w:lineRule="auto"/>
        <w:ind w:left="0" w:right="0" w:firstLine="0"/>
        <w:jc w:val="center"/>
      </w:pPr>
      <w:r>
        <w:rPr>
          <w:rStyle w:val="CharStyle20"/>
        </w:rPr>
        <w:t>V . i</w:t>
      </w:r>
    </w:p>
    <w:p>
      <w:pPr>
        <w:pStyle w:val="Style19"/>
        <w:keepNext w:val="0"/>
        <w:keepLines w:val="0"/>
        <w:widowControl w:val="0"/>
        <w:shd w:val="clear" w:color="auto" w:fill="auto"/>
        <w:tabs>
          <w:tab w:leader="hyphen" w:pos="5174" w:val="left"/>
        </w:tabs>
        <w:bidi w:val="0"/>
        <w:spacing w:before="0" w:after="0" w:line="182" w:lineRule="auto"/>
        <w:ind w:left="2040" w:right="0" w:firstLine="0"/>
        <w:jc w:val="left"/>
      </w:pPr>
      <w:r>
        <w:rPr>
          <w:rStyle w:val="CharStyle20"/>
        </w:rPr>
        <w:t xml:space="preserve">Roční Capex 1= </w:t>
        <w:tab/>
      </w:r>
    </w:p>
    <w:p>
      <w:pPr>
        <w:pStyle w:val="Style19"/>
        <w:keepNext w:val="0"/>
        <w:keepLines w:val="0"/>
        <w:widowControl w:val="0"/>
        <w:shd w:val="clear" w:color="auto" w:fill="auto"/>
        <w:bidi w:val="0"/>
        <w:spacing w:before="0" w:after="380" w:line="180" w:lineRule="auto"/>
        <w:ind w:left="3620" w:right="0" w:hanging="480"/>
        <w:jc w:val="left"/>
      </w:pPr>
      <w:r>
        <w:rPr>
          <w:rStyle w:val="CharStyle20"/>
          <w:sz w:val="10"/>
          <w:szCs w:val="10"/>
        </w:rPr>
        <w:t xml:space="preserve">Technologie </w:t>
      </w:r>
      <w:r>
        <w:rPr>
          <w:rStyle w:val="CharStyle20"/>
          <w:vertAlign w:val="superscript"/>
        </w:rPr>
        <w:t>g</w:t>
      </w:r>
      <w:r>
        <w:rPr>
          <w:rStyle w:val="CharStyle20"/>
        </w:rPr>
        <w:t xml:space="preserve"> 1 - (1 + i)</w:t>
      </w:r>
      <w:r>
        <w:rPr>
          <w:rStyle w:val="CharStyle20"/>
          <w:vertAlign w:val="superscript"/>
        </w:rPr>
        <w:t>-n</w:t>
      </w:r>
    </w:p>
    <w:p>
      <w:pPr>
        <w:pStyle w:val="Style19"/>
        <w:keepNext w:val="0"/>
        <w:keepLines w:val="0"/>
        <w:widowControl w:val="0"/>
        <w:numPr>
          <w:ilvl w:val="0"/>
          <w:numId w:val="45"/>
        </w:numPr>
        <w:shd w:val="clear" w:color="auto" w:fill="auto"/>
        <w:tabs>
          <w:tab w:pos="284" w:val="left"/>
        </w:tabs>
        <w:bidi w:val="0"/>
        <w:spacing w:before="0" w:after="0" w:line="300" w:lineRule="auto"/>
        <w:ind w:left="0" w:right="0" w:firstLine="0"/>
        <w:jc w:val="left"/>
      </w:pPr>
      <w:r>
        <w:rPr>
          <w:rStyle w:val="CharStyle20"/>
        </w:rPr>
        <w:t>celkových nákladů na konstrukci zdroje ve výši V</w:t>
      </w:r>
    </w:p>
    <w:p>
      <w:pPr>
        <w:pStyle w:val="Style19"/>
        <w:keepNext w:val="0"/>
        <w:keepLines w:val="0"/>
        <w:widowControl w:val="0"/>
        <w:numPr>
          <w:ilvl w:val="0"/>
          <w:numId w:val="45"/>
        </w:numPr>
        <w:shd w:val="clear" w:color="auto" w:fill="auto"/>
        <w:tabs>
          <w:tab w:pos="284" w:val="left"/>
        </w:tabs>
        <w:bidi w:val="0"/>
        <w:spacing w:before="0" w:after="0" w:line="300" w:lineRule="auto"/>
        <w:ind w:left="0" w:right="0" w:firstLine="0"/>
        <w:jc w:val="left"/>
      </w:pPr>
      <w:r>
        <w:rPr>
          <w:rStyle w:val="CharStyle20"/>
        </w:rPr>
        <w:t>n ročních splátek během ekonomické životnosti zdroje</w:t>
      </w:r>
    </w:p>
    <w:p>
      <w:pPr>
        <w:pStyle w:val="Style19"/>
        <w:keepNext w:val="0"/>
        <w:keepLines w:val="0"/>
        <w:widowControl w:val="0"/>
        <w:numPr>
          <w:ilvl w:val="0"/>
          <w:numId w:val="45"/>
        </w:numPr>
        <w:shd w:val="clear" w:color="auto" w:fill="auto"/>
        <w:tabs>
          <w:tab w:pos="284" w:val="left"/>
        </w:tabs>
        <w:bidi w:val="0"/>
        <w:spacing w:before="0" w:after="260" w:line="300" w:lineRule="auto"/>
        <w:ind w:left="160" w:right="0" w:hanging="160"/>
        <w:jc w:val="left"/>
      </w:pPr>
      <w:r>
        <w:rPr>
          <w:rStyle w:val="CharStyle20"/>
        </w:rPr>
        <w:t>váženého průměru nákladů kapitálu i (Weighted Average Cost of Capital, WACC) pro danou technologii</w:t>
      </w:r>
    </w:p>
    <w:p>
      <w:pPr>
        <w:pStyle w:val="Style19"/>
        <w:keepNext w:val="0"/>
        <w:keepLines w:val="0"/>
        <w:widowControl w:val="0"/>
        <w:shd w:val="clear" w:color="auto" w:fill="auto"/>
        <w:bidi w:val="0"/>
        <w:spacing w:before="0" w:after="0" w:line="300" w:lineRule="auto"/>
        <w:ind w:left="0" w:right="0" w:firstLine="0"/>
        <w:jc w:val="left"/>
      </w:pPr>
      <w:r>
        <w:rPr>
          <w:rStyle w:val="CharStyle20"/>
        </w:rPr>
        <w:t>Náklady na výstavbu nového zdroje jsou uvažovány jako overnight cost, kde je zdroj postaven „přes noc“, náklady na kapitál (tedy platby za úroky) během konstrukce tedy nejsou zahrnuty. Pro určení celkového ročního Capexu českého elektroenergetického sytému se nejdřív vynásobí výkon nové technologie uvedené do provozu</w:t>
      </w:r>
    </w:p>
    <w:p>
      <w:pPr>
        <w:pStyle w:val="Style19"/>
        <w:keepNext w:val="0"/>
        <w:keepLines w:val="0"/>
        <w:widowControl w:val="0"/>
        <w:shd w:val="clear" w:color="auto" w:fill="auto"/>
        <w:bidi w:val="0"/>
        <w:spacing w:before="0" w:after="760" w:line="300" w:lineRule="auto"/>
        <w:ind w:left="0" w:right="0" w:firstLine="0"/>
        <w:jc w:val="left"/>
      </w:pPr>
      <w:r>
        <w:rPr>
          <w:rStyle w:val="CharStyle20"/>
        </w:rPr>
        <w:t>s odpovídajícím ročním Capexem za 1 MW, pak se Capexy všech technologii sčítají:</w:t>
      </w:r>
    </w:p>
    <w:p>
      <w:pPr>
        <w:pStyle w:val="Style19"/>
        <w:keepNext w:val="0"/>
        <w:keepLines w:val="0"/>
        <w:widowControl w:val="0"/>
        <w:shd w:val="clear" w:color="auto" w:fill="auto"/>
        <w:tabs>
          <w:tab w:pos="1835" w:val="left"/>
          <w:tab w:pos="5033" w:val="left"/>
        </w:tabs>
        <w:bidi w:val="0"/>
        <w:spacing w:before="0" w:after="760" w:line="240" w:lineRule="auto"/>
        <w:ind w:left="0" w:right="0" w:firstLine="160"/>
        <w:jc w:val="left"/>
        <w:rPr>
          <w:sz w:val="10"/>
          <w:szCs w:val="10"/>
        </w:rPr>
      </w:pPr>
      <w:r>
        <w:rPr>
          <w:rStyle w:val="CharStyle20"/>
          <w:rFonts w:ascii="Times New Roman" w:eastAsia="Times New Roman" w:hAnsi="Times New Roman" w:cs="Times New Roman"/>
          <w:sz w:val="20"/>
          <w:szCs w:val="20"/>
          <w:vertAlign w:val="superscript"/>
        </w:rPr>
        <w:t>Roční</w:t>
      </w:r>
      <w:r>
        <w:rPr>
          <w:rStyle w:val="CharStyle20"/>
          <w:rFonts w:ascii="Times New Roman" w:eastAsia="Times New Roman" w:hAnsi="Times New Roman" w:cs="Times New Roman"/>
          <w:sz w:val="20"/>
          <w:szCs w:val="20"/>
        </w:rPr>
        <w:t xml:space="preserve"> </w:t>
      </w:r>
      <w:r>
        <w:rPr>
          <w:rStyle w:val="CharStyle20"/>
        </w:rPr>
        <w:t>Capex</w:t>
      </w:r>
      <w:r>
        <w:rPr>
          <w:rStyle w:val="CharStyle20"/>
          <w:sz w:val="10"/>
          <w:szCs w:val="10"/>
        </w:rPr>
        <w:t xml:space="preserve">Rok </w:t>
      </w:r>
      <w:r>
        <w:rPr>
          <w:rStyle w:val="CharStyle20"/>
        </w:rPr>
        <w:t>=</w:t>
        <w:tab/>
        <w:t xml:space="preserve">Konstruovanynovy vyko </w:t>
      </w:r>
      <w:r>
        <w:rPr>
          <w:rStyle w:val="CharStyle20"/>
          <w:sz w:val="10"/>
          <w:szCs w:val="10"/>
        </w:rPr>
        <w:t>^Technologie, Rok</w:t>
        <w:tab/>
      </w:r>
      <w:r>
        <w:rPr>
          <w:rStyle w:val="CharStyle20"/>
        </w:rPr>
        <w:t>^o^n^^aPex</w:t>
      </w:r>
      <w:r>
        <w:rPr>
          <w:rStyle w:val="CharStyle20"/>
          <w:sz w:val="10"/>
          <w:szCs w:val="10"/>
        </w:rPr>
        <w:t>Technologie, Rok</w:t>
      </w:r>
    </w:p>
    <w:p>
      <w:pPr>
        <w:pStyle w:val="Style19"/>
        <w:keepNext w:val="0"/>
        <w:keepLines w:val="0"/>
        <w:widowControl w:val="0"/>
        <w:shd w:val="clear" w:color="auto" w:fill="auto"/>
        <w:bidi w:val="0"/>
        <w:spacing w:before="0" w:after="300" w:line="300" w:lineRule="auto"/>
        <w:ind w:left="0" w:right="0" w:firstLine="0"/>
        <w:jc w:val="left"/>
        <w:sectPr>
          <w:footnotePr>
            <w:pos w:val="pageBottom"/>
            <w:numFmt w:val="decimal"/>
            <w:numRestart w:val="continuous"/>
          </w:footnotePr>
          <w:pgSz w:w="12142" w:h="17375"/>
          <w:pgMar w:top="1281" w:right="834" w:bottom="1281" w:left="834" w:header="0" w:footer="3" w:gutter="691"/>
          <w:cols w:space="720"/>
          <w:noEndnote/>
          <w:rtlGutter w:val="0"/>
          <w:docGrid w:linePitch="360"/>
        </w:sectPr>
      </w:pPr>
      <w:r>
        <w:rPr>
          <w:rStyle w:val="CharStyle20"/>
        </w:rPr>
        <w:t>Odpisy stávajících elektráren se neuvažují z důvodu předpokladu jejich většinového odepsání. Výše hodnoty WACC se pohybuje v závislosti od jednotlivé technologie v rozmezí 4-9 %.</w:t>
      </w:r>
    </w:p>
    <w:p>
      <w:pPr>
        <w:pStyle w:val="Style19"/>
        <w:keepNext w:val="0"/>
        <w:keepLines w:val="0"/>
        <w:widowControl w:val="0"/>
        <w:numPr>
          <w:ilvl w:val="0"/>
          <w:numId w:val="43"/>
        </w:numPr>
        <w:shd w:val="clear" w:color="auto" w:fill="auto"/>
        <w:tabs>
          <w:tab w:pos="3003" w:val="left"/>
        </w:tabs>
        <w:bidi w:val="0"/>
        <w:spacing w:before="0" w:after="0"/>
        <w:ind w:left="2640" w:right="0" w:firstLine="0"/>
        <w:jc w:val="left"/>
      </w:pPr>
      <w:r>
        <w:rPr>
          <w:rStyle w:val="CharStyle20"/>
          <w:b/>
          <w:bCs/>
          <w:color w:val="006AB4"/>
        </w:rPr>
        <w:t>FIXNÍ ROČNÍ NÁKLADY</w:t>
      </w:r>
    </w:p>
    <w:p>
      <w:pPr>
        <w:pStyle w:val="Style19"/>
        <w:keepNext w:val="0"/>
        <w:keepLines w:val="0"/>
        <w:widowControl w:val="0"/>
        <w:shd w:val="clear" w:color="auto" w:fill="auto"/>
        <w:bidi w:val="0"/>
        <w:spacing w:before="0" w:after="200"/>
        <w:ind w:left="2640" w:right="0" w:firstLine="0"/>
        <w:jc w:val="left"/>
      </w:pPr>
      <w:r>
        <w:rPr>
          <w:rStyle w:val="CharStyle20"/>
        </w:rPr>
        <w:t>Ročními fixními náklady se rozumí roční náklady vzniklé v souvislosti s provozem zdroje, nezávisle na vyprodukovaném objemu elektrické energie. Do ročních fixních nákladů dle metodiky ACER spadají zejména:</w:t>
      </w:r>
    </w:p>
    <w:p>
      <w:pPr>
        <w:pStyle w:val="Style19"/>
        <w:keepNext w:val="0"/>
        <w:keepLines w:val="0"/>
        <w:widowControl w:val="0"/>
        <w:shd w:val="clear" w:color="auto" w:fill="auto"/>
        <w:bidi w:val="0"/>
        <w:spacing w:before="0" w:after="280" w:line="240" w:lineRule="auto"/>
        <w:ind w:left="2640" w:right="0" w:firstLine="0"/>
        <w:jc w:val="left"/>
      </w:pPr>
      <w:r>
        <w:rPr>
          <w:rStyle w:val="CharStyle20"/>
          <w:color w:val="006AB4"/>
          <w:sz w:val="22"/>
          <w:szCs w:val="22"/>
        </w:rPr>
        <w:t xml:space="preserve">^ </w:t>
      </w:r>
      <w:r>
        <w:rPr>
          <w:rStyle w:val="CharStyle20"/>
        </w:rPr>
        <w:t>Mzdové náklady</w:t>
      </w:r>
    </w:p>
    <w:p>
      <w:pPr>
        <w:pStyle w:val="Style19"/>
        <w:keepNext w:val="0"/>
        <w:keepLines w:val="0"/>
        <w:widowControl w:val="0"/>
        <w:shd w:val="clear" w:color="auto" w:fill="auto"/>
        <w:bidi w:val="0"/>
        <w:spacing w:before="0" w:after="280" w:line="240" w:lineRule="auto"/>
        <w:ind w:left="2640" w:right="0" w:firstLine="0"/>
        <w:jc w:val="left"/>
      </w:pPr>
      <w:r>
        <w:rPr>
          <w:rStyle w:val="CharStyle20"/>
          <w:color w:val="006AB4"/>
          <w:sz w:val="22"/>
          <w:szCs w:val="22"/>
        </w:rPr>
        <w:t xml:space="preserve">^ </w:t>
      </w:r>
      <w:r>
        <w:rPr>
          <w:rStyle w:val="CharStyle20"/>
        </w:rPr>
        <w:t>Fixní náklady na údržbu a opravy, náklady na pojištění a správu majetku</w:t>
      </w:r>
    </w:p>
    <w:p>
      <w:pPr>
        <w:pStyle w:val="Style19"/>
        <w:keepNext w:val="0"/>
        <w:keepLines w:val="0"/>
        <w:widowControl w:val="0"/>
        <w:shd w:val="clear" w:color="auto" w:fill="auto"/>
        <w:bidi w:val="0"/>
        <w:spacing w:before="0" w:after="280" w:line="240" w:lineRule="auto"/>
        <w:ind w:left="2640" w:right="0" w:firstLine="0"/>
        <w:jc w:val="left"/>
      </w:pPr>
      <w:r>
        <w:rPr>
          <w:rStyle w:val="CharStyle20"/>
          <w:color w:val="006AB4"/>
          <w:sz w:val="22"/>
          <w:szCs w:val="22"/>
        </w:rPr>
        <w:t xml:space="preserve">^ </w:t>
      </w:r>
      <w:r>
        <w:rPr>
          <w:rStyle w:val="CharStyle20"/>
        </w:rPr>
        <w:t>Daně a poplatky, transakční a kontrolní náklady</w:t>
      </w:r>
    </w:p>
    <w:p>
      <w:pPr>
        <w:pStyle w:val="Style19"/>
        <w:keepNext w:val="0"/>
        <w:keepLines w:val="0"/>
        <w:widowControl w:val="0"/>
        <w:shd w:val="clear" w:color="auto" w:fill="auto"/>
        <w:bidi w:val="0"/>
        <w:spacing w:before="0" w:after="200" w:line="271" w:lineRule="auto"/>
        <w:ind w:left="2880" w:right="0" w:hanging="240"/>
        <w:jc w:val="left"/>
      </w:pPr>
      <w:r>
        <w:rPr>
          <w:rStyle w:val="CharStyle20"/>
          <w:color w:val="006AB4"/>
          <w:sz w:val="22"/>
          <w:szCs w:val="22"/>
        </w:rPr>
        <w:t xml:space="preserve">^ </w:t>
      </w:r>
      <w:r>
        <w:rPr>
          <w:rStyle w:val="CharStyle20"/>
        </w:rPr>
        <w:t>Smlouvy o poskytování služeb v oblasti dodávek paliva (s výjimkou nákladů na palivo)</w:t>
      </w:r>
    </w:p>
    <w:p>
      <w:pPr>
        <w:pStyle w:val="Style19"/>
        <w:keepNext w:val="0"/>
        <w:keepLines w:val="0"/>
        <w:widowControl w:val="0"/>
        <w:shd w:val="clear" w:color="auto" w:fill="auto"/>
        <w:bidi w:val="0"/>
        <w:spacing w:before="0" w:after="280" w:line="271" w:lineRule="auto"/>
        <w:ind w:left="2880" w:right="0" w:hanging="240"/>
        <w:jc w:val="left"/>
      </w:pPr>
      <w:r>
        <w:rPr>
          <w:rStyle w:val="CharStyle20"/>
          <w:color w:val="006AB4"/>
          <w:sz w:val="22"/>
          <w:szCs w:val="22"/>
        </w:rPr>
        <w:t xml:space="preserve">^ </w:t>
      </w:r>
      <w:r>
        <w:rPr>
          <w:rStyle w:val="CharStyle20"/>
        </w:rPr>
        <w:t>Ostatní roční náklady, včetně nákladů na kompenzaci dopadů na životní prostředí, náklady na místní obyvatele</w:t>
      </w:r>
    </w:p>
    <w:p>
      <w:pPr>
        <w:pStyle w:val="Style19"/>
        <w:keepNext w:val="0"/>
        <w:keepLines w:val="0"/>
        <w:widowControl w:val="0"/>
        <w:shd w:val="clear" w:color="auto" w:fill="auto"/>
        <w:bidi w:val="0"/>
        <w:spacing w:before="0" w:after="600"/>
        <w:ind w:left="2640" w:right="0" w:firstLine="0"/>
        <w:jc w:val="left"/>
      </w:pPr>
      <w:r>
        <w:rPr>
          <w:rStyle w:val="CharStyle20"/>
        </w:rPr>
        <w:t xml:space="preserve">Výpočet </w:t>
      </w:r>
      <w:r>
        <w:rPr>
          <w:rStyle w:val="CharStyle20"/>
          <w:b/>
          <w:bCs/>
          <w:color w:val="006AB4"/>
        </w:rPr>
        <w:t xml:space="preserve">fixních ročních nákladů </w:t>
      </w:r>
      <w:r>
        <w:rPr>
          <w:rStyle w:val="CharStyle20"/>
        </w:rPr>
        <w:t>pro jednotlivé technologie je stanoven jako součin jejího celkového výkonu v českém energetickém mixu pro daný rok a referenční hodnoty fixních ročních nákladů pro 1 MW. Celkové fixní roční náklady pro daný rok jsou pak dány součtem všech uvažovaných technologií:</w:t>
      </w:r>
    </w:p>
    <w:p>
      <w:pPr>
        <w:pStyle w:val="Style119"/>
        <w:keepNext w:val="0"/>
        <w:keepLines w:val="0"/>
        <w:widowControl w:val="0"/>
        <w:shd w:val="clear" w:color="auto" w:fill="auto"/>
        <w:bidi w:val="0"/>
        <w:spacing w:before="0" w:after="680" w:line="240" w:lineRule="auto"/>
        <w:ind w:left="0" w:right="1420" w:firstLine="0"/>
        <w:jc w:val="right"/>
      </w:pPr>
      <w:r>
        <w:rPr>
          <w:rStyle w:val="CharStyle120"/>
          <w:rFonts w:ascii="Times New Roman" w:eastAsia="Times New Roman" w:hAnsi="Times New Roman" w:cs="Times New Roman"/>
          <w:sz w:val="20"/>
          <w:szCs w:val="20"/>
          <w:vertAlign w:val="superscript"/>
        </w:rPr>
        <w:t>FRN</w:t>
      </w:r>
      <w:r>
        <w:rPr>
          <w:rStyle w:val="CharStyle120"/>
        </w:rPr>
        <w:t xml:space="preserve">Rok </w:t>
      </w:r>
      <w:r>
        <w:rPr>
          <w:rStyle w:val="CharStyle120"/>
          <w:sz w:val="18"/>
          <w:szCs w:val="18"/>
        </w:rPr>
        <w:t xml:space="preserve">= </w:t>
      </w:r>
      <w:r>
        <w:rPr>
          <w:rStyle w:val="CharStyle120"/>
          <w:sz w:val="42"/>
          <w:szCs w:val="42"/>
        </w:rPr>
        <w:t>^</w:t>
      </w:r>
      <w:r>
        <w:rPr>
          <w:rStyle w:val="CharStyle120"/>
          <w:sz w:val="18"/>
          <w:szCs w:val="18"/>
        </w:rPr>
        <w:t>Cena výkon</w:t>
      </w:r>
      <w:r>
        <w:rPr>
          <w:rStyle w:val="CharStyle120"/>
        </w:rPr>
        <w:t xml:space="preserve">Technologie, Rok </w:t>
      </w:r>
      <w:r>
        <w:rPr>
          <w:rStyle w:val="CharStyle120"/>
          <w:sz w:val="18"/>
          <w:szCs w:val="18"/>
        </w:rPr>
        <w:t xml:space="preserve">* </w:t>
      </w:r>
      <w:r>
        <w:rPr>
          <w:rStyle w:val="CharStyle120"/>
          <w:rFonts w:ascii="Times New Roman" w:eastAsia="Times New Roman" w:hAnsi="Times New Roman" w:cs="Times New Roman"/>
          <w:sz w:val="20"/>
          <w:szCs w:val="20"/>
          <w:vertAlign w:val="superscript"/>
        </w:rPr>
        <w:t>FR</w:t>
      </w:r>
      <w:r>
        <w:rPr>
          <w:rStyle w:val="CharStyle120"/>
          <w:sz w:val="18"/>
          <w:szCs w:val="18"/>
        </w:rPr>
        <w:t>t</w:t>
      </w:r>
      <w:r>
        <w:rPr>
          <w:rStyle w:val="CharStyle120"/>
        </w:rPr>
        <w:t>echnologie, Rok</w:t>
      </w:r>
    </w:p>
    <w:p>
      <w:pPr>
        <w:pStyle w:val="Style19"/>
        <w:keepNext w:val="0"/>
        <w:keepLines w:val="0"/>
        <w:widowControl w:val="0"/>
        <w:numPr>
          <w:ilvl w:val="0"/>
          <w:numId w:val="43"/>
        </w:numPr>
        <w:shd w:val="clear" w:color="auto" w:fill="auto"/>
        <w:tabs>
          <w:tab w:pos="3003" w:val="left"/>
        </w:tabs>
        <w:bidi w:val="0"/>
        <w:spacing w:before="0" w:after="0"/>
        <w:ind w:left="2640" w:right="0" w:firstLine="0"/>
        <w:jc w:val="left"/>
      </w:pPr>
      <w:r>
        <w:rPr>
          <w:rStyle w:val="CharStyle20"/>
          <w:b/>
          <w:bCs/>
          <w:color w:val="006AB4"/>
        </w:rPr>
        <w:t>VARIABILNÍ NÁKLADY - OPEXY</w:t>
      </w:r>
    </w:p>
    <w:p>
      <w:pPr>
        <w:pStyle w:val="Style19"/>
        <w:keepNext w:val="0"/>
        <w:keepLines w:val="0"/>
        <w:widowControl w:val="0"/>
        <w:shd w:val="clear" w:color="auto" w:fill="auto"/>
        <w:bidi w:val="0"/>
        <w:spacing w:before="0" w:after="680"/>
        <w:ind w:left="2640" w:right="0" w:firstLine="0"/>
        <w:jc w:val="left"/>
      </w:pPr>
      <w:r>
        <w:rPr>
          <w:rStyle w:val="CharStyle20"/>
        </w:rPr>
        <w:t xml:space="preserve">Pro stanovení Opexů byly použity </w:t>
      </w:r>
      <w:r>
        <w:rPr>
          <w:rStyle w:val="CharStyle20"/>
          <w:b/>
          <w:bCs/>
          <w:color w:val="006AB4"/>
        </w:rPr>
        <w:t xml:space="preserve">ceny paliv </w:t>
      </w:r>
      <w:r>
        <w:rPr>
          <w:rStyle w:val="CharStyle20"/>
        </w:rPr>
        <w:t xml:space="preserve">a </w:t>
      </w:r>
      <w:r>
        <w:rPr>
          <w:rStyle w:val="CharStyle20"/>
          <w:b/>
          <w:bCs/>
          <w:color w:val="006AB4"/>
        </w:rPr>
        <w:t xml:space="preserve">povolenky </w:t>
      </w:r>
      <w:r>
        <w:rPr>
          <w:rStyle w:val="CharStyle20"/>
        </w:rPr>
        <w:t>vycházející z hodnot použitých pro simulace v rámci ENTSO-E a Evropské komise. Na základě těchto vstupů a výrob ze simulací jsou vypočteny Opexy pro jednotlivé technologie, které jsou následně sečteny pro určení celkových variabilních nákladů českého výrobního systému pro daný rok:</w:t>
      </w:r>
    </w:p>
    <w:p>
      <w:pPr>
        <w:pStyle w:val="Style119"/>
        <w:keepNext w:val="0"/>
        <w:keepLines w:val="0"/>
        <w:widowControl w:val="0"/>
        <w:shd w:val="clear" w:color="auto" w:fill="auto"/>
        <w:tabs>
          <w:tab w:pos="848" w:val="left"/>
          <w:tab w:pos="3667" w:val="left"/>
          <w:tab w:pos="4790" w:val="left"/>
        </w:tabs>
        <w:bidi w:val="0"/>
        <w:spacing w:before="0" w:after="0" w:line="240" w:lineRule="auto"/>
        <w:ind w:left="0" w:right="0" w:firstLine="0"/>
        <w:jc w:val="right"/>
      </w:pPr>
      <w:r>
        <w:rPr>
          <w:rStyle w:val="CharStyle120"/>
          <w:rFonts w:ascii="Times New Roman" w:eastAsia="Times New Roman" w:hAnsi="Times New Roman" w:cs="Times New Roman"/>
          <w:sz w:val="20"/>
          <w:szCs w:val="20"/>
          <w:vertAlign w:val="superscript"/>
        </w:rPr>
        <w:t>OPEX</w:t>
      </w:r>
      <w:r>
        <w:rPr>
          <w:rStyle w:val="CharStyle120"/>
        </w:rPr>
        <w:t>Rok</w:t>
        <w:tab/>
      </w:r>
      <w:r>
        <w:rPr>
          <w:rStyle w:val="CharStyle120"/>
          <w:sz w:val="18"/>
          <w:szCs w:val="18"/>
        </w:rPr>
        <w:t>^^^CenapalíVa</w:t>
      </w:r>
      <w:r>
        <w:rPr>
          <w:rStyle w:val="CharStyle120"/>
        </w:rPr>
        <w:t xml:space="preserve">Technologie, Rok </w:t>
      </w:r>
      <w:r>
        <w:rPr>
          <w:rStyle w:val="CharStyle120"/>
          <w:sz w:val="18"/>
          <w:szCs w:val="18"/>
        </w:rPr>
        <w:t>/</w:t>
        <w:tab/>
        <w:t>os^</w:t>
      </w:r>
      <w:r>
        <w:rPr>
          <w:rStyle w:val="CharStyle120"/>
        </w:rPr>
        <w:t>echnologie</w:t>
        <w:tab/>
      </w:r>
      <w:r>
        <w:rPr>
          <w:rStyle w:val="CharStyle120"/>
          <w:sz w:val="18"/>
          <w:szCs w:val="18"/>
        </w:rPr>
        <w:t>^e^o^^ ^yo^a</w:t>
      </w:r>
      <w:r>
        <w:rPr>
          <w:rStyle w:val="CharStyle120"/>
        </w:rPr>
        <w:t>Technologie, Rok</w:t>
      </w:r>
    </w:p>
    <w:p>
      <w:pPr>
        <w:widowControl w:val="0"/>
        <w:spacing w:line="1" w:lineRule="exact"/>
      </w:pPr>
      <w:r>
        <mc:AlternateContent>
          <mc:Choice Requires="wps">
            <w:drawing>
              <wp:anchor distT="0" distB="0" distL="0" distR="0" simplePos="0" relativeHeight="125829515" behindDoc="0" locked="0" layoutInCell="1" allowOverlap="1">
                <wp:simplePos x="0" y="0"/>
                <wp:positionH relativeFrom="margin">
                  <wp:posOffset>2612390</wp:posOffset>
                </wp:positionH>
                <wp:positionV relativeFrom="paragraph">
                  <wp:posOffset>0</wp:posOffset>
                </wp:positionV>
                <wp:extent cx="1158240" cy="237490"/>
                <wp:wrapTopAndBottom/>
                <wp:docPr id="574" name="Shape 574"/>
                <a:graphic xmlns:a="http://schemas.openxmlformats.org/drawingml/2006/main">
                  <a:graphicData uri="http://schemas.microsoft.com/office/word/2010/wordprocessingShape">
                    <wps:wsp>
                      <wps:cNvSpPr txBox="1"/>
                      <wps:spPr>
                        <a:xfrm>
                          <a:ext cx="1158240" cy="2374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 Emise</w:t>
                            </w:r>
                          </w:p>
                          <w:p>
                            <w:pPr>
                              <w:pStyle w:val="Style119"/>
                              <w:keepNext w:val="0"/>
                              <w:keepLines w:val="0"/>
                              <w:widowControl w:val="0"/>
                              <w:shd w:val="clear" w:color="auto" w:fill="auto"/>
                              <w:bidi w:val="0"/>
                              <w:spacing w:before="0" w:after="0" w:line="180" w:lineRule="auto"/>
                              <w:ind w:left="0" w:right="0" w:firstLine="0"/>
                              <w:jc w:val="right"/>
                            </w:pPr>
                            <w:r>
                              <w:rPr>
                                <w:rStyle w:val="CharStyle120"/>
                              </w:rPr>
                              <w:t>Technologie, Rok</w:t>
                            </w:r>
                          </w:p>
                        </w:txbxContent>
                      </wps:txbx>
                      <wps:bodyPr lIns="0" tIns="0" rIns="0" bIns="0">
                        <a:noAutoFit/>
                      </wps:bodyPr>
                    </wps:wsp>
                  </a:graphicData>
                </a:graphic>
              </wp:anchor>
            </w:drawing>
          </mc:Choice>
          <mc:Fallback>
            <w:pict>
              <v:shape id="_x0000_s1600" type="#_x0000_t202" style="position:absolute;margin-left:205.70000000000002pt;margin-top:0;width:91.200000000000003pt;height:18.699999999999999pt;z-index:-125829238;mso-wrap-distance-left:0;mso-wrap-distance-right:0;mso-position-horizont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 Emise</w:t>
                      </w:r>
                    </w:p>
                    <w:p>
                      <w:pPr>
                        <w:pStyle w:val="Style119"/>
                        <w:keepNext w:val="0"/>
                        <w:keepLines w:val="0"/>
                        <w:widowControl w:val="0"/>
                        <w:shd w:val="clear" w:color="auto" w:fill="auto"/>
                        <w:bidi w:val="0"/>
                        <w:spacing w:before="0" w:after="0" w:line="180" w:lineRule="auto"/>
                        <w:ind w:left="0" w:right="0" w:firstLine="0"/>
                        <w:jc w:val="right"/>
                      </w:pPr>
                      <w:r>
                        <w:rPr>
                          <w:rStyle w:val="CharStyle120"/>
                        </w:rPr>
                        <w:t>Technologie, Rok</w:t>
                      </w:r>
                    </w:p>
                  </w:txbxContent>
                </v:textbox>
                <w10:wrap type="topAndBottom" anchorx="margin"/>
              </v:shape>
            </w:pict>
          </mc:Fallback>
        </mc:AlternateContent>
      </w:r>
      <w:r>
        <mc:AlternateContent>
          <mc:Choice Requires="wps">
            <w:drawing>
              <wp:anchor distT="24130" distB="33655" distL="0" distR="0" simplePos="0" relativeHeight="125829517" behindDoc="0" locked="0" layoutInCell="1" allowOverlap="1">
                <wp:simplePos x="0" y="0"/>
                <wp:positionH relativeFrom="margin">
                  <wp:posOffset>3910965</wp:posOffset>
                </wp:positionH>
                <wp:positionV relativeFrom="paragraph">
                  <wp:posOffset>24130</wp:posOffset>
                </wp:positionV>
                <wp:extent cx="1410970" cy="179705"/>
                <wp:wrapTopAndBottom/>
                <wp:docPr id="576" name="Shape 576"/>
                <a:graphic xmlns:a="http://schemas.openxmlformats.org/drawingml/2006/main">
                  <a:graphicData uri="http://schemas.microsoft.com/office/word/2010/wordprocessingShape">
                    <wps:wsp>
                      <wps:cNvSpPr txBox="1"/>
                      <wps:spPr>
                        <a:xfrm>
                          <a:ext cx="1410970" cy="17970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Cena povolenky</w:t>
                            </w:r>
                          </w:p>
                          <w:p>
                            <w:pPr>
                              <w:pStyle w:val="Style119"/>
                              <w:keepNext w:val="0"/>
                              <w:keepLines w:val="0"/>
                              <w:widowControl w:val="0"/>
                              <w:shd w:val="clear" w:color="auto" w:fill="auto"/>
                              <w:bidi w:val="0"/>
                              <w:spacing w:before="0" w:after="0" w:line="180" w:lineRule="auto"/>
                              <w:ind w:left="0" w:right="0" w:firstLine="0"/>
                              <w:jc w:val="right"/>
                            </w:pPr>
                            <w:r>
                              <w:rPr>
                                <w:rStyle w:val="CharStyle120"/>
                              </w:rPr>
                              <w:t>Technologie, Rok</w:t>
                            </w:r>
                          </w:p>
                        </w:txbxContent>
                      </wps:txbx>
                      <wps:bodyPr lIns="0" tIns="0" rIns="0" bIns="0">
                        <a:noAutoFit/>
                      </wps:bodyPr>
                    </wps:wsp>
                  </a:graphicData>
                </a:graphic>
              </wp:anchor>
            </w:drawing>
          </mc:Choice>
          <mc:Fallback>
            <w:pict>
              <v:shape id="_x0000_s1602" type="#_x0000_t202" style="position:absolute;margin-left:307.94999999999999pt;margin-top:1.9000000000000001pt;width:111.10000000000001pt;height:14.15pt;z-index:-125829236;mso-wrap-distance-left:0;mso-wrap-distance-top:1.9000000000000001pt;mso-wrap-distance-right:0;mso-wrap-distance-bottom:2.6499999999999999pt;mso-position-horizont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pPr>
                      <w:r>
                        <w:rPr>
                          <w:rStyle w:val="CharStyle20"/>
                        </w:rPr>
                        <w:t>Cena povolenky</w:t>
                      </w:r>
                    </w:p>
                    <w:p>
                      <w:pPr>
                        <w:pStyle w:val="Style119"/>
                        <w:keepNext w:val="0"/>
                        <w:keepLines w:val="0"/>
                        <w:widowControl w:val="0"/>
                        <w:shd w:val="clear" w:color="auto" w:fill="auto"/>
                        <w:bidi w:val="0"/>
                        <w:spacing w:before="0" w:after="0" w:line="180" w:lineRule="auto"/>
                        <w:ind w:left="0" w:right="0" w:firstLine="0"/>
                        <w:jc w:val="right"/>
                      </w:pPr>
                      <w:r>
                        <w:rPr>
                          <w:rStyle w:val="CharStyle120"/>
                        </w:rPr>
                        <w:t>Technologie, Rok</w:t>
                      </w:r>
                    </w:p>
                  </w:txbxContent>
                </v:textbox>
                <w10:wrap type="topAndBottom" anchorx="margin"/>
              </v:shape>
            </w:pict>
          </mc:Fallback>
        </mc:AlternateContent>
      </w:r>
    </w:p>
    <w:p>
      <w:pPr>
        <w:pStyle w:val="Style19"/>
        <w:keepNext w:val="0"/>
        <w:keepLines w:val="0"/>
        <w:widowControl w:val="0"/>
        <w:numPr>
          <w:ilvl w:val="0"/>
          <w:numId w:val="43"/>
        </w:numPr>
        <w:shd w:val="clear" w:color="auto" w:fill="auto"/>
        <w:tabs>
          <w:tab w:pos="2968" w:val="left"/>
        </w:tabs>
        <w:bidi w:val="0"/>
        <w:spacing w:before="0" w:after="0" w:line="300" w:lineRule="auto"/>
        <w:ind w:left="2660" w:right="0" w:firstLine="0"/>
        <w:jc w:val="left"/>
      </w:pPr>
      <w:r>
        <w:rPr>
          <w:rStyle w:val="CharStyle20"/>
          <w:b/>
          <w:bCs/>
          <w:color w:val="006AB4"/>
        </w:rPr>
        <w:t>IMPORTY</w:t>
      </w:r>
    </w:p>
    <w:p>
      <w:pPr>
        <w:pStyle w:val="Style19"/>
        <w:keepNext w:val="0"/>
        <w:keepLines w:val="0"/>
        <w:widowControl w:val="0"/>
        <w:shd w:val="clear" w:color="auto" w:fill="auto"/>
        <w:bidi w:val="0"/>
        <w:spacing w:before="0" w:after="0" w:line="300" w:lineRule="auto"/>
        <w:ind w:left="2660" w:right="0" w:firstLine="0"/>
        <w:jc w:val="left"/>
      </w:pPr>
      <w:r>
        <w:rPr>
          <w:rStyle w:val="CharStyle20"/>
        </w:rPr>
        <w:t xml:space="preserve">Objemy čistých </w:t>
      </w:r>
      <w:r>
        <w:rPr>
          <w:rStyle w:val="CharStyle20"/>
          <w:b/>
          <w:bCs/>
          <w:color w:val="006AB4"/>
        </w:rPr>
        <w:t xml:space="preserve">importů </w:t>
      </w:r>
      <w:r>
        <w:rPr>
          <w:rStyle w:val="CharStyle20"/>
        </w:rPr>
        <w:t>a náklady na jejich opatření vychází ze simulací ČEPS. Jako vstup pro určení těchto nákladů slouží marginální cena zahraničních závěrných zdrojů, které se podílí na pokrytí tuzemské poptávky. Tato cena je simulována pro každou hodinu. Průměrná cena je spočítána jako vážený průměr hodinových cen a dodávek elektřiny.</w:t>
      </w:r>
      <w:r>
        <w:br w:type="page"/>
      </w:r>
    </w:p>
    <w:p>
      <w:pPr>
        <w:pStyle w:val="Style27"/>
        <w:keepNext/>
        <w:keepLines/>
        <w:widowControl w:val="0"/>
        <w:shd w:val="clear" w:color="auto" w:fill="auto"/>
        <w:bidi w:val="0"/>
        <w:spacing w:before="0" w:after="640" w:line="240" w:lineRule="auto"/>
        <w:ind w:left="0" w:right="0" w:firstLine="0"/>
        <w:jc w:val="left"/>
      </w:pPr>
      <w:bookmarkStart w:id="299" w:name="bookmark299"/>
      <w:r>
        <w:rPr>
          <w:rStyle w:val="CharStyle28"/>
          <w:b/>
          <w:bCs/>
        </w:rPr>
        <w:t>6.4.6.2 SROVNÁNÍ EKONOMICKÉ NÁROČNOSTI SCÉNÁŘŮ</w:t>
      </w:r>
      <w:bookmarkEnd w:id="299"/>
    </w:p>
    <w:p>
      <w:pPr>
        <w:pStyle w:val="Style15"/>
        <w:keepNext/>
        <w:keepLines/>
        <w:widowControl w:val="0"/>
        <w:shd w:val="clear" w:color="auto" w:fill="auto"/>
        <w:bidi w:val="0"/>
        <w:spacing w:before="0" w:after="0" w:line="240" w:lineRule="auto"/>
        <w:ind w:left="0" w:right="0" w:firstLine="0"/>
        <w:jc w:val="left"/>
      </w:pPr>
      <w:bookmarkStart w:id="301" w:name="bookmark301"/>
      <w:r>
        <w:rPr>
          <w:rStyle w:val="CharStyle16"/>
          <w:b/>
          <w:bCs/>
        </w:rPr>
        <w:t>Obr. 6.44 Respondentní scénář - Rozpad Totexů pro cílové roky</w:t>
      </w:r>
      <w:bookmarkEnd w:id="301"/>
    </w:p>
    <w:p>
      <w:pPr>
        <w:widowControl w:val="0"/>
        <w:spacing w:line="1" w:lineRule="exact"/>
        <w:sectPr>
          <w:footnotePr>
            <w:pos w:val="pageBottom"/>
            <w:numFmt w:val="decimal"/>
            <w:numRestart w:val="continuous"/>
          </w:footnotePr>
          <w:pgSz w:w="12142" w:h="17375"/>
          <w:pgMar w:top="1276" w:right="850" w:bottom="2788" w:left="850" w:header="0" w:footer="3" w:gutter="640"/>
          <w:cols w:space="720"/>
          <w:noEndnote/>
          <w:rtlGutter w:val="0"/>
          <w:docGrid w:linePitch="360"/>
        </w:sectPr>
      </w:pPr>
      <w:r>
        <w:drawing>
          <wp:anchor distT="398780" distB="194945" distL="597535" distR="0" simplePos="0" relativeHeight="125829519" behindDoc="0" locked="0" layoutInCell="1" allowOverlap="1">
            <wp:simplePos x="0" y="0"/>
            <wp:positionH relativeFrom="margin">
              <wp:posOffset>603885</wp:posOffset>
            </wp:positionH>
            <wp:positionV relativeFrom="paragraph">
              <wp:posOffset>398780</wp:posOffset>
            </wp:positionV>
            <wp:extent cx="5614670" cy="1889760"/>
            <wp:wrapTopAndBottom/>
            <wp:docPr id="578" name="Shape 578"/>
            <a:graphic xmlns:a="http://schemas.openxmlformats.org/drawingml/2006/main">
              <a:graphicData uri="http://schemas.openxmlformats.org/drawingml/2006/picture">
                <pic:pic xmlns:pic="http://schemas.openxmlformats.org/drawingml/2006/picture">
                  <pic:nvPicPr>
                    <pic:cNvPr id="579" name="Picture box 579"/>
                    <pic:cNvPicPr/>
                  </pic:nvPicPr>
                  <pic:blipFill>
                    <a:blip r:embed="rId385"/>
                    <a:stretch/>
                  </pic:blipFill>
                  <pic:spPr>
                    <a:xfrm>
                      <a:ext cx="5614670" cy="1889760"/>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margin">
                  <wp:posOffset>6350</wp:posOffset>
                </wp:positionH>
                <wp:positionV relativeFrom="paragraph">
                  <wp:posOffset>215900</wp:posOffset>
                </wp:positionV>
                <wp:extent cx="514985" cy="2118360"/>
                <wp:wrapNone/>
                <wp:docPr id="580" name="Shape 580"/>
                <a:graphic xmlns:a="http://schemas.openxmlformats.org/drawingml/2006/main">
                  <a:graphicData uri="http://schemas.microsoft.com/office/word/2010/wordprocessingShape">
                    <wps:wsp>
                      <wps:cNvSpPr txBox="1"/>
                      <wps:spPr>
                        <a:xfrm>
                          <a:ext cx="514985" cy="2118360"/>
                        </a:xfrm>
                        <a:prstGeom prst="rect"/>
                        <a:noFill/>
                      </wps:spPr>
                      <wps:txbx>
                        <w:txbxContent>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180 000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160 000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140 000</w:t>
                            </w:r>
                          </w:p>
                          <w:p>
                            <w:pPr>
                              <w:pStyle w:val="Style2"/>
                              <w:keepNext w:val="0"/>
                              <w:keepLines w:val="0"/>
                              <w:widowControl w:val="0"/>
                              <w:shd w:val="clear" w:color="auto" w:fill="auto"/>
                              <w:bidi w:val="0"/>
                              <w:spacing w:before="0" w:after="180" w:line="240" w:lineRule="auto"/>
                              <w:ind w:left="0" w:right="0" w:firstLine="0"/>
                              <w:jc w:val="right"/>
                              <w:rPr>
                                <w:sz w:val="12"/>
                                <w:szCs w:val="12"/>
                              </w:rPr>
                            </w:pPr>
                            <w:r>
                              <w:rPr>
                                <w:rStyle w:val="CharStyle3"/>
                                <w:b/>
                                <w:bCs/>
                                <w:sz w:val="12"/>
                                <w:szCs w:val="12"/>
                              </w:rPr>
                              <w:t>Q 120 000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100 000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80 000</w:t>
                            </w:r>
                          </w:p>
                          <w:p>
                            <w:pPr>
                              <w:pStyle w:val="Style2"/>
                              <w:keepNext w:val="0"/>
                              <w:keepLines w:val="0"/>
                              <w:widowControl w:val="0"/>
                              <w:shd w:val="clear" w:color="auto" w:fill="auto"/>
                              <w:bidi w:val="0"/>
                              <w:spacing w:before="0" w:after="180" w:line="240" w:lineRule="auto"/>
                              <w:ind w:left="0" w:right="0" w:firstLine="0"/>
                              <w:jc w:val="left"/>
                              <w:rPr>
                                <w:sz w:val="12"/>
                                <w:szCs w:val="12"/>
                              </w:rPr>
                            </w:pPr>
                            <w:r>
                              <w:rPr>
                                <w:rStyle w:val="CharStyle3"/>
                                <w:b/>
                                <w:bCs/>
                                <w:sz w:val="12"/>
                                <w:szCs w:val="12"/>
                              </w:rPr>
                              <w:t>Z 60 000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40 000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20 000</w:t>
                            </w:r>
                          </w:p>
                          <w:p>
                            <w:pPr>
                              <w:pStyle w:val="Style2"/>
                              <w:keepNext w:val="0"/>
                              <w:keepLines w:val="0"/>
                              <w:widowControl w:val="0"/>
                              <w:shd w:val="clear" w:color="auto" w:fill="auto"/>
                              <w:bidi w:val="0"/>
                              <w:spacing w:before="0" w:after="180" w:line="240" w:lineRule="auto"/>
                              <w:ind w:left="0" w:right="0" w:firstLine="0"/>
                              <w:jc w:val="right"/>
                              <w:rPr>
                                <w:sz w:val="12"/>
                                <w:szCs w:val="12"/>
                              </w:rPr>
                            </w:pPr>
                            <w:r>
                              <w:rPr>
                                <w:rStyle w:val="CharStyle3"/>
                                <w:b/>
                                <w:bCs/>
                                <w:sz w:val="12"/>
                                <w:szCs w:val="12"/>
                              </w:rPr>
                              <w:t>0</w:t>
                            </w:r>
                          </w:p>
                        </w:txbxContent>
                      </wps:txbx>
                      <wps:bodyPr lIns="0" tIns="0" rIns="0" bIns="0">
                        <a:noAutoFit/>
                      </wps:bodyPr>
                    </wps:wsp>
                  </a:graphicData>
                </a:graphic>
              </wp:anchor>
            </w:drawing>
          </mc:Choice>
          <mc:Fallback>
            <w:pict>
              <v:shape id="_x0000_s1606" type="#_x0000_t202" style="position:absolute;margin-left:0.5pt;margin-top:17.pt;width:40.550000000000004pt;height:166.80000000000001pt;z-index:251657821;mso-wrap-distance-left:0;mso-wrap-distance-right:0;mso-position-horizontal-relative:margin" filled="f" stroked="f">
                <v:textbox inset="0,0,0,0">
                  <w:txbxContent>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180 000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160 000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140 000</w:t>
                      </w:r>
                    </w:p>
                    <w:p>
                      <w:pPr>
                        <w:pStyle w:val="Style2"/>
                        <w:keepNext w:val="0"/>
                        <w:keepLines w:val="0"/>
                        <w:widowControl w:val="0"/>
                        <w:shd w:val="clear" w:color="auto" w:fill="auto"/>
                        <w:bidi w:val="0"/>
                        <w:spacing w:before="0" w:after="180" w:line="240" w:lineRule="auto"/>
                        <w:ind w:left="0" w:right="0" w:firstLine="0"/>
                        <w:jc w:val="right"/>
                        <w:rPr>
                          <w:sz w:val="12"/>
                          <w:szCs w:val="12"/>
                        </w:rPr>
                      </w:pPr>
                      <w:r>
                        <w:rPr>
                          <w:rStyle w:val="CharStyle3"/>
                          <w:b/>
                          <w:bCs/>
                          <w:sz w:val="12"/>
                          <w:szCs w:val="12"/>
                        </w:rPr>
                        <w:t>Q 120 000</w:t>
                      </w:r>
                    </w:p>
                    <w:p>
                      <w:pPr>
                        <w:pStyle w:val="Style2"/>
                        <w:keepNext w:val="0"/>
                        <w:keepLines w:val="0"/>
                        <w:widowControl w:val="0"/>
                        <w:shd w:val="clear" w:color="auto" w:fill="auto"/>
                        <w:bidi w:val="0"/>
                        <w:spacing w:before="0" w:after="180" w:line="240" w:lineRule="auto"/>
                        <w:ind w:left="0" w:right="0" w:firstLine="300"/>
                        <w:jc w:val="left"/>
                        <w:rPr>
                          <w:sz w:val="12"/>
                          <w:szCs w:val="12"/>
                        </w:rPr>
                      </w:pPr>
                      <w:r>
                        <w:rPr>
                          <w:rStyle w:val="CharStyle3"/>
                          <w:b/>
                          <w:bCs/>
                          <w:sz w:val="12"/>
                          <w:szCs w:val="12"/>
                        </w:rPr>
                        <w:t>100 000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80 000</w:t>
                      </w:r>
                    </w:p>
                    <w:p>
                      <w:pPr>
                        <w:pStyle w:val="Style2"/>
                        <w:keepNext w:val="0"/>
                        <w:keepLines w:val="0"/>
                        <w:widowControl w:val="0"/>
                        <w:shd w:val="clear" w:color="auto" w:fill="auto"/>
                        <w:bidi w:val="0"/>
                        <w:spacing w:before="0" w:after="180" w:line="240" w:lineRule="auto"/>
                        <w:ind w:left="0" w:right="0" w:firstLine="0"/>
                        <w:jc w:val="left"/>
                        <w:rPr>
                          <w:sz w:val="12"/>
                          <w:szCs w:val="12"/>
                        </w:rPr>
                      </w:pPr>
                      <w:r>
                        <w:rPr>
                          <w:rStyle w:val="CharStyle3"/>
                          <w:b/>
                          <w:bCs/>
                          <w:sz w:val="12"/>
                          <w:szCs w:val="12"/>
                        </w:rPr>
                        <w:t>Z 60 000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40 000</w:t>
                      </w:r>
                    </w:p>
                    <w:p>
                      <w:pPr>
                        <w:pStyle w:val="Style2"/>
                        <w:keepNext w:val="0"/>
                        <w:keepLines w:val="0"/>
                        <w:widowControl w:val="0"/>
                        <w:shd w:val="clear" w:color="auto" w:fill="auto"/>
                        <w:bidi w:val="0"/>
                        <w:spacing w:before="0" w:after="180" w:line="240" w:lineRule="auto"/>
                        <w:ind w:left="0" w:right="0" w:firstLine="380"/>
                        <w:jc w:val="left"/>
                        <w:rPr>
                          <w:sz w:val="12"/>
                          <w:szCs w:val="12"/>
                        </w:rPr>
                      </w:pPr>
                      <w:r>
                        <w:rPr>
                          <w:rStyle w:val="CharStyle3"/>
                          <w:b/>
                          <w:bCs/>
                          <w:sz w:val="12"/>
                          <w:szCs w:val="12"/>
                        </w:rPr>
                        <w:t>20 000</w:t>
                      </w:r>
                    </w:p>
                    <w:p>
                      <w:pPr>
                        <w:pStyle w:val="Style2"/>
                        <w:keepNext w:val="0"/>
                        <w:keepLines w:val="0"/>
                        <w:widowControl w:val="0"/>
                        <w:shd w:val="clear" w:color="auto" w:fill="auto"/>
                        <w:bidi w:val="0"/>
                        <w:spacing w:before="0" w:after="180" w:line="240" w:lineRule="auto"/>
                        <w:ind w:left="0" w:right="0" w:firstLine="0"/>
                        <w:jc w:val="right"/>
                        <w:rPr>
                          <w:sz w:val="12"/>
                          <w:szCs w:val="12"/>
                        </w:rPr>
                      </w:pPr>
                      <w:r>
                        <w:rPr>
                          <w:rStyle w:val="CharStyle3"/>
                          <w:b/>
                          <w:bCs/>
                          <w:sz w:val="12"/>
                          <w:szCs w:val="12"/>
                        </w:rPr>
                        <w:t>0</w:t>
                      </w:r>
                    </w:p>
                  </w:txbxContent>
                </v:textbox>
                <w10:wrap anchorx="margin"/>
              </v:shape>
            </w:pict>
          </mc:Fallback>
        </mc:AlternateContent>
      </w:r>
      <w:r>
        <mc:AlternateContent>
          <mc:Choice Requires="wps">
            <w:drawing>
              <wp:anchor distT="0" distB="0" distL="0" distR="0" simplePos="0" relativeHeight="503316576" behindDoc="0" locked="0" layoutInCell="1" allowOverlap="1">
                <wp:simplePos x="0" y="0"/>
                <wp:positionH relativeFrom="margin">
                  <wp:posOffset>1198245</wp:posOffset>
                </wp:positionH>
                <wp:positionV relativeFrom="paragraph">
                  <wp:posOffset>2364740</wp:posOffset>
                </wp:positionV>
                <wp:extent cx="213360" cy="115570"/>
                <wp:wrapNone/>
                <wp:docPr id="582" name="Shape 582"/>
                <a:graphic xmlns:a="http://schemas.openxmlformats.org/drawingml/2006/main">
                  <a:graphicData uri="http://schemas.microsoft.com/office/word/2010/wordprocessingShape">
                    <wps:wsp>
                      <wps:cNvSpPr txBox="1"/>
                      <wps:spPr>
                        <a:xfrm>
                          <a:ext cx="21336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2025</w:t>
                            </w:r>
                          </w:p>
                        </w:txbxContent>
                      </wps:txbx>
                      <wps:bodyPr lIns="0" tIns="0" rIns="0" bIns="0">
                        <a:noAutoFit/>
                      </wps:bodyPr>
                    </wps:wsp>
                  </a:graphicData>
                </a:graphic>
              </wp:anchor>
            </w:drawing>
          </mc:Choice>
          <mc:Fallback>
            <w:pict>
              <v:shape id="_x0000_s1608" type="#_x0000_t202" style="position:absolute;margin-left:94.350000000000009pt;margin-top:186.20000000000002pt;width:16.800000000000001pt;height:9.0999999999999996pt;z-index:251657823;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2025</w:t>
                      </w:r>
                    </w:p>
                  </w:txbxContent>
                </v:textbox>
                <w10:wrap anchorx="margin"/>
              </v:shape>
            </w:pict>
          </mc:Fallback>
        </mc:AlternateContent>
      </w:r>
      <w:r>
        <mc:AlternateContent>
          <mc:Choice Requires="wps">
            <w:drawing>
              <wp:anchor distT="0" distB="0" distL="0" distR="0" simplePos="0" relativeHeight="503316578" behindDoc="0" locked="0" layoutInCell="1" allowOverlap="1">
                <wp:simplePos x="0" y="0"/>
                <wp:positionH relativeFrom="margin">
                  <wp:posOffset>2573020</wp:posOffset>
                </wp:positionH>
                <wp:positionV relativeFrom="paragraph">
                  <wp:posOffset>2364740</wp:posOffset>
                </wp:positionV>
                <wp:extent cx="210185" cy="115570"/>
                <wp:wrapNone/>
                <wp:docPr id="584" name="Shape 584"/>
                <a:graphic xmlns:a="http://schemas.openxmlformats.org/drawingml/2006/main">
                  <a:graphicData uri="http://schemas.microsoft.com/office/word/2010/wordprocessingShape">
                    <wps:wsp>
                      <wps:cNvSpPr txBox="1"/>
                      <wps:spPr>
                        <a:xfrm>
                          <a:ext cx="210185"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2030</w:t>
                            </w:r>
                          </w:p>
                        </w:txbxContent>
                      </wps:txbx>
                      <wps:bodyPr lIns="0" tIns="0" rIns="0" bIns="0">
                        <a:noAutoFit/>
                      </wps:bodyPr>
                    </wps:wsp>
                  </a:graphicData>
                </a:graphic>
              </wp:anchor>
            </w:drawing>
          </mc:Choice>
          <mc:Fallback>
            <w:pict>
              <v:shape id="_x0000_s1610" type="#_x0000_t202" style="position:absolute;margin-left:202.59999999999999pt;margin-top:186.20000000000002pt;width:16.550000000000001pt;height:9.0999999999999996pt;z-index:251657825;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2030</w:t>
                      </w:r>
                    </w:p>
                  </w:txbxContent>
                </v:textbox>
                <w10:wrap anchorx="margin"/>
              </v:shape>
            </w:pict>
          </mc:Fallback>
        </mc:AlternateContent>
      </w:r>
      <w:r>
        <mc:AlternateContent>
          <mc:Choice Requires="wps">
            <w:drawing>
              <wp:anchor distT="0" distB="0" distL="0" distR="0" simplePos="0" relativeHeight="503316580" behindDoc="0" locked="0" layoutInCell="1" allowOverlap="1">
                <wp:simplePos x="0" y="0"/>
                <wp:positionH relativeFrom="margin">
                  <wp:posOffset>3980815</wp:posOffset>
                </wp:positionH>
                <wp:positionV relativeFrom="paragraph">
                  <wp:posOffset>2364740</wp:posOffset>
                </wp:positionV>
                <wp:extent cx="210185" cy="115570"/>
                <wp:wrapNone/>
                <wp:docPr id="586" name="Shape 586"/>
                <a:graphic xmlns:a="http://schemas.openxmlformats.org/drawingml/2006/main">
                  <a:graphicData uri="http://schemas.microsoft.com/office/word/2010/wordprocessingShape">
                    <wps:wsp>
                      <wps:cNvSpPr txBox="1"/>
                      <wps:spPr>
                        <a:xfrm>
                          <a:ext cx="210185"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2035</w:t>
                            </w:r>
                          </w:p>
                        </w:txbxContent>
                      </wps:txbx>
                      <wps:bodyPr lIns="0" tIns="0" rIns="0" bIns="0">
                        <a:noAutoFit/>
                      </wps:bodyPr>
                    </wps:wsp>
                  </a:graphicData>
                </a:graphic>
              </wp:anchor>
            </w:drawing>
          </mc:Choice>
          <mc:Fallback>
            <w:pict>
              <v:shape id="_x0000_s1612" type="#_x0000_t202" style="position:absolute;margin-left:313.44999999999999pt;margin-top:186.20000000000002pt;width:16.550000000000001pt;height:9.0999999999999996pt;z-index:251657827;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2035</w:t>
                      </w:r>
                    </w:p>
                  </w:txbxContent>
                </v:textbox>
                <w10:wrap anchorx="margin"/>
              </v:shape>
            </w:pict>
          </mc:Fallback>
        </mc:AlternateContent>
      </w:r>
      <w:r>
        <mc:AlternateContent>
          <mc:Choice Requires="wps">
            <w:drawing>
              <wp:anchor distT="0" distB="0" distL="0" distR="0" simplePos="0" relativeHeight="503316582" behindDoc="0" locked="0" layoutInCell="1" allowOverlap="1">
                <wp:simplePos x="0" y="0"/>
                <wp:positionH relativeFrom="margin">
                  <wp:posOffset>5361940</wp:posOffset>
                </wp:positionH>
                <wp:positionV relativeFrom="paragraph">
                  <wp:posOffset>2364740</wp:posOffset>
                </wp:positionV>
                <wp:extent cx="210185" cy="115570"/>
                <wp:wrapNone/>
                <wp:docPr id="588" name="Shape 588"/>
                <a:graphic xmlns:a="http://schemas.openxmlformats.org/drawingml/2006/main">
                  <a:graphicData uri="http://schemas.microsoft.com/office/word/2010/wordprocessingShape">
                    <wps:wsp>
                      <wps:cNvSpPr txBox="1"/>
                      <wps:spPr>
                        <a:xfrm>
                          <a:ext cx="210185"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2040</w:t>
                            </w:r>
                          </w:p>
                        </w:txbxContent>
                      </wps:txbx>
                      <wps:bodyPr lIns="0" tIns="0" rIns="0" bIns="0">
                        <a:noAutoFit/>
                      </wps:bodyPr>
                    </wps:wsp>
                  </a:graphicData>
                </a:graphic>
              </wp:anchor>
            </w:drawing>
          </mc:Choice>
          <mc:Fallback>
            <w:pict>
              <v:shape id="_x0000_s1614" type="#_x0000_t202" style="position:absolute;margin-left:422.19999999999999pt;margin-top:186.20000000000002pt;width:16.550000000000001pt;height:9.0999999999999996pt;z-index:251657829;mso-wrap-distance-left:0;mso-wrap-distance-right:0;mso-position-horizont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rStyle w:val="CharStyle3"/>
                          <w:b/>
                          <w:bCs/>
                          <w:sz w:val="12"/>
                          <w:szCs w:val="12"/>
                        </w:rPr>
                        <w:t>2040</w:t>
                      </w:r>
                    </w:p>
                  </w:txbxContent>
                </v:textbox>
                <w10:wrap anchorx="margin"/>
              </v:shape>
            </w:pict>
          </mc:Fallback>
        </mc:AlternateContent>
      </w:r>
    </w:p>
    <w:p>
      <w:pPr>
        <w:widowControl w:val="0"/>
        <w:spacing w:before="8" w:after="8"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276" w:right="0" w:bottom="1276" w:left="0"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29520" behindDoc="0" locked="0" layoutInCell="1" allowOverlap="1">
                <wp:simplePos x="0" y="0"/>
                <wp:positionH relativeFrom="margin">
                  <wp:posOffset>2299335</wp:posOffset>
                </wp:positionH>
                <wp:positionV relativeFrom="paragraph">
                  <wp:posOffset>12700</wp:posOffset>
                </wp:positionV>
                <wp:extent cx="533400" cy="350520"/>
                <wp:wrapSquare wrapText="bothSides"/>
                <wp:docPr id="590" name="Shape 590"/>
                <a:graphic xmlns:a="http://schemas.openxmlformats.org/drawingml/2006/main">
                  <a:graphicData uri="http://schemas.microsoft.com/office/word/2010/wordprocessingShape">
                    <wps:wsp>
                      <wps:cNvSpPr txBox="1"/>
                      <wps:spPr>
                        <a:xfrm>
                          <a:ext cx="533400" cy="350520"/>
                        </a:xfrm>
                        <a:prstGeom prst="rect"/>
                        <a:solidFill>
                          <a:srgbClr val="F7FCFF"/>
                        </a:solidFill>
                      </wps:spPr>
                      <wps:txbx>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006AB4"/>
                              </w:rPr>
                              <w:t xml:space="preserve">| </w:t>
                            </w:r>
                            <w:r>
                              <w:rPr>
                                <w:rStyle w:val="CharStyle76"/>
                              </w:rPr>
                              <w:t>Palivo FRN</w:t>
                            </w:r>
                          </w:p>
                        </w:txbxContent>
                      </wps:txbx>
                      <wps:bodyPr lIns="0" tIns="0" rIns="0" bIns="0">
                        <a:noAutoFit/>
                      </wps:bodyPr>
                    </wps:wsp>
                  </a:graphicData>
                </a:graphic>
              </wp:anchor>
            </w:drawing>
          </mc:Choice>
          <mc:Fallback>
            <w:pict>
              <v:shape id="_x0000_s1616" type="#_x0000_t202" style="position:absolute;margin-left:181.05000000000001pt;margin-top:1.pt;width:42.pt;height:27.600000000000001pt;z-index:-125829233;mso-wrap-distance-left:0;mso-wrap-distance-right:0;mso-position-horizontal-relative:margin" fillcolor="#F7FCFF" stroked="f">
                <v:textbox inset="0,0,0,0">
                  <w:txbxContent>
                    <w:p>
                      <w:pPr>
                        <w:pStyle w:val="Style75"/>
                        <w:keepNext w:val="0"/>
                        <w:keepLines w:val="0"/>
                        <w:widowControl w:val="0"/>
                        <w:shd w:val="clear" w:color="auto" w:fill="auto"/>
                        <w:bidi w:val="0"/>
                        <w:spacing w:before="0" w:after="0" w:line="331" w:lineRule="auto"/>
                        <w:ind w:left="360" w:right="0" w:hanging="360"/>
                        <w:jc w:val="left"/>
                      </w:pPr>
                      <w:r>
                        <w:rPr>
                          <w:rStyle w:val="CharStyle76"/>
                          <w:color w:val="006AB4"/>
                        </w:rPr>
                        <w:t xml:space="preserve">| </w:t>
                      </w:r>
                      <w:r>
                        <w:rPr>
                          <w:rStyle w:val="CharStyle76"/>
                        </w:rPr>
                        <w:t>Palivo FRN</w:t>
                      </w:r>
                    </w:p>
                  </w:txbxContent>
                </v:textbox>
                <w10:wrap type="square" anchorx="margin"/>
              </v:shape>
            </w:pict>
          </mc:Fallback>
        </mc:AlternateContent>
      </w:r>
      <w:r>
        <mc:AlternateContent>
          <mc:Choice Requires="wps">
            <w:drawing>
              <wp:anchor distT="0" distB="0" distL="0" distR="0" simplePos="0" relativeHeight="125829522" behindDoc="0" locked="0" layoutInCell="1" allowOverlap="1">
                <wp:simplePos x="0" y="0"/>
                <wp:positionH relativeFrom="margin">
                  <wp:posOffset>4390390</wp:posOffset>
                </wp:positionH>
                <wp:positionV relativeFrom="paragraph">
                  <wp:posOffset>12700</wp:posOffset>
                </wp:positionV>
                <wp:extent cx="542290" cy="152400"/>
                <wp:wrapSquare wrapText="bothSides"/>
                <wp:docPr id="592" name="Shape 592"/>
                <a:graphic xmlns:a="http://schemas.openxmlformats.org/drawingml/2006/main">
                  <a:graphicData uri="http://schemas.microsoft.com/office/word/2010/wordprocessingShape">
                    <wps:wsp>
                      <wps:cNvSpPr txBox="1"/>
                      <wps:spPr>
                        <a:xfrm>
                          <a:ext cx="542290" cy="152400"/>
                        </a:xfrm>
                        <a:prstGeom prst="rect"/>
                        <a:solidFill>
                          <a:srgbClr val="F7FCFF"/>
                        </a:solidFill>
                      </wps:spPr>
                      <wps:txbx>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D6B5E"/>
                              </w:rPr>
                              <w:t xml:space="preserve">| </w:t>
                            </w:r>
                            <w:r>
                              <w:rPr>
                                <w:rStyle w:val="CharStyle76"/>
                              </w:rPr>
                              <w:t>Capex</w:t>
                            </w:r>
                          </w:p>
                        </w:txbxContent>
                      </wps:txbx>
                      <wps:bodyPr wrap="none" lIns="0" tIns="0" rIns="0" bIns="0">
                        <a:noAutoFit/>
                      </wps:bodyPr>
                    </wps:wsp>
                  </a:graphicData>
                </a:graphic>
              </wp:anchor>
            </w:drawing>
          </mc:Choice>
          <mc:Fallback>
            <w:pict>
              <v:shape id="_x0000_s1618" type="#_x0000_t202" style="position:absolute;margin-left:345.69999999999999pt;margin-top:1.pt;width:42.700000000000003pt;height:12.pt;z-index:-125829231;mso-wrap-distance-left:0;mso-wrap-distance-right:0;mso-position-horizontal-relative:margin" fillcolor="#F7FCF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Style w:val="CharStyle76"/>
                          <w:color w:val="ED6B5E"/>
                        </w:rPr>
                        <w:t xml:space="preserve">| </w:t>
                      </w:r>
                      <w:r>
                        <w:rPr>
                          <w:rStyle w:val="CharStyle76"/>
                        </w:rPr>
                        <w:t>Capex</w:t>
                      </w:r>
                    </w:p>
                  </w:txbxContent>
                </v:textbox>
                <w10:wrap type="square" anchorx="margin"/>
              </v:shape>
            </w:pict>
          </mc:Fallback>
        </mc:AlternateContent>
      </w:r>
    </w:p>
    <w:tbl>
      <w:tblPr>
        <w:tblOverlap w:val="never"/>
        <w:jc w:val="left"/>
        <w:tblLayout w:type="fixed"/>
      </w:tblPr>
      <w:tblGrid>
        <w:gridCol w:w="2698"/>
        <w:gridCol w:w="1766"/>
        <w:gridCol w:w="1762"/>
        <w:gridCol w:w="1766"/>
        <w:gridCol w:w="1776"/>
      </w:tblGrid>
      <w:tr>
        <w:trPr>
          <w:trHeight w:val="283" w:hRule="exact"/>
        </w:trPr>
        <w:tc>
          <w:tcPr>
            <w:tcBorders>
              <w:top w:val="single" w:sz="4"/>
              <w:left w:val="single" w:sz="4"/>
            </w:tcBorders>
            <w:shd w:val="clear" w:color="auto" w:fill="auto"/>
            <w:vAlign w:val="top"/>
          </w:tcPr>
          <w:p>
            <w:pPr>
              <w:framePr w:w="9768" w:h="2227" w:vSpace="979" w:wrap="notBeside" w:vAnchor="text" w:hAnchor="text" w:x="18" w:y="980"/>
              <w:widowControl w:val="0"/>
              <w:rPr>
                <w:sz w:val="10"/>
                <w:szCs w:val="10"/>
              </w:rPr>
            </w:pP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Import (mil.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13 068</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39 102</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58 381</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44 774</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CO</w:t>
            </w:r>
            <w:r>
              <w:rPr>
                <w:rStyle w:val="CharStyle6"/>
                <w:b/>
                <w:bCs/>
                <w:color w:val="006AB4"/>
                <w:sz w:val="8"/>
                <w:szCs w:val="8"/>
              </w:rPr>
              <w:t xml:space="preserve">2 </w:t>
            </w: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55 589</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27 384</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22 454</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23 854</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 (mil.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22 984</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33 341</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37 280</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44 582</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FRN (mil.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21 644</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22 569</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21 880</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24 422</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Capex (mil.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3 691</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12 530</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15 009</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30 595</w:t>
            </w:r>
          </w:p>
        </w:tc>
      </w:tr>
      <w:tr>
        <w:trPr>
          <w:trHeight w:val="274" w:hRule="exact"/>
        </w:trPr>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 (mil. Kč)</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116 976</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134 926</w:t>
            </w:r>
          </w:p>
        </w:tc>
        <w:tc>
          <w:tcPr>
            <w:tcBorders>
              <w:top w:val="single" w:sz="4"/>
              <w:lef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155 004</w:t>
            </w:r>
          </w:p>
        </w:tc>
        <w:tc>
          <w:tcPr>
            <w:tcBorders>
              <w:top w:val="single" w:sz="4"/>
              <w:left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168 226</w:t>
            </w:r>
          </w:p>
        </w:tc>
      </w:tr>
      <w:tr>
        <w:trPr>
          <w:trHeight w:val="283" w:hRule="exact"/>
        </w:trPr>
        <w:tc>
          <w:tcPr>
            <w:tcBorders>
              <w:top w:val="single" w:sz="4"/>
              <w:left w:val="single" w:sz="4"/>
              <w:bottom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Spotřeba ČR (TWh)</w:t>
            </w:r>
          </w:p>
        </w:tc>
        <w:tc>
          <w:tcPr>
            <w:tcBorders>
              <w:top w:val="single" w:sz="4"/>
              <w:left w:val="single" w:sz="4"/>
              <w:bottom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68</w:t>
            </w:r>
          </w:p>
        </w:tc>
        <w:tc>
          <w:tcPr>
            <w:tcBorders>
              <w:top w:val="single" w:sz="4"/>
              <w:left w:val="single" w:sz="4"/>
              <w:bottom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75</w:t>
            </w:r>
          </w:p>
        </w:tc>
        <w:tc>
          <w:tcPr>
            <w:tcBorders>
              <w:top w:val="single" w:sz="4"/>
              <w:left w:val="single" w:sz="4"/>
              <w:bottom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79</w:t>
            </w:r>
          </w:p>
        </w:tc>
        <w:tc>
          <w:tcPr>
            <w:tcBorders>
              <w:top w:val="single" w:sz="4"/>
              <w:left w:val="single" w:sz="4"/>
              <w:bottom w:val="single" w:sz="4"/>
              <w:right w:val="single" w:sz="4"/>
            </w:tcBorders>
            <w:shd w:val="clear" w:color="auto" w:fill="auto"/>
            <w:vAlign w:val="center"/>
          </w:tcPr>
          <w:p>
            <w:pPr>
              <w:pStyle w:val="Style5"/>
              <w:keepNext w:val="0"/>
              <w:keepLines w:val="0"/>
              <w:framePr w:w="9768" w:h="2227" w:vSpace="979" w:wrap="notBeside" w:vAnchor="text" w:hAnchor="text" w:x="18" w:y="98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83</w:t>
            </w:r>
          </w:p>
        </w:tc>
      </w:tr>
    </w:tbl>
    <w:p>
      <w:pPr>
        <w:pStyle w:val="Style44"/>
        <w:keepNext w:val="0"/>
        <w:keepLines w:val="0"/>
        <w:framePr w:w="562" w:h="518" w:hSpace="17" w:wrap="notBeside" w:vAnchor="text" w:hAnchor="text" w:x="1242" w:y="1"/>
        <w:widowControl w:val="0"/>
        <w:shd w:val="clear" w:color="auto" w:fill="auto"/>
        <w:bidi w:val="0"/>
        <w:spacing w:before="0" w:after="60" w:line="240" w:lineRule="auto"/>
        <w:ind w:left="0" w:right="0" w:firstLine="0"/>
        <w:jc w:val="left"/>
        <w:rPr>
          <w:sz w:val="16"/>
          <w:szCs w:val="16"/>
        </w:rPr>
      </w:pPr>
      <w:r>
        <w:rPr>
          <w:rStyle w:val="CharStyle45"/>
          <w:color w:val="000000"/>
          <w:sz w:val="16"/>
          <w:szCs w:val="16"/>
        </w:rPr>
        <w:t>Import</w:t>
      </w:r>
    </w:p>
    <w:p>
      <w:pPr>
        <w:pStyle w:val="Style44"/>
        <w:keepNext w:val="0"/>
        <w:keepLines w:val="0"/>
        <w:framePr w:w="562" w:h="518" w:hSpace="17" w:wrap="notBeside" w:vAnchor="text" w:hAnchor="text" w:x="1242" w:y="1"/>
        <w:widowControl w:val="0"/>
        <w:shd w:val="clear" w:color="auto" w:fill="auto"/>
        <w:bidi w:val="0"/>
        <w:spacing w:before="0" w:after="0" w:line="240" w:lineRule="auto"/>
        <w:ind w:left="0" w:right="0" w:firstLine="0"/>
        <w:jc w:val="left"/>
        <w:rPr>
          <w:sz w:val="9"/>
          <w:szCs w:val="9"/>
        </w:rPr>
      </w:pPr>
      <w:r>
        <w:rPr>
          <w:rStyle w:val="CharStyle45"/>
          <w:color w:val="000000"/>
          <w:sz w:val="15"/>
          <w:szCs w:val="15"/>
          <w:vertAlign w:val="superscript"/>
        </w:rPr>
        <w:t>CO</w:t>
      </w:r>
      <w:r>
        <w:rPr>
          <w:rStyle w:val="CharStyle45"/>
          <w:color w:val="000000"/>
          <w:sz w:val="9"/>
          <w:szCs w:val="9"/>
        </w:rPr>
        <w:t>2</w:t>
      </w:r>
    </w:p>
    <w:p>
      <w:pPr>
        <w:widowControl w:val="0"/>
        <w:spacing w:line="1" w:lineRule="exact"/>
      </w:pPr>
    </w:p>
    <w:p>
      <w:pPr>
        <w:pStyle w:val="Style68"/>
        <w:keepNext w:val="0"/>
        <w:keepLines w:val="0"/>
        <w:widowControl w:val="0"/>
        <w:shd w:val="clear" w:color="auto" w:fill="auto"/>
        <w:tabs>
          <w:tab w:pos="4871" w:val="left"/>
        </w:tabs>
        <w:bidi w:val="0"/>
        <w:spacing w:before="0" w:after="180" w:line="240" w:lineRule="auto"/>
        <w:ind w:left="2260" w:right="0" w:firstLine="0"/>
        <w:jc w:val="left"/>
      </w:pPr>
      <w:r>
        <w:rPr>
          <w:rStyle w:val="CharStyle69"/>
        </w:rPr>
        <w:t>I</w:t>
        <w:tab/>
        <w:t>I</w:t>
      </w:r>
    </w:p>
    <w:p>
      <w:pPr>
        <w:pStyle w:val="Style19"/>
        <w:keepNext w:val="0"/>
        <w:keepLines w:val="0"/>
        <w:widowControl w:val="0"/>
        <w:shd w:val="clear" w:color="auto" w:fill="auto"/>
        <w:bidi w:val="0"/>
        <w:spacing w:before="0"/>
        <w:ind w:left="0" w:right="0" w:firstLine="0"/>
        <w:jc w:val="left"/>
      </w:pPr>
      <w:r>
        <w:rPr>
          <w:rStyle w:val="CharStyle20"/>
        </w:rPr>
        <w:t>Respondentní scénář dosahuje nejnižší ekonomické náročnosti. V scénáři se neuvažuje ani útlum uhelných zdrojů, ani masivní expanze obnovitelných zdrojů. Podíl importů na spotřebě je však pro Respondentní a následující tři scénáře až kriticky vysoký. Importy v Respondentním scénáři dosahují v roce 2040 až 16 % spotřeby ČR roce 2040, což výrazně přesahuje importní limit stanovený dle ASEK (10 % roční spotřeby elektřiny). Importní závislost ČR tak i po výstavbě nového jaderného zdroje v roce 2036 nadále zůstává na úrovni, která vysoko přesahuje stanovený limit dle ASEK, což představuje příležitost pro dozdrojování tuzemskými zdroji.</w:t>
      </w:r>
    </w:p>
    <w:p>
      <w:pPr>
        <w:pStyle w:val="Style19"/>
        <w:keepNext w:val="0"/>
        <w:keepLines w:val="0"/>
        <w:widowControl w:val="0"/>
        <w:shd w:val="clear" w:color="auto" w:fill="auto"/>
        <w:bidi w:val="0"/>
        <w:spacing w:before="0"/>
        <w:ind w:left="0" w:right="0" w:firstLine="0"/>
        <w:jc w:val="left"/>
        <w:sectPr>
          <w:footnotePr>
            <w:pos w:val="pageBottom"/>
            <w:numFmt w:val="decimal"/>
            <w:numRestart w:val="continuous"/>
          </w:footnotePr>
          <w:type w:val="continuous"/>
          <w:pgSz w:w="12142" w:h="17375"/>
          <w:pgMar w:top="1276" w:right="825" w:bottom="1276" w:left="825" w:header="0" w:footer="3" w:gutter="691"/>
          <w:cols w:space="720"/>
          <w:noEndnote/>
          <w:rtlGutter w:val="0"/>
          <w:docGrid w:linePitch="360"/>
        </w:sectPr>
      </w:pPr>
      <w:r>
        <w:rPr>
          <w:rStyle w:val="CharStyle20"/>
        </w:rPr>
        <w:t>Průměrný náklad importů v zimních měsících se může navíc vyšplhat až na 100 tisíc Kč/MWh. V letech 2030 až 2040 simulace evropské tržní ceny poukazují na nový trend ve všech scénářích, a to na aktivaci Demand Side Response (DSR) jako nový závěrný zdroj v zdrojovém žebříčku.</w:t>
      </w:r>
    </w:p>
    <w:p>
      <w:pPr>
        <w:pStyle w:val="Style15"/>
        <w:keepNext/>
        <w:keepLines/>
        <w:framePr w:w="5414" w:h="235" w:wrap="none" w:hAnchor="page" w:x="1517" w:y="1892"/>
        <w:widowControl w:val="0"/>
        <w:shd w:val="clear" w:color="auto" w:fill="auto"/>
        <w:bidi w:val="0"/>
        <w:spacing w:before="0" w:after="0" w:line="240" w:lineRule="auto"/>
        <w:ind w:left="0" w:right="0" w:firstLine="0"/>
        <w:jc w:val="left"/>
      </w:pPr>
      <w:bookmarkStart w:id="303" w:name="bookmark303"/>
      <w:r>
        <w:rPr>
          <w:rStyle w:val="CharStyle16"/>
          <w:b/>
          <w:bCs/>
        </w:rPr>
        <w:t>Obr. 6.45 Konzervativní scénář - Rozpad Totexů pro cílové roky</w:t>
      </w:r>
      <w:bookmarkEnd w:id="303"/>
    </w:p>
    <w:p>
      <w:pPr>
        <w:pStyle w:val="Style37"/>
        <w:keepNext w:val="0"/>
        <w:keepLines w:val="0"/>
        <w:framePr w:w="518" w:h="187" w:wrap="none" w:hAnchor="page" w:x="1810" w:y="2569"/>
        <w:widowControl w:val="0"/>
        <w:shd w:val="clear" w:color="auto" w:fill="auto"/>
        <w:bidi w:val="0"/>
        <w:spacing w:before="0" w:after="0" w:line="240" w:lineRule="auto"/>
        <w:ind w:left="0" w:right="0" w:firstLine="0"/>
        <w:jc w:val="left"/>
        <w:rPr>
          <w:sz w:val="12"/>
          <w:szCs w:val="12"/>
        </w:rPr>
      </w:pPr>
      <w:r>
        <w:rPr>
          <w:rStyle w:val="CharStyle38"/>
          <w:b/>
          <w:bCs/>
          <w:color w:val="006AB4"/>
          <w:sz w:val="12"/>
          <w:szCs w:val="12"/>
        </w:rPr>
        <w:t>200 000</w:t>
      </w:r>
    </w:p>
    <w:p>
      <w:pPr>
        <w:pStyle w:val="Style2"/>
        <w:keepNext w:val="0"/>
        <w:keepLines w:val="0"/>
        <w:framePr w:w="514" w:h="182" w:wrap="none" w:hAnchor="page" w:x="1814" w:y="2886"/>
        <w:widowControl w:val="0"/>
        <w:shd w:val="clear" w:color="auto" w:fill="auto"/>
        <w:bidi w:val="0"/>
        <w:spacing w:before="0" w:after="0" w:line="240" w:lineRule="auto"/>
        <w:ind w:left="0" w:right="0" w:firstLine="0"/>
        <w:jc w:val="left"/>
        <w:rPr>
          <w:sz w:val="12"/>
          <w:szCs w:val="12"/>
        </w:rPr>
      </w:pPr>
      <w:r>
        <w:rPr>
          <w:rStyle w:val="CharStyle3"/>
          <w:b/>
          <w:bCs/>
          <w:sz w:val="12"/>
          <w:szCs w:val="12"/>
        </w:rPr>
        <w:t>180 000</w:t>
      </w:r>
    </w:p>
    <w:p>
      <w:pPr>
        <w:pStyle w:val="Style2"/>
        <w:keepNext w:val="0"/>
        <w:keepLines w:val="0"/>
        <w:framePr w:w="514" w:h="182" w:wrap="none" w:hAnchor="page" w:x="1814" w:y="3202"/>
        <w:widowControl w:val="0"/>
        <w:shd w:val="clear" w:color="auto" w:fill="auto"/>
        <w:bidi w:val="0"/>
        <w:spacing w:before="0" w:after="0" w:line="240" w:lineRule="auto"/>
        <w:ind w:left="0" w:right="0" w:firstLine="0"/>
        <w:jc w:val="left"/>
        <w:rPr>
          <w:sz w:val="12"/>
          <w:szCs w:val="12"/>
        </w:rPr>
      </w:pPr>
      <w:r>
        <w:rPr>
          <w:rStyle w:val="CharStyle3"/>
          <w:b/>
          <w:bCs/>
          <w:sz w:val="12"/>
          <w:szCs w:val="12"/>
        </w:rPr>
        <w:t>160 000</w:t>
      </w:r>
    </w:p>
    <w:p>
      <w:pPr>
        <w:pStyle w:val="Style2"/>
        <w:keepNext w:val="0"/>
        <w:keepLines w:val="0"/>
        <w:framePr w:w="514" w:h="182" w:wrap="none" w:hAnchor="page" w:x="1814" w:y="3519"/>
        <w:widowControl w:val="0"/>
        <w:shd w:val="clear" w:color="auto" w:fill="auto"/>
        <w:bidi w:val="0"/>
        <w:spacing w:before="0" w:after="0" w:line="240" w:lineRule="auto"/>
        <w:ind w:left="0" w:right="0" w:firstLine="0"/>
        <w:jc w:val="left"/>
        <w:rPr>
          <w:sz w:val="12"/>
          <w:szCs w:val="12"/>
        </w:rPr>
      </w:pPr>
      <w:r>
        <w:rPr>
          <w:rStyle w:val="CharStyle3"/>
          <w:b/>
          <w:bCs/>
          <w:sz w:val="12"/>
          <w:szCs w:val="12"/>
        </w:rPr>
        <w:t>140 000</w:t>
      </w:r>
    </w:p>
    <w:p>
      <w:pPr>
        <w:pStyle w:val="Style2"/>
        <w:keepNext w:val="0"/>
        <w:keepLines w:val="0"/>
        <w:framePr w:w="514" w:h="182" w:wrap="none" w:hAnchor="page" w:x="1814" w:y="3836"/>
        <w:widowControl w:val="0"/>
        <w:shd w:val="clear" w:color="auto" w:fill="auto"/>
        <w:bidi w:val="0"/>
        <w:spacing w:before="0" w:after="0" w:line="240" w:lineRule="auto"/>
        <w:ind w:left="0" w:right="0" w:firstLine="0"/>
        <w:jc w:val="left"/>
        <w:rPr>
          <w:sz w:val="12"/>
          <w:szCs w:val="12"/>
        </w:rPr>
      </w:pPr>
      <w:r>
        <w:rPr>
          <w:rStyle w:val="CharStyle3"/>
          <w:b/>
          <w:bCs/>
          <w:sz w:val="12"/>
          <w:szCs w:val="12"/>
        </w:rPr>
        <w:t>120 000</w:t>
      </w:r>
    </w:p>
    <w:p>
      <w:pPr>
        <w:pStyle w:val="Style2"/>
        <w:keepNext w:val="0"/>
        <w:keepLines w:val="0"/>
        <w:framePr w:w="514" w:h="187" w:wrap="none" w:hAnchor="page" w:x="1814" w:y="4148"/>
        <w:widowControl w:val="0"/>
        <w:shd w:val="clear" w:color="auto" w:fill="auto"/>
        <w:bidi w:val="0"/>
        <w:spacing w:before="0" w:after="0" w:line="240" w:lineRule="auto"/>
        <w:ind w:left="0" w:right="0" w:firstLine="0"/>
        <w:jc w:val="left"/>
        <w:rPr>
          <w:sz w:val="12"/>
          <w:szCs w:val="12"/>
        </w:rPr>
      </w:pPr>
      <w:r>
        <w:rPr>
          <w:rStyle w:val="CharStyle3"/>
          <w:b/>
          <w:bCs/>
          <w:sz w:val="12"/>
          <w:szCs w:val="12"/>
        </w:rPr>
        <w:t>100 000</w:t>
      </w:r>
    </w:p>
    <w:p>
      <w:pPr>
        <w:pStyle w:val="Style2"/>
        <w:keepNext w:val="0"/>
        <w:keepLines w:val="0"/>
        <w:framePr w:w="451" w:h="187" w:wrap="none" w:hAnchor="page" w:x="1876" w:y="4465"/>
        <w:widowControl w:val="0"/>
        <w:shd w:val="clear" w:color="auto" w:fill="auto"/>
        <w:bidi w:val="0"/>
        <w:spacing w:before="0" w:after="0" w:line="240" w:lineRule="auto"/>
        <w:ind w:left="0" w:right="0" w:firstLine="0"/>
        <w:jc w:val="left"/>
        <w:rPr>
          <w:sz w:val="12"/>
          <w:szCs w:val="12"/>
        </w:rPr>
      </w:pPr>
      <w:r>
        <w:rPr>
          <w:rStyle w:val="CharStyle3"/>
          <w:b/>
          <w:bCs/>
          <w:sz w:val="12"/>
          <w:szCs w:val="12"/>
        </w:rPr>
        <w:t>80 000</w:t>
      </w:r>
    </w:p>
    <w:p>
      <w:pPr>
        <w:pStyle w:val="Style2"/>
        <w:keepNext w:val="0"/>
        <w:keepLines w:val="0"/>
        <w:framePr w:w="451" w:h="182" w:wrap="none" w:hAnchor="page" w:x="1876" w:y="4782"/>
        <w:widowControl w:val="0"/>
        <w:shd w:val="clear" w:color="auto" w:fill="auto"/>
        <w:bidi w:val="0"/>
        <w:spacing w:before="0" w:after="0" w:line="240" w:lineRule="auto"/>
        <w:ind w:left="0" w:right="0" w:firstLine="0"/>
        <w:jc w:val="left"/>
        <w:rPr>
          <w:sz w:val="12"/>
          <w:szCs w:val="12"/>
        </w:rPr>
      </w:pPr>
      <w:r>
        <w:rPr>
          <w:rStyle w:val="CharStyle3"/>
          <w:b/>
          <w:bCs/>
          <w:sz w:val="12"/>
          <w:szCs w:val="12"/>
        </w:rPr>
        <w:t>60 000</w:t>
      </w:r>
    </w:p>
    <w:p>
      <w:pPr>
        <w:pStyle w:val="Style2"/>
        <w:keepNext w:val="0"/>
        <w:keepLines w:val="0"/>
        <w:framePr w:w="451" w:h="182" w:wrap="none" w:hAnchor="page" w:x="1876" w:y="5098"/>
        <w:widowControl w:val="0"/>
        <w:shd w:val="clear" w:color="auto" w:fill="auto"/>
        <w:bidi w:val="0"/>
        <w:spacing w:before="0" w:after="0" w:line="240" w:lineRule="auto"/>
        <w:ind w:left="0" w:right="0" w:firstLine="0"/>
        <w:jc w:val="left"/>
        <w:rPr>
          <w:sz w:val="12"/>
          <w:szCs w:val="12"/>
        </w:rPr>
      </w:pPr>
      <w:r>
        <w:rPr>
          <w:rStyle w:val="CharStyle3"/>
          <w:b/>
          <w:bCs/>
          <w:sz w:val="12"/>
          <w:szCs w:val="12"/>
        </w:rPr>
        <w:t>40 000</w:t>
      </w:r>
    </w:p>
    <w:p>
      <w:pPr>
        <w:pStyle w:val="Style2"/>
        <w:keepNext w:val="0"/>
        <w:keepLines w:val="0"/>
        <w:framePr w:w="446" w:h="182" w:wrap="none" w:hAnchor="page" w:x="1881" w:y="5415"/>
        <w:widowControl w:val="0"/>
        <w:shd w:val="clear" w:color="auto" w:fill="auto"/>
        <w:bidi w:val="0"/>
        <w:spacing w:before="0" w:after="0" w:line="240" w:lineRule="auto"/>
        <w:ind w:left="0" w:right="0" w:firstLine="0"/>
        <w:jc w:val="left"/>
        <w:rPr>
          <w:sz w:val="12"/>
          <w:szCs w:val="12"/>
        </w:rPr>
      </w:pPr>
      <w:r>
        <w:rPr>
          <w:rStyle w:val="CharStyle3"/>
          <w:b/>
          <w:bCs/>
          <w:sz w:val="12"/>
          <w:szCs w:val="12"/>
        </w:rPr>
        <w:t>20 000</w:t>
      </w:r>
    </w:p>
    <w:p>
      <w:pPr>
        <w:pStyle w:val="Style2"/>
        <w:keepNext w:val="0"/>
        <w:keepLines w:val="0"/>
        <w:framePr w:w="120" w:h="182" w:wrap="none" w:hAnchor="page" w:x="2207" w:y="5732"/>
        <w:widowControl w:val="0"/>
        <w:shd w:val="clear" w:color="auto" w:fill="auto"/>
        <w:bidi w:val="0"/>
        <w:spacing w:before="0" w:after="0" w:line="240" w:lineRule="auto"/>
        <w:ind w:left="0" w:right="0" w:firstLine="0"/>
        <w:jc w:val="left"/>
        <w:rPr>
          <w:sz w:val="12"/>
          <w:szCs w:val="12"/>
        </w:rPr>
      </w:pPr>
      <w:r>
        <w:rPr>
          <w:rStyle w:val="CharStyle3"/>
          <w:b/>
          <w:bCs/>
          <w:sz w:val="12"/>
          <w:szCs w:val="12"/>
        </w:rPr>
        <w:t>0</w:t>
      </w:r>
    </w:p>
    <w:p>
      <w:pPr>
        <w:pStyle w:val="Style2"/>
        <w:keepNext w:val="0"/>
        <w:keepLines w:val="0"/>
        <w:framePr w:w="336" w:h="182" w:wrap="none" w:hAnchor="page" w:x="5553" w:y="5953"/>
        <w:widowControl w:val="0"/>
        <w:shd w:val="clear" w:color="auto" w:fill="auto"/>
        <w:bidi w:val="0"/>
        <w:spacing w:before="0" w:after="0" w:line="240" w:lineRule="auto"/>
        <w:ind w:left="0" w:right="0" w:firstLine="0"/>
        <w:jc w:val="left"/>
        <w:rPr>
          <w:sz w:val="12"/>
          <w:szCs w:val="12"/>
        </w:rPr>
      </w:pPr>
      <w:r>
        <w:rPr>
          <w:rStyle w:val="CharStyle3"/>
          <w:b/>
          <w:bCs/>
          <w:sz w:val="12"/>
          <w:szCs w:val="12"/>
        </w:rPr>
        <w:t>2030</w:t>
      </w:r>
    </w:p>
    <w:p>
      <w:pPr>
        <w:pStyle w:val="Style2"/>
        <w:keepNext w:val="0"/>
        <w:keepLines w:val="0"/>
        <w:framePr w:w="504" w:h="221" w:wrap="none" w:hAnchor="page" w:x="8745" w:y="6462"/>
        <w:widowControl w:val="0"/>
        <w:shd w:val="clear" w:color="auto" w:fill="auto"/>
        <w:bidi w:val="0"/>
        <w:spacing w:before="0" w:after="0" w:line="240" w:lineRule="auto"/>
        <w:ind w:left="0" w:right="0" w:firstLine="0"/>
        <w:jc w:val="left"/>
        <w:rPr>
          <w:sz w:val="16"/>
          <w:szCs w:val="16"/>
        </w:rPr>
      </w:pPr>
      <w:r>
        <w:rPr>
          <w:rStyle w:val="CharStyle3"/>
          <w:color w:val="000000"/>
          <w:sz w:val="16"/>
          <w:szCs w:val="16"/>
        </w:rPr>
        <w:t>Capex</w:t>
      </w:r>
    </w:p>
    <w:p>
      <w:pPr>
        <w:pStyle w:val="Style2"/>
        <w:keepNext w:val="0"/>
        <w:keepLines w:val="0"/>
        <w:framePr w:w="480" w:h="470" w:wrap="none" w:hAnchor="page" w:x="5457" w:y="6462"/>
        <w:widowControl w:val="0"/>
        <w:shd w:val="clear" w:color="auto" w:fill="auto"/>
        <w:bidi w:val="0"/>
        <w:spacing w:before="0" w:after="60" w:line="240" w:lineRule="auto"/>
        <w:ind w:left="0" w:right="0" w:firstLine="0"/>
        <w:jc w:val="both"/>
        <w:rPr>
          <w:sz w:val="16"/>
          <w:szCs w:val="16"/>
        </w:rPr>
      </w:pPr>
      <w:r>
        <w:rPr>
          <w:rStyle w:val="CharStyle3"/>
          <w:color w:val="000000"/>
          <w:sz w:val="16"/>
          <w:szCs w:val="16"/>
        </w:rPr>
        <w:t>Palivo</w:t>
      </w:r>
    </w:p>
    <w:p>
      <w:pPr>
        <w:pStyle w:val="Style2"/>
        <w:keepNext w:val="0"/>
        <w:keepLines w:val="0"/>
        <w:framePr w:w="480" w:h="470" w:wrap="none" w:hAnchor="page" w:x="5457" w:y="6462"/>
        <w:widowControl w:val="0"/>
        <w:shd w:val="clear" w:color="auto" w:fill="auto"/>
        <w:bidi w:val="0"/>
        <w:spacing w:before="0" w:after="0" w:line="240" w:lineRule="auto"/>
        <w:ind w:left="0" w:right="0" w:firstLine="0"/>
        <w:jc w:val="both"/>
        <w:rPr>
          <w:sz w:val="16"/>
          <w:szCs w:val="16"/>
        </w:rPr>
      </w:pPr>
      <w:r>
        <w:rPr>
          <w:rStyle w:val="CharStyle3"/>
          <w:color w:val="000000"/>
          <w:sz w:val="16"/>
          <w:szCs w:val="16"/>
        </w:rPr>
        <w:t>FRN</w:t>
      </w:r>
    </w:p>
    <w:tbl>
      <w:tblPr>
        <w:tblOverlap w:val="never"/>
        <w:jc w:val="left"/>
        <w:tblLayout w:type="fixed"/>
      </w:tblPr>
      <w:tblGrid>
        <w:gridCol w:w="2702"/>
        <w:gridCol w:w="1766"/>
        <w:gridCol w:w="1762"/>
        <w:gridCol w:w="1766"/>
        <w:gridCol w:w="1771"/>
      </w:tblGrid>
      <w:tr>
        <w:trPr>
          <w:trHeight w:val="283" w:hRule="exact"/>
        </w:trPr>
        <w:tc>
          <w:tcPr>
            <w:tcBorders>
              <w:top w:val="single" w:sz="4"/>
              <w:left w:val="single" w:sz="4"/>
            </w:tcBorders>
            <w:shd w:val="clear" w:color="auto" w:fill="auto"/>
            <w:vAlign w:val="top"/>
          </w:tcPr>
          <w:p>
            <w:pPr>
              <w:framePr w:w="9768" w:h="2227" w:wrap="none" w:hAnchor="page" w:x="1536" w:y="7441"/>
              <w:widowControl w:val="0"/>
              <w:rPr>
                <w:sz w:val="10"/>
                <w:szCs w:val="10"/>
              </w:rPr>
            </w:pP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360" w:right="0" w:firstLine="0"/>
              <w:jc w:val="lef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Import (mil.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13 081</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34 098</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59 476</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69 063</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CO</w:t>
            </w:r>
            <w:r>
              <w:rPr>
                <w:rStyle w:val="CharStyle6"/>
                <w:b/>
                <w:bCs/>
                <w:color w:val="006AB4"/>
                <w:sz w:val="8"/>
                <w:szCs w:val="8"/>
              </w:rPr>
              <w:t xml:space="preserve">2 </w:t>
            </w: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55 497</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27 461</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18 859</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17 189</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 (mil.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23 091</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34 560</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39 914</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44 608</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FRN (mil.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21 682</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22 759</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22 922</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23 664</w:t>
            </w:r>
          </w:p>
        </w:tc>
      </w:tr>
      <w:tr>
        <w:trPr>
          <w:trHeight w:val="278"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Capex (mil.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3 752</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12 855</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16 270</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32 846</w:t>
            </w:r>
          </w:p>
        </w:tc>
      </w:tr>
      <w:tr>
        <w:trPr>
          <w:trHeight w:val="274" w:hRule="exact"/>
        </w:trPr>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 (mil. Kč)</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117 104</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131 734</w:t>
            </w:r>
          </w:p>
        </w:tc>
        <w:tc>
          <w:tcPr>
            <w:tcBorders>
              <w:top w:val="single" w:sz="4"/>
              <w:lef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157 440</w:t>
            </w:r>
          </w:p>
        </w:tc>
        <w:tc>
          <w:tcPr>
            <w:tcBorders>
              <w:top w:val="single" w:sz="4"/>
              <w:left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187 371</w:t>
            </w:r>
          </w:p>
        </w:tc>
      </w:tr>
      <w:tr>
        <w:trPr>
          <w:trHeight w:val="283" w:hRule="exact"/>
        </w:trPr>
        <w:tc>
          <w:tcPr>
            <w:tcBorders>
              <w:top w:val="single" w:sz="4"/>
              <w:left w:val="single" w:sz="4"/>
              <w:bottom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Spotřeba ČR (TWh)</w:t>
            </w:r>
          </w:p>
        </w:tc>
        <w:tc>
          <w:tcPr>
            <w:tcBorders>
              <w:top w:val="single" w:sz="4"/>
              <w:left w:val="single" w:sz="4"/>
              <w:bottom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68</w:t>
            </w:r>
          </w:p>
        </w:tc>
        <w:tc>
          <w:tcPr>
            <w:tcBorders>
              <w:top w:val="single" w:sz="4"/>
              <w:left w:val="single" w:sz="4"/>
              <w:bottom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75</w:t>
            </w:r>
          </w:p>
        </w:tc>
        <w:tc>
          <w:tcPr>
            <w:tcBorders>
              <w:top w:val="single" w:sz="4"/>
              <w:left w:val="single" w:sz="4"/>
              <w:bottom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79</w:t>
            </w:r>
          </w:p>
        </w:tc>
        <w:tc>
          <w:tcPr>
            <w:tcBorders>
              <w:top w:val="single" w:sz="4"/>
              <w:left w:val="single" w:sz="4"/>
              <w:bottom w:val="single" w:sz="4"/>
              <w:right w:val="single" w:sz="4"/>
            </w:tcBorders>
            <w:shd w:val="clear" w:color="auto" w:fill="auto"/>
            <w:vAlign w:val="center"/>
          </w:tcPr>
          <w:p>
            <w:pPr>
              <w:pStyle w:val="Style5"/>
              <w:keepNext w:val="0"/>
              <w:keepLines w:val="0"/>
              <w:framePr w:w="9768" w:h="2227" w:wrap="none" w:hAnchor="page" w:x="1536" w:y="7441"/>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83</w:t>
            </w:r>
          </w:p>
        </w:tc>
      </w:tr>
    </w:tbl>
    <w:p>
      <w:pPr>
        <w:framePr w:w="9768" w:h="2227" w:wrap="none" w:hAnchor="page" w:x="1536" w:y="7441"/>
        <w:widowControl w:val="0"/>
        <w:spacing w:line="1" w:lineRule="exact"/>
      </w:pPr>
    </w:p>
    <w:p>
      <w:pPr>
        <w:pStyle w:val="Style19"/>
        <w:keepNext w:val="0"/>
        <w:keepLines w:val="0"/>
        <w:framePr w:w="7099" w:h="1066" w:wrap="none" w:hAnchor="page" w:x="4123" w:y="10652"/>
        <w:widowControl w:val="0"/>
        <w:shd w:val="clear" w:color="auto" w:fill="auto"/>
        <w:bidi w:val="0"/>
        <w:spacing w:before="0" w:after="0"/>
        <w:ind w:left="0" w:right="0" w:firstLine="0"/>
        <w:jc w:val="left"/>
      </w:pPr>
      <w:r>
        <w:rPr>
          <w:rStyle w:val="CharStyle20"/>
        </w:rPr>
        <w:t>Totexy Konzervativního scénáře jsou již na vyšší úrovni než v Respondentním scénáři. Podíl nákladů importů na 1 MWh spotřebované elektřiny v ČR zůstává i nadále vysoký (37 % v roce 2040), a to i navzdory nižší spotřebě ve srovnání s Progresivním a Dekarbonizačním scénářem.</w:t>
      </w:r>
    </w:p>
    <w:p>
      <w:pPr>
        <w:pStyle w:val="Style19"/>
        <w:keepNext w:val="0"/>
        <w:keepLines w:val="0"/>
        <w:framePr w:w="7042" w:h="1330" w:wrap="none" w:hAnchor="page" w:x="4114" w:y="11953"/>
        <w:widowControl w:val="0"/>
        <w:shd w:val="clear" w:color="auto" w:fill="auto"/>
        <w:bidi w:val="0"/>
        <w:spacing w:before="0" w:after="0"/>
        <w:ind w:left="0" w:right="0" w:firstLine="0"/>
        <w:jc w:val="left"/>
      </w:pPr>
      <w:r>
        <w:rPr>
          <w:rStyle w:val="CharStyle20"/>
        </w:rPr>
        <w:t>Tempo růstu nákladů na import v roce 2035 odráží rostoucí spotřebu, v roce 2040 se na dalším zvýšení dovozních nákladů projevuje i odstavení uhelných zdrojů v roce 2038. Importní limit stanovený dle ASEK je překročen podílem importu na spotřebě již v roce 2025 a dosahuje výše 19 % (pro rok 2040 se tento podíl pohybuje ve výši 17 %).</w:t>
      </w:r>
    </w:p>
    <w:p>
      <w:pPr>
        <w:pStyle w:val="Style19"/>
        <w:keepNext w:val="0"/>
        <w:keepLines w:val="0"/>
        <w:framePr w:w="7133" w:h="1584" w:wrap="none" w:hAnchor="page" w:x="4118" w:y="13513"/>
        <w:widowControl w:val="0"/>
        <w:shd w:val="clear" w:color="auto" w:fill="auto"/>
        <w:bidi w:val="0"/>
        <w:spacing w:before="0" w:after="0"/>
        <w:ind w:left="0" w:right="0" w:firstLine="0"/>
        <w:jc w:val="left"/>
      </w:pPr>
      <w:bookmarkStart w:id="305" w:name="bookmark305"/>
      <w:r>
        <w:rPr>
          <w:rStyle w:val="CharStyle20"/>
        </w:rPr>
        <w:t>Nižší spotřeba elektřiny v Konzervativním scénáři (zhruba o 15 TWh méně než v Progresivním) se odráží v menší výrobě elektrické energie z plynových zdrojů. Tato nižší výroba z plynových zdrojů se následně také promítá do nákladů na emisní povolenky, které jsou tak menší, než v Progresivním a Dekarbonizačním scénáři. Nižší tempo růstu nových zdrojů (OZE) také implikuje nižší Capexové a fixní roční náklady (FRN) Konzervativního scénáře oproti těmto dvou scénářům.</w:t>
      </w:r>
      <w:bookmarkEnd w:id="305"/>
    </w:p>
    <w:p>
      <w:pPr>
        <w:widowControl w:val="0"/>
        <w:spacing w:line="360" w:lineRule="exact"/>
      </w:pPr>
      <w:r>
        <w:drawing>
          <wp:anchor distT="0" distB="0" distL="389890" distR="0" simplePos="0" relativeHeight="62914870" behindDoc="1" locked="0" layoutInCell="1" allowOverlap="1">
            <wp:simplePos x="0" y="0"/>
            <wp:positionH relativeFrom="page">
              <wp:posOffset>1541145</wp:posOffset>
            </wp:positionH>
            <wp:positionV relativeFrom="margin">
              <wp:posOffset>1810385</wp:posOffset>
            </wp:positionV>
            <wp:extent cx="5632450" cy="2602865"/>
            <wp:wrapNone/>
            <wp:docPr id="594" name="Shape 594"/>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387"/>
                    <a:stretch/>
                  </pic:blipFill>
                  <pic:spPr>
                    <a:xfrm>
                      <a:ext cx="5632450" cy="2602865"/>
                    </a:xfrm>
                    <a:prstGeom prst="rect"/>
                  </pic:spPr>
                </pic:pic>
              </a:graphicData>
            </a:graphic>
          </wp:anchor>
        </w:drawing>
      </w:r>
      <w:r>
        <w:drawing>
          <wp:anchor distT="0" distB="0" distL="0" distR="0" simplePos="0" relativeHeight="62914871" behindDoc="1" locked="0" layoutInCell="1" allowOverlap="1">
            <wp:simplePos x="0" y="0"/>
            <wp:positionH relativeFrom="page">
              <wp:posOffset>7397115</wp:posOffset>
            </wp:positionH>
            <wp:positionV relativeFrom="margin">
              <wp:posOffset>0</wp:posOffset>
            </wp:positionV>
            <wp:extent cx="237490" cy="1334770"/>
            <wp:wrapNone/>
            <wp:docPr id="596" name="Shape 596"/>
            <a:graphic xmlns:a="http://schemas.openxmlformats.org/drawingml/2006/main">
              <a:graphicData uri="http://schemas.openxmlformats.org/drawingml/2006/picture">
                <pic:pic xmlns:pic="http://schemas.openxmlformats.org/drawingml/2006/picture">
                  <pic:nvPicPr>
                    <pic:cNvPr id="597" name="Picture box 597"/>
                    <pic:cNvPicPr/>
                  </pic:nvPicPr>
                  <pic:blipFill>
                    <a:blip r:embed="rId389"/>
                    <a:stretch/>
                  </pic:blipFill>
                  <pic:spPr>
                    <a:xfrm>
                      <a:ext cx="237490" cy="1334770"/>
                    </a:xfrm>
                    <a:prstGeom prst="rect"/>
                  </pic:spPr>
                </pic:pic>
              </a:graphicData>
            </a:graphic>
          </wp:anchor>
        </w:drawing>
      </w:r>
      <w:r>
        <w:drawing>
          <wp:anchor distT="0" distB="0" distL="0" distR="0" simplePos="0" relativeHeight="62914872" behindDoc="1" locked="0" layoutInCell="1" allowOverlap="1">
            <wp:simplePos x="0" y="0"/>
            <wp:positionH relativeFrom="page">
              <wp:posOffset>7397115</wp:posOffset>
            </wp:positionH>
            <wp:positionV relativeFrom="margin">
              <wp:posOffset>1337945</wp:posOffset>
            </wp:positionV>
            <wp:extent cx="237490" cy="1334770"/>
            <wp:wrapNone/>
            <wp:docPr id="598" name="Shape 598"/>
            <a:graphic xmlns:a="http://schemas.openxmlformats.org/drawingml/2006/main">
              <a:graphicData uri="http://schemas.openxmlformats.org/drawingml/2006/picture">
                <pic:pic xmlns:pic="http://schemas.openxmlformats.org/drawingml/2006/picture">
                  <pic:nvPicPr>
                    <pic:cNvPr id="599" name="Picture box 599"/>
                    <pic:cNvPicPr/>
                  </pic:nvPicPr>
                  <pic:blipFill>
                    <a:blip r:embed="rId391"/>
                    <a:stretch/>
                  </pic:blipFill>
                  <pic:spPr>
                    <a:xfrm>
                      <a:ext cx="237490" cy="1334770"/>
                    </a:xfrm>
                    <a:prstGeom prst="rect"/>
                  </pic:spPr>
                </pic:pic>
              </a:graphicData>
            </a:graphic>
          </wp:anchor>
        </w:drawing>
      </w:r>
      <w:r>
        <w:drawing>
          <wp:anchor distT="0" distB="0" distL="0" distR="0" simplePos="0" relativeHeight="62914873" behindDoc="1" locked="0" layoutInCell="1" allowOverlap="1">
            <wp:simplePos x="0" y="0"/>
            <wp:positionH relativeFrom="page">
              <wp:posOffset>7397115</wp:posOffset>
            </wp:positionH>
            <wp:positionV relativeFrom="margin">
              <wp:posOffset>2675890</wp:posOffset>
            </wp:positionV>
            <wp:extent cx="237490" cy="1334770"/>
            <wp:wrapNone/>
            <wp:docPr id="600" name="Shape 600"/>
            <a:graphic xmlns:a="http://schemas.openxmlformats.org/drawingml/2006/main">
              <a:graphicData uri="http://schemas.openxmlformats.org/drawingml/2006/picture">
                <pic:pic xmlns:pic="http://schemas.openxmlformats.org/drawingml/2006/picture">
                  <pic:nvPicPr>
                    <pic:cNvPr id="601" name="Picture box 601"/>
                    <pic:cNvPicPr/>
                  </pic:nvPicPr>
                  <pic:blipFill>
                    <a:blip r:embed="rId393"/>
                    <a:stretch/>
                  </pic:blipFill>
                  <pic:spPr>
                    <a:xfrm>
                      <a:ext cx="237490" cy="1334770"/>
                    </a:xfrm>
                    <a:prstGeom prst="rect"/>
                  </pic:spPr>
                </pic:pic>
              </a:graphicData>
            </a:graphic>
          </wp:anchor>
        </w:drawing>
      </w:r>
      <w:r>
        <w:drawing>
          <wp:anchor distT="0" distB="0" distL="0" distR="0" simplePos="0" relativeHeight="62914874" behindDoc="1" locked="0" layoutInCell="1" allowOverlap="1">
            <wp:simplePos x="0" y="0"/>
            <wp:positionH relativeFrom="page">
              <wp:posOffset>7397115</wp:posOffset>
            </wp:positionH>
            <wp:positionV relativeFrom="margin">
              <wp:posOffset>4011295</wp:posOffset>
            </wp:positionV>
            <wp:extent cx="237490" cy="1334770"/>
            <wp:wrapNone/>
            <wp:docPr id="602" name="Shape 602"/>
            <a:graphic xmlns:a="http://schemas.openxmlformats.org/drawingml/2006/main">
              <a:graphicData uri="http://schemas.openxmlformats.org/drawingml/2006/picture">
                <pic:pic xmlns:pic="http://schemas.openxmlformats.org/drawingml/2006/picture">
                  <pic:nvPicPr>
                    <pic:cNvPr id="603" name="Picture box 603"/>
                    <pic:cNvPicPr/>
                  </pic:nvPicPr>
                  <pic:blipFill>
                    <a:blip r:embed="rId395"/>
                    <a:stretch/>
                  </pic:blipFill>
                  <pic:spPr>
                    <a:xfrm>
                      <a:ext cx="237490" cy="1334770"/>
                    </a:xfrm>
                    <a:prstGeom prst="rect"/>
                  </pic:spPr>
                </pic:pic>
              </a:graphicData>
            </a:graphic>
          </wp:anchor>
        </w:drawing>
      </w:r>
      <w:r>
        <w:drawing>
          <wp:anchor distT="0" distB="0" distL="0" distR="0" simplePos="0" relativeHeight="62914875" behindDoc="1" locked="0" layoutInCell="1" allowOverlap="1">
            <wp:simplePos x="0" y="0"/>
            <wp:positionH relativeFrom="page">
              <wp:posOffset>7397115</wp:posOffset>
            </wp:positionH>
            <wp:positionV relativeFrom="margin">
              <wp:posOffset>5349240</wp:posOffset>
            </wp:positionV>
            <wp:extent cx="237490" cy="1334770"/>
            <wp:wrapNone/>
            <wp:docPr id="604" name="Shape 604"/>
            <a:graphic xmlns:a="http://schemas.openxmlformats.org/drawingml/2006/main">
              <a:graphicData uri="http://schemas.openxmlformats.org/drawingml/2006/picture">
                <pic:pic xmlns:pic="http://schemas.openxmlformats.org/drawingml/2006/picture">
                  <pic:nvPicPr>
                    <pic:cNvPr id="605" name="Picture box 605"/>
                    <pic:cNvPicPr/>
                  </pic:nvPicPr>
                  <pic:blipFill>
                    <a:blip r:embed="rId397"/>
                    <a:stretch/>
                  </pic:blipFill>
                  <pic:spPr>
                    <a:xfrm>
                      <a:ext cx="237490" cy="1334770"/>
                    </a:xfrm>
                    <a:prstGeom prst="rect"/>
                  </pic:spPr>
                </pic:pic>
              </a:graphicData>
            </a:graphic>
          </wp:anchor>
        </w:drawing>
      </w:r>
      <w:r>
        <w:drawing>
          <wp:anchor distT="0" distB="0" distL="0" distR="0" simplePos="0" relativeHeight="62914876" behindDoc="1" locked="0" layoutInCell="1" allowOverlap="1">
            <wp:simplePos x="0" y="0"/>
            <wp:positionH relativeFrom="page">
              <wp:posOffset>75565</wp:posOffset>
            </wp:positionH>
            <wp:positionV relativeFrom="margin">
              <wp:posOffset>6684010</wp:posOffset>
            </wp:positionV>
            <wp:extent cx="670560" cy="1334770"/>
            <wp:wrapNone/>
            <wp:docPr id="606" name="Shape 606"/>
            <a:graphic xmlns:a="http://schemas.openxmlformats.org/drawingml/2006/main">
              <a:graphicData uri="http://schemas.openxmlformats.org/drawingml/2006/picture">
                <pic:pic xmlns:pic="http://schemas.openxmlformats.org/drawingml/2006/picture">
                  <pic:nvPicPr>
                    <pic:cNvPr id="607" name="Picture box 607"/>
                    <pic:cNvPicPr/>
                  </pic:nvPicPr>
                  <pic:blipFill>
                    <a:blip r:embed="rId399"/>
                    <a:stretch/>
                  </pic:blipFill>
                  <pic:spPr>
                    <a:xfrm>
                      <a:ext cx="670560" cy="1334770"/>
                    </a:xfrm>
                    <a:prstGeom prst="rect"/>
                  </pic:spPr>
                </pic:pic>
              </a:graphicData>
            </a:graphic>
          </wp:anchor>
        </w:drawing>
      </w:r>
      <w:r>
        <w:drawing>
          <wp:anchor distT="0" distB="0" distL="0" distR="0" simplePos="0" relativeHeight="62914877" behindDoc="1" locked="0" layoutInCell="1" allowOverlap="1">
            <wp:simplePos x="0" y="0"/>
            <wp:positionH relativeFrom="page">
              <wp:posOffset>746125</wp:posOffset>
            </wp:positionH>
            <wp:positionV relativeFrom="margin">
              <wp:posOffset>6684010</wp:posOffset>
            </wp:positionV>
            <wp:extent cx="1657985" cy="1334770"/>
            <wp:wrapNone/>
            <wp:docPr id="608" name="Shape 608"/>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401"/>
                    <a:stretch/>
                  </pic:blipFill>
                  <pic:spPr>
                    <a:xfrm>
                      <a:ext cx="1657985" cy="1334770"/>
                    </a:xfrm>
                    <a:prstGeom prst="rect"/>
                  </pic:spPr>
                </pic:pic>
              </a:graphicData>
            </a:graphic>
          </wp:anchor>
        </w:drawing>
      </w:r>
      <w:r>
        <w:drawing>
          <wp:anchor distT="0" distB="0" distL="0" distR="0" simplePos="0" relativeHeight="62914878" behindDoc="1" locked="0" layoutInCell="1" allowOverlap="1">
            <wp:simplePos x="0" y="0"/>
            <wp:positionH relativeFrom="page">
              <wp:posOffset>75565</wp:posOffset>
            </wp:positionH>
            <wp:positionV relativeFrom="margin">
              <wp:posOffset>8022590</wp:posOffset>
            </wp:positionV>
            <wp:extent cx="670560" cy="1334770"/>
            <wp:wrapNone/>
            <wp:docPr id="610" name="Shape 610"/>
            <a:graphic xmlns:a="http://schemas.openxmlformats.org/drawingml/2006/main">
              <a:graphicData uri="http://schemas.openxmlformats.org/drawingml/2006/picture">
                <pic:pic xmlns:pic="http://schemas.openxmlformats.org/drawingml/2006/picture">
                  <pic:nvPicPr>
                    <pic:cNvPr id="611" name="Picture box 611"/>
                    <pic:cNvPicPr/>
                  </pic:nvPicPr>
                  <pic:blipFill>
                    <a:blip r:embed="rId403"/>
                    <a:stretch/>
                  </pic:blipFill>
                  <pic:spPr>
                    <a:xfrm>
                      <a:ext cx="670560" cy="1334770"/>
                    </a:xfrm>
                    <a:prstGeom prst="rect"/>
                  </pic:spPr>
                </pic:pic>
              </a:graphicData>
            </a:graphic>
          </wp:anchor>
        </w:drawing>
      </w:r>
      <w:r>
        <w:drawing>
          <wp:anchor distT="0" distB="0" distL="0" distR="0" simplePos="0" relativeHeight="62914879" behindDoc="1" locked="0" layoutInCell="1" allowOverlap="1">
            <wp:simplePos x="0" y="0"/>
            <wp:positionH relativeFrom="page">
              <wp:posOffset>746125</wp:posOffset>
            </wp:positionH>
            <wp:positionV relativeFrom="margin">
              <wp:posOffset>8022590</wp:posOffset>
            </wp:positionV>
            <wp:extent cx="1657985" cy="1334770"/>
            <wp:wrapNone/>
            <wp:docPr id="612" name="Shape 612"/>
            <a:graphic xmlns:a="http://schemas.openxmlformats.org/drawingml/2006/main">
              <a:graphicData uri="http://schemas.openxmlformats.org/drawingml/2006/picture">
                <pic:pic xmlns:pic="http://schemas.openxmlformats.org/drawingml/2006/picture">
                  <pic:nvPicPr>
                    <pic:cNvPr id="613" name="Picture box 613"/>
                    <pic:cNvPicPr/>
                  </pic:nvPicPr>
                  <pic:blipFill>
                    <a:blip r:embed="rId405"/>
                    <a:stretch/>
                  </pic:blipFill>
                  <pic:spPr>
                    <a:xfrm>
                      <a:ext cx="1657985" cy="1334770"/>
                    </a:xfrm>
                    <a:prstGeom prst="rect"/>
                  </pic:spPr>
                </pic:pic>
              </a:graphicData>
            </a:graphic>
          </wp:anchor>
        </w:drawing>
      </w:r>
      <w:r>
        <w:drawing>
          <wp:anchor distT="0" distB="0" distL="0" distR="0" simplePos="0" relativeHeight="62914880" behindDoc="1" locked="0" layoutInCell="1" allowOverlap="1">
            <wp:simplePos x="0" y="0"/>
            <wp:positionH relativeFrom="page">
              <wp:posOffset>7397115</wp:posOffset>
            </wp:positionH>
            <wp:positionV relativeFrom="margin">
              <wp:posOffset>6684010</wp:posOffset>
            </wp:positionV>
            <wp:extent cx="237490" cy="1334770"/>
            <wp:wrapNone/>
            <wp:docPr id="614" name="Shape 614"/>
            <a:graphic xmlns:a="http://schemas.openxmlformats.org/drawingml/2006/main">
              <a:graphicData uri="http://schemas.openxmlformats.org/drawingml/2006/picture">
                <pic:pic xmlns:pic="http://schemas.openxmlformats.org/drawingml/2006/picture">
                  <pic:nvPicPr>
                    <pic:cNvPr id="615" name="Picture box 615"/>
                    <pic:cNvPicPr/>
                  </pic:nvPicPr>
                  <pic:blipFill>
                    <a:blip r:embed="rId407"/>
                    <a:stretch/>
                  </pic:blipFill>
                  <pic:spPr>
                    <a:xfrm>
                      <a:ext cx="237490" cy="1334770"/>
                    </a:xfrm>
                    <a:prstGeom prst="rect"/>
                  </pic:spPr>
                </pic:pic>
              </a:graphicData>
            </a:graphic>
          </wp:anchor>
        </w:drawing>
      </w:r>
      <w:r>
        <w:drawing>
          <wp:anchor distT="0" distB="0" distL="0" distR="0" simplePos="0" relativeHeight="62914881" behindDoc="1" locked="0" layoutInCell="1" allowOverlap="1">
            <wp:simplePos x="0" y="0"/>
            <wp:positionH relativeFrom="page">
              <wp:posOffset>7397115</wp:posOffset>
            </wp:positionH>
            <wp:positionV relativeFrom="margin">
              <wp:posOffset>8022590</wp:posOffset>
            </wp:positionV>
            <wp:extent cx="237490" cy="1334770"/>
            <wp:wrapNone/>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409"/>
                    <a:stretch/>
                  </pic:blipFill>
                  <pic:spPr>
                    <a:xfrm>
                      <a:ext cx="237490" cy="13347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5" w:line="1" w:lineRule="exact"/>
      </w:pPr>
    </w:p>
    <w:p>
      <w:pPr>
        <w:widowControl w:val="0"/>
        <w:spacing w:line="1" w:lineRule="exact"/>
        <w:sectPr>
          <w:footnotePr>
            <w:pos w:val="pageBottom"/>
            <w:numFmt w:val="decimal"/>
            <w:numRestart w:val="continuous"/>
          </w:footnotePr>
          <w:pgSz w:w="12142" w:h="17375"/>
          <w:pgMar w:top="268" w:right="119" w:bottom="581" w:left="119" w:header="0" w:footer="3" w:gutter="0"/>
          <w:cols w:space="720"/>
          <w:noEndnote/>
          <w:rtlGutter/>
          <w:docGrid w:linePitch="360"/>
        </w:sectPr>
      </w:pPr>
    </w:p>
    <w:p>
      <w:pPr>
        <w:pStyle w:val="Style15"/>
        <w:keepNext/>
        <w:keepLines/>
        <w:widowControl w:val="0"/>
        <w:shd w:val="clear" w:color="auto" w:fill="auto"/>
        <w:bidi w:val="0"/>
        <w:spacing w:before="280" w:after="480" w:line="240" w:lineRule="auto"/>
        <w:ind w:left="0" w:right="0" w:firstLine="0"/>
        <w:jc w:val="left"/>
      </w:pPr>
      <w:bookmarkStart w:id="307" w:name="bookmark307"/>
      <w:r>
        <w:rPr>
          <w:rStyle w:val="CharStyle16"/>
          <w:b/>
          <w:bCs/>
        </w:rPr>
        <w:t>Obr. 6.46 Progresivní scénář - Rozpad Totexů pro cílové roky</w:t>
      </w:r>
      <w:bookmarkEnd w:id="307"/>
    </w:p>
    <w:p>
      <w:pPr>
        <w:widowControl w:val="0"/>
        <w:jc w:val="center"/>
        <w:rPr>
          <w:sz w:val="2"/>
          <w:szCs w:val="2"/>
        </w:rPr>
      </w:pPr>
      <w:r>
        <w:drawing>
          <wp:inline>
            <wp:extent cx="6199505" cy="2767330"/>
            <wp:docPr id="618" name="Picutre 618"/>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411"/>
                    <a:stretch/>
                  </pic:blipFill>
                  <pic:spPr>
                    <a:xfrm>
                      <a:ext cx="6199505" cy="2767330"/>
                    </a:xfrm>
                    <a:prstGeom prst="rect"/>
                  </pic:spPr>
                </pic:pic>
              </a:graphicData>
            </a:graphic>
          </wp:inline>
        </w:drawing>
      </w:r>
    </w:p>
    <w:p>
      <w:pPr>
        <w:widowControl w:val="0"/>
        <w:spacing w:after="479" w:line="1" w:lineRule="exact"/>
      </w:pPr>
    </w:p>
    <w:p>
      <w:pPr>
        <w:widowControl w:val="0"/>
        <w:spacing w:line="1" w:lineRule="exact"/>
      </w:pPr>
    </w:p>
    <w:tbl>
      <w:tblPr>
        <w:tblOverlap w:val="never"/>
        <w:jc w:val="center"/>
        <w:tblLayout w:type="fixed"/>
      </w:tblPr>
      <w:tblGrid>
        <w:gridCol w:w="2698"/>
        <w:gridCol w:w="1766"/>
        <w:gridCol w:w="1762"/>
        <w:gridCol w:w="1766"/>
        <w:gridCol w:w="1776"/>
      </w:tblGrid>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Import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14 262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39 920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102 937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95 884</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CO</w:t>
            </w:r>
            <w:r>
              <w:rPr>
                <w:rStyle w:val="CharStyle6"/>
                <w:b/>
                <w:bCs/>
                <w:color w:val="006AB4"/>
                <w:sz w:val="8"/>
                <w:szCs w:val="8"/>
              </w:rPr>
              <w:t xml:space="preserve">2 </w:t>
            </w: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57 085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31 651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22 608</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21 042</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23 364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37 898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53 159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43 704</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FRN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22 055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24 007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22 015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27 961</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Capex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4 875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17 112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80" w:right="0" w:firstLine="0"/>
              <w:jc w:val="left"/>
              <w:rPr>
                <w:sz w:val="12"/>
                <w:szCs w:val="12"/>
              </w:rPr>
            </w:pPr>
            <w:r>
              <w:rPr>
                <w:rStyle w:val="CharStyle6"/>
                <w:b/>
                <w:bCs/>
                <w:color w:val="006AB4"/>
                <w:sz w:val="12"/>
                <w:szCs w:val="12"/>
              </w:rPr>
              <w:t>23 507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42 340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121 642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150 588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224 227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230 930</w:t>
            </w:r>
          </w:p>
        </w:tc>
      </w:tr>
      <w:tr>
        <w:trPr>
          <w:trHeight w:val="283"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Spotřeba ČR (TWh)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82</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90</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98</w:t>
            </w:r>
          </w:p>
        </w:tc>
      </w:tr>
    </w:tbl>
    <w:p>
      <w:pPr>
        <w:widowControl w:val="0"/>
        <w:spacing w:after="359" w:line="1" w:lineRule="exact"/>
      </w:pPr>
    </w:p>
    <w:p>
      <w:pPr>
        <w:pStyle w:val="Style68"/>
        <w:keepNext w:val="0"/>
        <w:keepLines w:val="0"/>
        <w:widowControl w:val="0"/>
        <w:shd w:val="clear" w:color="auto" w:fill="auto"/>
        <w:tabs>
          <w:tab w:pos="4871" w:val="left"/>
        </w:tabs>
        <w:bidi w:val="0"/>
        <w:spacing w:before="0" w:after="120" w:line="240" w:lineRule="auto"/>
        <w:ind w:left="2260" w:right="0" w:firstLine="0"/>
        <w:jc w:val="left"/>
      </w:pPr>
      <w:r>
        <w:rPr>
          <w:rStyle w:val="CharStyle69"/>
        </w:rPr>
        <w:t>I</w:t>
        <w:tab/>
        <w:t>I</w:t>
      </w:r>
    </w:p>
    <w:p>
      <w:pPr>
        <w:pStyle w:val="Style19"/>
        <w:keepNext w:val="0"/>
        <w:keepLines w:val="0"/>
        <w:widowControl w:val="0"/>
        <w:shd w:val="clear" w:color="auto" w:fill="auto"/>
        <w:bidi w:val="0"/>
        <w:spacing w:before="0"/>
        <w:ind w:left="0" w:right="0" w:firstLine="0"/>
        <w:jc w:val="left"/>
      </w:pPr>
      <w:r>
        <w:rPr>
          <w:rStyle w:val="CharStyle20"/>
        </w:rPr>
        <w:t>Progresivní scénář se vyznačuje druhými nejvyššími Totexy, a to ve všech cílových letech. Scénář uvažuje o téměř 15 TWh vyšší spotřebu elektřiny v roce 2040 než Konzervativní scénář. Měrné náklady na import v roce 2035 představují až polovinu nákladů na 1 MWh spotřebované elektřiny. Je třeba zdůraznit, že Progresivní scénář má vysokou spotřebu a zahrnuje navíc náklady na transformaci ostatních sektorů formou elektrifikace. Vysoká míra importů implikuje prostor pro dozdrojování tuzemskými zdroji, a to i po výstavbě nového jaderného zdroje v roce 2036.</w:t>
      </w:r>
    </w:p>
    <w:p>
      <w:pPr>
        <w:pStyle w:val="Style19"/>
        <w:keepNext w:val="0"/>
        <w:keepLines w:val="0"/>
        <w:widowControl w:val="0"/>
        <w:shd w:val="clear" w:color="auto" w:fill="auto"/>
        <w:bidi w:val="0"/>
        <w:spacing w:before="0" w:after="0"/>
        <w:ind w:left="0" w:right="0" w:firstLine="0"/>
        <w:jc w:val="left"/>
      </w:pPr>
      <w:r>
        <w:rPr>
          <w:rStyle w:val="CharStyle20"/>
        </w:rPr>
        <w:t>V Progresivním scénáři je výroba z plynových zdrojů značně vysoká (18,2 TWh v roce 2035 a 15,4 TWh v roce 2040), čímž se palivové náklady od roku 2030 stávají druhou nejvýznamnější složkou Totexů. Progresivní scénář dosahuje také větších Capexů ve srovnání s Konzervativním scénářem, což je dáno vyšším novým výkonem z OZE.</w:t>
      </w:r>
    </w:p>
    <w:p>
      <w:pPr>
        <w:pStyle w:val="Style19"/>
        <w:keepNext w:val="0"/>
        <w:keepLines w:val="0"/>
        <w:widowControl w:val="0"/>
        <w:shd w:val="clear" w:color="auto" w:fill="auto"/>
        <w:bidi w:val="0"/>
        <w:spacing w:before="0"/>
        <w:ind w:left="0" w:right="0" w:firstLine="0"/>
        <w:jc w:val="left"/>
      </w:pPr>
      <w:r>
        <w:rPr>
          <w:rStyle w:val="CharStyle20"/>
        </w:rPr>
        <w:t>V roce 2040 v Progresivním scénáři bude o 4,6 GW větší výkon ve VTE a FVE než ve scénáři Konzervativním.</w:t>
      </w:r>
    </w:p>
    <w:p>
      <w:pPr>
        <w:pStyle w:val="Style19"/>
        <w:keepNext w:val="0"/>
        <w:keepLines w:val="0"/>
        <w:widowControl w:val="0"/>
        <w:shd w:val="clear" w:color="auto" w:fill="auto"/>
        <w:bidi w:val="0"/>
        <w:spacing w:before="0" w:after="300"/>
        <w:ind w:left="0" w:right="0" w:firstLine="0"/>
        <w:jc w:val="left"/>
        <w:sectPr>
          <w:footnotePr>
            <w:pos w:val="pageBottom"/>
            <w:numFmt w:val="decimal"/>
            <w:numRestart w:val="continuous"/>
          </w:footnotePr>
          <w:pgSz w:w="12142" w:h="17375"/>
          <w:pgMar w:top="1124" w:right="825" w:bottom="569" w:left="825" w:header="0" w:footer="3" w:gutter="694"/>
          <w:cols w:space="720"/>
          <w:noEndnote/>
          <w:rtlGutter w:val="0"/>
          <w:docGrid w:linePitch="360"/>
        </w:sectPr>
      </w:pPr>
      <w:r>
        <w:rPr>
          <w:rStyle w:val="CharStyle20"/>
        </w:rPr>
        <w:t>Celkové náklady na pokrytí spotřeby elektřiny v ČR (Totexy) jsou nejvyšší v Dekarbonizačním scénáři, a to ve všech cílových rocích. Dekarbonizační scénář má v roce 2040 o 14 TWh vyšší spotřebu než scénář Progresivní, čímž dosahuje nejvyšších nákladů na transformaci ostatních sektorů formou elektrifikace. Extrémní míra dovozů implikuje nutnost pro dozdrojování tuzemskými zdroji.</w:t>
      </w:r>
    </w:p>
    <w:p>
      <w:pPr>
        <w:pStyle w:val="Style19"/>
        <w:keepNext w:val="0"/>
        <w:keepLines w:val="0"/>
        <w:widowControl w:val="0"/>
        <w:shd w:val="clear" w:color="auto" w:fill="auto"/>
        <w:bidi w:val="0"/>
        <w:spacing w:before="0"/>
        <w:ind w:left="0" w:right="0" w:firstLine="2600"/>
        <w:jc w:val="left"/>
      </w:pPr>
      <w:r>
        <w:drawing>
          <wp:anchor distT="0" distB="0" distL="114300" distR="114300" simplePos="0" relativeHeight="125829524" behindDoc="0" locked="0" layoutInCell="1" allowOverlap="1">
            <wp:simplePos x="0" y="0"/>
            <wp:positionH relativeFrom="margin">
              <wp:posOffset>-103505</wp:posOffset>
            </wp:positionH>
            <wp:positionV relativeFrom="margin">
              <wp:posOffset>-128270</wp:posOffset>
            </wp:positionV>
            <wp:extent cx="6419215" cy="5083810"/>
            <wp:wrapTopAndBottom/>
            <wp:docPr id="619" name="Shape 619"/>
            <a:graphic xmlns:a="http://schemas.openxmlformats.org/drawingml/2006/main">
              <a:graphicData uri="http://schemas.openxmlformats.org/drawingml/2006/picture">
                <pic:pic xmlns:pic="http://schemas.openxmlformats.org/drawingml/2006/picture">
                  <pic:nvPicPr>
                    <pic:cNvPr id="620" name="Picture box 620"/>
                    <pic:cNvPicPr/>
                  </pic:nvPicPr>
                  <pic:blipFill>
                    <a:blip r:embed="rId413"/>
                    <a:stretch/>
                  </pic:blipFill>
                  <pic:spPr>
                    <a:xfrm>
                      <a:ext cx="6419215" cy="5083810"/>
                    </a:xfrm>
                    <a:prstGeom prst="rect"/>
                  </pic:spPr>
                </pic:pic>
              </a:graphicData>
            </a:graphic>
          </wp:anchor>
        </w:drawing>
      </w:r>
      <w:r>
        <mc:AlternateContent>
          <mc:Choice Requires="wps">
            <w:drawing>
              <wp:anchor distT="3654425" distB="12700" distL="227330" distR="217805" simplePos="0" relativeHeight="125829525" behindDoc="0" locked="0" layoutInCell="1" allowOverlap="1">
                <wp:simplePos x="0" y="0"/>
                <wp:positionH relativeFrom="margin">
                  <wp:posOffset>9525</wp:posOffset>
                </wp:positionH>
                <wp:positionV relativeFrom="margin">
                  <wp:posOffset>3526155</wp:posOffset>
                </wp:positionV>
                <wp:extent cx="6202680" cy="1414145"/>
                <wp:wrapTopAndBottom/>
                <wp:docPr id="621" name="Shape 621"/>
                <a:graphic xmlns:a="http://schemas.openxmlformats.org/drawingml/2006/main">
                  <a:graphicData uri="http://schemas.microsoft.com/office/word/2010/wordprocessingShape">
                    <wps:wsp>
                      <wps:cNvSpPr txBox="1"/>
                      <wps:spPr>
                        <a:xfrm>
                          <a:ext cx="6202680" cy="1414145"/>
                        </a:xfrm>
                        <a:prstGeom prst="rect"/>
                        <a:noFill/>
                      </wps:spPr>
                      <wps:txbx>
                        <w:txbxContent>
                          <w:tbl>
                            <w:tblPr>
                              <w:tblOverlap w:val="never"/>
                              <w:jc w:val="left"/>
                              <w:tblLayout w:type="fixed"/>
                            </w:tblPr>
                            <w:tblGrid>
                              <w:gridCol w:w="2702"/>
                              <w:gridCol w:w="1766"/>
                              <w:gridCol w:w="1762"/>
                              <w:gridCol w:w="1766"/>
                              <w:gridCol w:w="1771"/>
                            </w:tblGrid>
                            <w:tr>
                              <w:trPr>
                                <w:tblHeade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360" w:right="0" w:firstLine="0"/>
                                    <w:jc w:val="lef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Import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14 318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166 959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258 789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184 417</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CO</w:t>
                                  </w:r>
                                  <w:r>
                                    <w:rPr>
                                      <w:rStyle w:val="CharStyle6"/>
                                      <w:b/>
                                      <w:bCs/>
                                      <w:color w:val="006AB4"/>
                                      <w:sz w:val="8"/>
                                      <w:szCs w:val="8"/>
                                      <w:vertAlign w:val="subscript"/>
                                    </w:rPr>
                                    <w:t>2</w:t>
                                  </w: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57 665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21 493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27 526</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27 574</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23 763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60 146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67 899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62 160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FRN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22 387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20 489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23 479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32 365</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Capex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360" w:right="0" w:firstLine="0"/>
                                    <w:jc w:val="left"/>
                                    <w:rPr>
                                      <w:sz w:val="12"/>
                                      <w:szCs w:val="12"/>
                                    </w:rPr>
                                  </w:pPr>
                                  <w:r>
                                    <w:rPr>
                                      <w:rStyle w:val="CharStyle6"/>
                                      <w:b/>
                                      <w:bCs/>
                                      <w:color w:val="006AB4"/>
                                      <w:sz w:val="12"/>
                                      <w:szCs w:val="12"/>
                                    </w:rPr>
                                    <w:t>6 409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21 519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29 647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54 722</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124 541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290 605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407 340</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361 238</w:t>
                                  </w:r>
                                </w:p>
                              </w:tc>
                            </w:tr>
                            <w:tr>
                              <w:trPr>
                                <w:trHeight w:val="283"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Spotřeba ČR (TWh)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73</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88</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100</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112</w:t>
                                  </w:r>
                                </w:p>
                              </w:tc>
                            </w:tr>
                          </w:tbl>
                          <w:p>
                            <w:pPr>
                              <w:widowControl w:val="0"/>
                              <w:spacing w:line="1" w:lineRule="exact"/>
                            </w:pPr>
                          </w:p>
                        </w:txbxContent>
                      </wps:txbx>
                      <wps:bodyPr lIns="0" tIns="0" rIns="0" bIns="0">
                        <a:noAutoFit/>
                      </wps:bodyPr>
                    </wps:wsp>
                  </a:graphicData>
                </a:graphic>
              </wp:anchor>
            </w:drawing>
          </mc:Choice>
          <mc:Fallback>
            <w:pict>
              <v:shape id="_x0000_s1647" type="#_x0000_t202" style="position:absolute;margin-left:0.75pt;margin-top:277.65000000000003pt;width:488.40000000000003pt;height:111.35000000000001pt;z-index:-125829228;mso-wrap-distance-left:17.900000000000002pt;mso-wrap-distance-top:287.75pt;mso-wrap-distance-right:17.150000000000002pt;mso-wrap-distance-bottom:1.pt;mso-position-horizontal-relative:margin;mso-position-vertical-relative:margin" filled="f" stroked="f">
                <v:textbox inset="0,0,0,0">
                  <w:txbxContent>
                    <w:tbl>
                      <w:tblPr>
                        <w:tblOverlap w:val="never"/>
                        <w:jc w:val="left"/>
                        <w:tblLayout w:type="fixed"/>
                      </w:tblPr>
                      <w:tblGrid>
                        <w:gridCol w:w="2702"/>
                        <w:gridCol w:w="1766"/>
                        <w:gridCol w:w="1762"/>
                        <w:gridCol w:w="1766"/>
                        <w:gridCol w:w="1771"/>
                      </w:tblGrid>
                      <w:tr>
                        <w:trPr>
                          <w:tblHeade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360" w:right="0" w:firstLine="0"/>
                              <w:jc w:val="lef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Import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14 318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166 959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258 789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184 417</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CO</w:t>
                            </w:r>
                            <w:r>
                              <w:rPr>
                                <w:rStyle w:val="CharStyle6"/>
                                <w:b/>
                                <w:bCs/>
                                <w:color w:val="006AB4"/>
                                <w:sz w:val="8"/>
                                <w:szCs w:val="8"/>
                                <w:vertAlign w:val="subscript"/>
                              </w:rPr>
                              <w:t>2</w:t>
                            </w: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57 665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21 493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27 526</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27 574</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Palivo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23 763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60 146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67 899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62 160</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FRN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22 387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20 489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23 479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32 365</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Capex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360" w:right="0" w:firstLine="0"/>
                              <w:jc w:val="left"/>
                              <w:rPr>
                                <w:sz w:val="12"/>
                                <w:szCs w:val="12"/>
                              </w:rPr>
                            </w:pPr>
                            <w:r>
                              <w:rPr>
                                <w:rStyle w:val="CharStyle6"/>
                                <w:b/>
                                <w:bCs/>
                                <w:color w:val="006AB4"/>
                                <w:sz w:val="12"/>
                                <w:szCs w:val="12"/>
                              </w:rPr>
                              <w:t>6 409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21 519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29 647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260" w:right="0" w:firstLine="0"/>
                              <w:jc w:val="left"/>
                              <w:rPr>
                                <w:sz w:val="12"/>
                                <w:szCs w:val="12"/>
                              </w:rPr>
                            </w:pPr>
                            <w:r>
                              <w:rPr>
                                <w:rStyle w:val="CharStyle6"/>
                                <w:b/>
                                <w:bCs/>
                                <w:color w:val="006AB4"/>
                                <w:sz w:val="12"/>
                                <w:szCs w:val="12"/>
                              </w:rPr>
                              <w:t>54 722</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 (mil.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124 541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290 605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200" w:right="0" w:firstLine="0"/>
                              <w:jc w:val="left"/>
                              <w:rPr>
                                <w:sz w:val="12"/>
                                <w:szCs w:val="12"/>
                              </w:rPr>
                            </w:pPr>
                            <w:r>
                              <w:rPr>
                                <w:rStyle w:val="CharStyle6"/>
                                <w:b/>
                                <w:bCs/>
                                <w:color w:val="006AB4"/>
                                <w:sz w:val="12"/>
                                <w:szCs w:val="12"/>
                              </w:rPr>
                              <w:t>407 340</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361 238</w:t>
                            </w:r>
                          </w:p>
                        </w:tc>
                      </w:tr>
                      <w:tr>
                        <w:trPr>
                          <w:trHeight w:val="283"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Spotřeba ČR (TWh)</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73</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88</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100</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112</w:t>
                            </w:r>
                          </w:p>
                        </w:tc>
                      </w:tr>
                    </w:tbl>
                    <w:p>
                      <w:pPr>
                        <w:widowControl w:val="0"/>
                        <w:spacing w:line="1" w:lineRule="exact"/>
                      </w:pPr>
                    </w:p>
                  </w:txbxContent>
                </v:textbox>
                <w10:wrap type="topAndBottom" anchorx="margin" anchory="margin"/>
              </v:shape>
            </w:pict>
          </mc:Fallback>
        </mc:AlternateContent>
      </w:r>
      <w:r>
        <w:drawing>
          <wp:anchor distT="50800" distB="50800" distL="50800" distR="50800" simplePos="0" relativeHeight="125829527" behindDoc="0" locked="0" layoutInCell="1" allowOverlap="1">
            <wp:simplePos x="0" y="0"/>
            <wp:positionH relativeFrom="margin">
              <wp:posOffset>-890270</wp:posOffset>
            </wp:positionH>
            <wp:positionV relativeFrom="margin">
              <wp:posOffset>6022975</wp:posOffset>
            </wp:positionV>
            <wp:extent cx="2468880" cy="4077970"/>
            <wp:wrapSquare wrapText="bothSides"/>
            <wp:docPr id="623" name="Shape 623"/>
            <a:graphic xmlns:a="http://schemas.openxmlformats.org/drawingml/2006/main">
              <a:graphicData uri="http://schemas.openxmlformats.org/drawingml/2006/picture">
                <pic:pic xmlns:pic="http://schemas.openxmlformats.org/drawingml/2006/picture">
                  <pic:nvPicPr>
                    <pic:cNvPr id="624" name="Picture box 624"/>
                    <pic:cNvPicPr/>
                  </pic:nvPicPr>
                  <pic:blipFill>
                    <a:blip r:embed="rId415"/>
                    <a:stretch/>
                  </pic:blipFill>
                  <pic:spPr>
                    <a:xfrm>
                      <a:ext cx="2468880" cy="4077970"/>
                    </a:xfrm>
                    <a:prstGeom prst="rect"/>
                  </pic:spPr>
                </pic:pic>
              </a:graphicData>
            </a:graphic>
          </wp:anchor>
        </w:drawing>
      </w:r>
      <w:r>
        <w:rPr>
          <w:rStyle w:val="CharStyle20"/>
        </w:rPr>
        <w:t>Největší složku Totexů pro cílové roky 2030 až 2040 představují čisté importy, které v roce 2035 představují až 63 % celkových nákladů na jednu MWh elektřiny spotřebované v České republice. Uvažovaná výstavba nového jaderného sníží importní závislost ČR od roku 2036, avšak objem nákladů importů v Totexech nadále zůstává neúměrně vysoký.</w:t>
      </w:r>
    </w:p>
    <w:p>
      <w:pPr>
        <w:pStyle w:val="Style19"/>
        <w:keepNext w:val="0"/>
        <w:keepLines w:val="0"/>
        <w:widowControl w:val="0"/>
        <w:shd w:val="clear" w:color="auto" w:fill="auto"/>
        <w:bidi w:val="0"/>
        <w:spacing w:before="0"/>
        <w:ind w:left="0" w:right="0" w:firstLine="0"/>
        <w:jc w:val="left"/>
      </w:pPr>
      <w:r>
        <w:rPr>
          <w:rStyle w:val="CharStyle20"/>
        </w:rPr>
        <w:t>Kromě importu jsou další významnou složkou Totexů náklady na palivo, v roce 2030 jsou v tomto scénáři plně odstaveny uhelné zdroje, čímž vzniká nutnost zvýšení výroby elektřiny z plynu. Simulace sice uvažují zlevnění cen plynu ve dlouhodobém horizontu (v roce 2035 dosáhne cena za 1 MWh cca 950 Kč, v roce 2040 klesne na 800 Kč), ale rovněž indikují výrazně vysoký objem výroby (až 22,6 TWh v roce 2035, 20,8 TWh v roce 2040).</w:t>
      </w:r>
    </w:p>
    <w:p>
      <w:pPr>
        <w:pStyle w:val="Style19"/>
        <w:keepNext w:val="0"/>
        <w:keepLines w:val="0"/>
        <w:widowControl w:val="0"/>
        <w:shd w:val="clear" w:color="auto" w:fill="auto"/>
        <w:bidi w:val="0"/>
        <w:spacing w:before="0"/>
        <w:ind w:left="0" w:right="0" w:firstLine="0"/>
        <w:jc w:val="left"/>
        <w:sectPr>
          <w:headerReference w:type="default" r:id="rId417"/>
          <w:footerReference w:type="default" r:id="rId418"/>
          <w:headerReference w:type="even" r:id="rId419"/>
          <w:footerReference w:type="even" r:id="rId420"/>
          <w:footnotePr>
            <w:pos w:val="pageBottom"/>
            <w:numFmt w:val="decimal"/>
            <w:numRestart w:val="continuous"/>
          </w:footnotePr>
          <w:pgSz w:w="12142" w:h="17375"/>
          <w:pgMar w:top="1124" w:right="825" w:bottom="569" w:left="825" w:header="696" w:footer="141" w:gutter="694"/>
          <w:pgNumType w:start="99"/>
          <w:cols w:space="720"/>
          <w:noEndnote/>
          <w:rtlGutter w:val="0"/>
          <w:docGrid w:linePitch="360"/>
        </w:sectPr>
      </w:pPr>
      <w:r>
        <mc:AlternateContent>
          <mc:Choice Requires="wps">
            <w:drawing>
              <wp:anchor distT="0" distB="0" distL="114300" distR="114300" simplePos="0" relativeHeight="125829528" behindDoc="0" locked="0" layoutInCell="1" allowOverlap="1">
                <wp:simplePos x="0" y="0"/>
                <wp:positionH relativeFrom="margin">
                  <wp:posOffset>6035040</wp:posOffset>
                </wp:positionH>
                <wp:positionV relativeFrom="margin">
                  <wp:posOffset>9811385</wp:posOffset>
                </wp:positionV>
                <wp:extent cx="179705" cy="146050"/>
                <wp:wrapTopAndBottom/>
                <wp:docPr id="625" name="Shape 625"/>
                <a:graphic xmlns:a="http://schemas.openxmlformats.org/drawingml/2006/main">
                  <a:graphicData uri="http://schemas.microsoft.com/office/word/2010/wordprocessingShape">
                    <wps:wsp>
                      <wps:cNvSpPr txBox="1"/>
                      <wps:spPr>
                        <a:xfrm>
                          <a:ext cx="179705" cy="1460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right"/>
                            </w:pPr>
                            <w:r>
                              <w:rPr>
                                <w:rStyle w:val="CharStyle20"/>
                                <w:b/>
                                <w:bCs/>
                                <w:color w:val="006AB4"/>
                              </w:rPr>
                              <w:t>97</w:t>
                            </w:r>
                          </w:p>
                        </w:txbxContent>
                      </wps:txbx>
                      <wps:bodyPr wrap="none" lIns="0" tIns="0" rIns="0" bIns="0">
                        <a:noAutoFit/>
                      </wps:bodyPr>
                    </wps:wsp>
                  </a:graphicData>
                </a:graphic>
              </wp:anchor>
            </w:drawing>
          </mc:Choice>
          <mc:Fallback>
            <w:pict>
              <v:shape id="_x0000_s1651" type="#_x0000_t202" style="position:absolute;margin-left:475.19999999999999pt;margin-top:772.55000000000007pt;width:14.15pt;height:11.5pt;z-index:-125829225;mso-wrap-distance-left:9.pt;mso-wrap-distance-right:9.pt;mso-position-horizontal-relative:margin;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right"/>
                      </w:pPr>
                      <w:r>
                        <w:rPr>
                          <w:rStyle w:val="CharStyle20"/>
                          <w:b/>
                          <w:bCs/>
                          <w:color w:val="006AB4"/>
                        </w:rPr>
                        <w:t>97</w:t>
                      </w:r>
                    </w:p>
                  </w:txbxContent>
                </v:textbox>
                <w10:wrap type="topAndBottom" anchorx="margin" anchory="margin"/>
              </v:shape>
            </w:pict>
          </mc:Fallback>
        </mc:AlternateContent>
      </w:r>
      <w:r>
        <w:drawing>
          <wp:anchor distT="0" distB="0" distL="25400" distR="25400" simplePos="0" relativeHeight="125829530" behindDoc="0" locked="0" layoutInCell="1" allowOverlap="1">
            <wp:simplePos x="0" y="0"/>
            <wp:positionH relativeFrom="margin">
              <wp:posOffset>6309360</wp:posOffset>
            </wp:positionH>
            <wp:positionV relativeFrom="margin">
              <wp:posOffset>-591185</wp:posOffset>
            </wp:positionV>
            <wp:extent cx="359410" cy="10692130"/>
            <wp:wrapSquare wrapText="bothSides"/>
            <wp:docPr id="627" name="Shape 627"/>
            <a:graphic xmlns:a="http://schemas.openxmlformats.org/drawingml/2006/main">
              <a:graphicData uri="http://schemas.openxmlformats.org/drawingml/2006/picture">
                <pic:pic xmlns:pic="http://schemas.openxmlformats.org/drawingml/2006/picture">
                  <pic:nvPicPr>
                    <pic:cNvPr id="628" name="Picture box 628"/>
                    <pic:cNvPicPr/>
                  </pic:nvPicPr>
                  <pic:blipFill>
                    <a:blip r:embed="rId421"/>
                    <a:stretch/>
                  </pic:blipFill>
                  <pic:spPr>
                    <a:xfrm>
                      <a:ext cx="359410" cy="10692130"/>
                    </a:xfrm>
                    <a:prstGeom prst="rect"/>
                  </pic:spPr>
                </pic:pic>
              </a:graphicData>
            </a:graphic>
          </wp:anchor>
        </w:drawing>
      </w:r>
      <w:bookmarkStart w:id="309" w:name="bookmark309"/>
      <w:r>
        <w:rPr>
          <w:rStyle w:val="CharStyle20"/>
        </w:rPr>
        <w:t>Dekarbonizační scénář vykazuje vysokou úroveň Capexů, což je způsobené především největším růstem instalací nových obnovitelných zdrojů (celkem až 19,8 GW FTE a 2,5 GW VTE v roce 2040). Capexy a fixní roční náklady však nemají až tak markantní vliv na měrné náklady 1 spotřebované MWh v ČR, jako mají v tomto případě importy a palivové náklady. Výstavba nového jaderného zdroje tak neposune cenu elektrické energie výš.</w:t>
      </w:r>
      <w:bookmarkEnd w:id="309"/>
    </w:p>
    <w:p>
      <w:pPr>
        <w:pStyle w:val="Style15"/>
        <w:keepNext/>
        <w:keepLines/>
        <w:widowControl w:val="0"/>
        <w:shd w:val="clear" w:color="auto" w:fill="auto"/>
        <w:bidi w:val="0"/>
        <w:spacing w:before="0" w:after="0" w:line="240" w:lineRule="auto"/>
        <w:ind w:left="0" w:right="0" w:firstLine="0"/>
        <w:jc w:val="left"/>
      </w:pPr>
      <w:bookmarkStart w:id="310" w:name="bookmark310"/>
      <w:r>
        <w:rPr>
          <w:rStyle w:val="CharStyle16"/>
          <w:b/>
          <w:bCs/>
        </w:rPr>
        <w:t>Obr. 6.48 Srovnání ročních Totexů jednotlivých scénářů (v průsvitné barvě jsou znázorněny náklady importů)</w:t>
      </w:r>
      <w:bookmarkEnd w:id="310"/>
    </w:p>
    <w:p>
      <w:pPr>
        <w:widowControl w:val="0"/>
        <w:spacing w:line="1" w:lineRule="exact"/>
        <w:sectPr>
          <w:headerReference w:type="default" r:id="rId423"/>
          <w:footerReference w:type="default" r:id="rId424"/>
          <w:headerReference w:type="even" r:id="rId425"/>
          <w:footerReference w:type="even" r:id="rId426"/>
          <w:footnotePr>
            <w:pos w:val="pageBottom"/>
            <w:numFmt w:val="decimal"/>
            <w:numRestart w:val="continuous"/>
          </w:footnotePr>
          <w:pgSz w:w="12142" w:h="17375"/>
          <w:pgMar w:top="1199" w:right="839" w:bottom="1583" w:left="839" w:header="0" w:footer="3" w:gutter="677"/>
          <w:pgNumType w:start="98"/>
          <w:cols w:space="720"/>
          <w:noEndnote/>
          <w:rtlGutter w:val="0"/>
          <w:docGrid w:linePitch="360"/>
        </w:sectPr>
      </w:pPr>
      <w:r>
        <w:drawing>
          <wp:anchor distT="228600" distB="0" distL="0" distR="0" simplePos="0" relativeHeight="125829531" behindDoc="0" locked="0" layoutInCell="1" allowOverlap="1">
            <wp:simplePos x="0" y="0"/>
            <wp:positionH relativeFrom="margin">
              <wp:posOffset>12065</wp:posOffset>
            </wp:positionH>
            <wp:positionV relativeFrom="paragraph">
              <wp:posOffset>228600</wp:posOffset>
            </wp:positionV>
            <wp:extent cx="6193790" cy="2212975"/>
            <wp:wrapTopAndBottom/>
            <wp:docPr id="635" name="Shape 635"/>
            <a:graphic xmlns:a="http://schemas.openxmlformats.org/drawingml/2006/main">
              <a:graphicData uri="http://schemas.openxmlformats.org/drawingml/2006/picture">
                <pic:pic xmlns:pic="http://schemas.openxmlformats.org/drawingml/2006/picture">
                  <pic:nvPicPr>
                    <pic:cNvPr id="636" name="Picture box 636"/>
                    <pic:cNvPicPr/>
                  </pic:nvPicPr>
                  <pic:blipFill>
                    <a:blip r:embed="rId427"/>
                    <a:stretch/>
                  </pic:blipFill>
                  <pic:spPr>
                    <a:xfrm>
                      <a:ext cx="6193790" cy="2212975"/>
                    </a:xfrm>
                    <a:prstGeom prst="rect"/>
                  </pic:spPr>
                </pic:pic>
              </a:graphicData>
            </a:graphic>
          </wp:anchor>
        </w:drawing>
      </w:r>
    </w:p>
    <w:p>
      <w:pPr>
        <w:widowControl w:val="0"/>
        <w:spacing w:before="24" w:after="24"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199" w:right="0" w:bottom="1583" w:left="0" w:header="0" w:footer="3" w:gutter="0"/>
          <w:cols w:space="720"/>
          <w:noEndnote/>
          <w:rtlGutter w:val="0"/>
          <w:docGrid w:linePitch="360"/>
        </w:sectPr>
      </w:pPr>
    </w:p>
    <w:p>
      <w:pPr>
        <w:pStyle w:val="Style75"/>
        <w:keepNext w:val="0"/>
        <w:keepLines w:val="0"/>
        <w:widowControl w:val="0"/>
        <w:shd w:val="clear" w:color="auto" w:fill="auto"/>
        <w:tabs>
          <w:tab w:pos="5090" w:val="left"/>
        </w:tabs>
        <w:bidi w:val="0"/>
        <w:spacing w:before="0" w:after="60" w:line="240" w:lineRule="auto"/>
        <w:ind w:left="1500" w:right="0" w:firstLine="0"/>
        <w:jc w:val="left"/>
      </w:pPr>
      <w:r>
        <w:rPr>
          <w:rStyle w:val="CharStyle76"/>
        </w:rPr>
        <w:t>Respondentní scénář</w:t>
        <w:tab/>
        <w:t>Progresivní scénář</w:t>
      </w:r>
    </w:p>
    <w:p>
      <w:pPr>
        <w:pStyle w:val="Style75"/>
        <w:keepNext w:val="0"/>
        <w:keepLines w:val="0"/>
        <w:widowControl w:val="0"/>
        <w:shd w:val="clear" w:color="auto" w:fill="auto"/>
        <w:tabs>
          <w:tab w:pos="5090" w:val="left"/>
        </w:tabs>
        <w:bidi w:val="0"/>
        <w:spacing w:before="0" w:after="520" w:line="240" w:lineRule="auto"/>
        <w:ind w:left="1500" w:right="0" w:firstLine="0"/>
        <w:jc w:val="left"/>
      </w:pPr>
      <w:r>
        <w:rPr>
          <w:rStyle w:val="CharStyle76"/>
        </w:rPr>
        <w:t>Konzervativní scénář</w:t>
        <w:tab/>
        <w:t>Dekarbonizační scénář</w:t>
      </w:r>
    </w:p>
    <w:tbl>
      <w:tblPr>
        <w:tblOverlap w:val="never"/>
        <w:jc w:val="center"/>
        <w:tblLayout w:type="fixed"/>
      </w:tblPr>
      <w:tblGrid>
        <w:gridCol w:w="2189"/>
        <w:gridCol w:w="1387"/>
        <w:gridCol w:w="1392"/>
        <w:gridCol w:w="1387"/>
        <w:gridCol w:w="1387"/>
        <w:gridCol w:w="2011"/>
      </w:tblGrid>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(mld.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Suma období 2025-2040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117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168</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580" w:right="0" w:firstLine="0"/>
              <w:jc w:val="left"/>
              <w:rPr>
                <w:sz w:val="12"/>
                <w:szCs w:val="12"/>
              </w:rPr>
            </w:pPr>
            <w:r>
              <w:rPr>
                <w:rStyle w:val="CharStyle6"/>
                <w:b/>
                <w:bCs/>
                <w:color w:val="006AB4"/>
                <w:sz w:val="12"/>
                <w:szCs w:val="12"/>
              </w:rPr>
              <w:t>2 349</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117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132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187</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580" w:right="0" w:firstLine="0"/>
              <w:jc w:val="left"/>
              <w:rPr>
                <w:sz w:val="12"/>
                <w:szCs w:val="12"/>
              </w:rPr>
            </w:pPr>
            <w:r>
              <w:rPr>
                <w:rStyle w:val="CharStyle6"/>
                <w:b/>
                <w:bCs/>
                <w:color w:val="006AB4"/>
                <w:sz w:val="12"/>
                <w:szCs w:val="12"/>
              </w:rPr>
              <w:t>2 408</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122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151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224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231</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580" w:right="0" w:firstLine="0"/>
              <w:jc w:val="left"/>
              <w:rPr>
                <w:sz w:val="12"/>
                <w:szCs w:val="12"/>
              </w:rPr>
            </w:pPr>
            <w:r>
              <w:rPr>
                <w:rStyle w:val="CharStyle6"/>
                <w:b/>
                <w:bCs/>
                <w:color w:val="006AB4"/>
                <w:sz w:val="12"/>
                <w:szCs w:val="12"/>
              </w:rPr>
              <w:t>2 971</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 scénář</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080" w:right="0" w:firstLine="0"/>
              <w:jc w:val="left"/>
              <w:rPr>
                <w:sz w:val="12"/>
                <w:szCs w:val="12"/>
              </w:rPr>
            </w:pPr>
            <w:r>
              <w:rPr>
                <w:rStyle w:val="CharStyle6"/>
                <w:b/>
                <w:bCs/>
                <w:color w:val="006AB4"/>
                <w:sz w:val="12"/>
                <w:szCs w:val="12"/>
              </w:rPr>
              <w:t>125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291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407</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361</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1580" w:right="0" w:firstLine="0"/>
              <w:jc w:val="left"/>
              <w:rPr>
                <w:sz w:val="12"/>
                <w:szCs w:val="12"/>
              </w:rPr>
            </w:pPr>
            <w:r>
              <w:rPr>
                <w:rStyle w:val="CharStyle6"/>
                <w:b/>
                <w:bCs/>
                <w:color w:val="006AB4"/>
                <w:sz w:val="12"/>
                <w:szCs w:val="12"/>
              </w:rPr>
              <w:t>4 919</w:t>
            </w:r>
          </w:p>
        </w:tc>
      </w:tr>
    </w:tbl>
    <w:p>
      <w:pPr>
        <w:widowControl w:val="0"/>
        <w:spacing w:after="719" w:line="1" w:lineRule="exact"/>
      </w:pPr>
    </w:p>
    <w:p>
      <w:pPr>
        <w:pStyle w:val="Style15"/>
        <w:keepNext/>
        <w:keepLines/>
        <w:widowControl w:val="0"/>
        <w:shd w:val="clear" w:color="auto" w:fill="auto"/>
        <w:bidi w:val="0"/>
        <w:spacing w:before="0" w:after="0" w:line="300" w:lineRule="auto"/>
        <w:ind w:left="0" w:right="0" w:firstLine="0"/>
        <w:jc w:val="left"/>
      </w:pPr>
      <w:bookmarkStart w:id="312" w:name="bookmark312"/>
      <w:r>
        <w:rPr>
          <w:rStyle w:val="CharStyle16"/>
          <w:b/>
          <w:bCs/>
        </w:rPr>
        <w:t>Obr. 6.49 Srovnání měrných Totexů jednotlivých scénářů v Kč/MWh (v průsvitné barvě je znázorněn podíl nákladů importů)</w:t>
      </w:r>
      <w:bookmarkEnd w:id="312"/>
    </w:p>
    <w:p>
      <w:pPr>
        <w:widowControl w:val="0"/>
        <w:spacing w:line="1" w:lineRule="exact"/>
        <w:sectPr>
          <w:footnotePr>
            <w:pos w:val="pageBottom"/>
            <w:numFmt w:val="decimal"/>
            <w:numRestart w:val="continuous"/>
          </w:footnotePr>
          <w:type w:val="continuous"/>
          <w:pgSz w:w="12142" w:h="17375"/>
          <w:pgMar w:top="1199" w:right="839" w:bottom="1583" w:left="839" w:header="0" w:footer="3" w:gutter="677"/>
          <w:cols w:space="720"/>
          <w:noEndnote/>
          <w:rtlGutter w:val="0"/>
          <w:docGrid w:linePitch="360"/>
        </w:sectPr>
      </w:pPr>
      <w:r>
        <w:drawing>
          <wp:anchor distT="38100" distB="0" distL="0" distR="0" simplePos="0" relativeHeight="125829532" behindDoc="0" locked="0" layoutInCell="1" allowOverlap="1">
            <wp:simplePos x="0" y="0"/>
            <wp:positionH relativeFrom="margin">
              <wp:posOffset>12065</wp:posOffset>
            </wp:positionH>
            <wp:positionV relativeFrom="paragraph">
              <wp:posOffset>38100</wp:posOffset>
            </wp:positionV>
            <wp:extent cx="6193790" cy="2212975"/>
            <wp:wrapTopAndBottom/>
            <wp:docPr id="637" name="Shape 637"/>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429"/>
                    <a:stretch/>
                  </pic:blipFill>
                  <pic:spPr>
                    <a:xfrm>
                      <a:ext cx="6193790" cy="2212975"/>
                    </a:xfrm>
                    <a:prstGeom prst="rect"/>
                  </pic:spPr>
                </pic:pic>
              </a:graphicData>
            </a:graphic>
          </wp:anchor>
        </w:drawing>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1219" w:right="0" w:bottom="1325" w:left="0" w:header="0" w:footer="3" w:gutter="0"/>
          <w:cols w:space="720"/>
          <w:noEndnote/>
          <w:rtlGutter w:val="0"/>
          <w:docGrid w:linePitch="360"/>
        </w:sectPr>
      </w:pPr>
    </w:p>
    <w:p>
      <w:pPr>
        <w:pStyle w:val="Style75"/>
        <w:keepNext w:val="0"/>
        <w:keepLines w:val="0"/>
        <w:widowControl w:val="0"/>
        <w:shd w:val="clear" w:color="auto" w:fill="auto"/>
        <w:bidi w:val="0"/>
        <w:spacing w:before="0" w:after="60" w:line="240" w:lineRule="auto"/>
        <w:ind w:left="1280" w:right="0" w:firstLine="0"/>
        <w:jc w:val="left"/>
      </w:pPr>
      <w:r>
        <mc:AlternateContent>
          <mc:Choice Requires="wps">
            <w:drawing>
              <wp:anchor distT="0" distB="0" distL="114300" distR="114300" simplePos="0" relativeHeight="125829533" behindDoc="0" locked="0" layoutInCell="1" allowOverlap="1">
                <wp:simplePos x="0" y="0"/>
                <wp:positionH relativeFrom="margin">
                  <wp:posOffset>984250</wp:posOffset>
                </wp:positionH>
                <wp:positionV relativeFrom="paragraph">
                  <wp:posOffset>12700</wp:posOffset>
                </wp:positionV>
                <wp:extent cx="1060450" cy="295910"/>
                <wp:wrapSquare wrapText="right"/>
                <wp:docPr id="639" name="Shape 639"/>
                <a:graphic xmlns:a="http://schemas.openxmlformats.org/drawingml/2006/main">
                  <a:graphicData uri="http://schemas.microsoft.com/office/word/2010/wordprocessingShape">
                    <wps:wsp>
                      <wps:cNvSpPr txBox="1"/>
                      <wps:spPr>
                        <a:xfrm>
                          <a:ext cx="1060450" cy="295910"/>
                        </a:xfrm>
                        <a:prstGeom prst="rect"/>
                        <a:solidFill>
                          <a:srgbClr val="F6FCFF"/>
                        </a:solidFill>
                      </wps:spPr>
                      <wps:txbx>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Respondentní scénář</w:t>
                            </w:r>
                          </w:p>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scénář</w:t>
                            </w:r>
                          </w:p>
                        </w:txbxContent>
                      </wps:txbx>
                      <wps:bodyPr lIns="0" tIns="0" rIns="0" bIns="0">
                        <a:noAutoFit/>
                      </wps:bodyPr>
                    </wps:wsp>
                  </a:graphicData>
                </a:graphic>
              </wp:anchor>
            </w:drawing>
          </mc:Choice>
          <mc:Fallback>
            <w:pict>
              <v:shape id="_x0000_s1665" type="#_x0000_t202" style="position:absolute;margin-left:77.5pt;margin-top:1.pt;width:83.5pt;height:23.300000000000001pt;z-index:-125829220;mso-wrap-distance-left:9.pt;mso-wrap-distance-right:9.pt;mso-position-horizontal-relative:margin" fillcolor="#F6FCFF" stroked="f">
                <v:textbox inset="0,0,0,0">
                  <w:txbxContent>
                    <w:p>
                      <w:pPr>
                        <w:pStyle w:val="Style75"/>
                        <w:keepNext w:val="0"/>
                        <w:keepLines w:val="0"/>
                        <w:widowControl w:val="0"/>
                        <w:shd w:val="clear" w:color="auto" w:fill="auto"/>
                        <w:bidi w:val="0"/>
                        <w:spacing w:before="0" w:after="60" w:line="240" w:lineRule="auto"/>
                        <w:ind w:left="0" w:right="0" w:firstLine="0"/>
                        <w:jc w:val="left"/>
                      </w:pPr>
                      <w:r>
                        <w:rPr>
                          <w:rStyle w:val="CharStyle76"/>
                        </w:rPr>
                        <w:t>Respondentní scénář</w:t>
                      </w:r>
                    </w:p>
                    <w:p>
                      <w:pPr>
                        <w:pStyle w:val="Style75"/>
                        <w:keepNext w:val="0"/>
                        <w:keepLines w:val="0"/>
                        <w:widowControl w:val="0"/>
                        <w:shd w:val="clear" w:color="auto" w:fill="auto"/>
                        <w:bidi w:val="0"/>
                        <w:spacing w:before="0" w:after="0" w:line="240" w:lineRule="auto"/>
                        <w:ind w:left="0" w:right="0" w:firstLine="0"/>
                        <w:jc w:val="left"/>
                      </w:pPr>
                      <w:r>
                        <w:rPr>
                          <w:rStyle w:val="CharStyle76"/>
                        </w:rPr>
                        <w:t>Konzervativní scénář</w:t>
                      </w:r>
                    </w:p>
                  </w:txbxContent>
                </v:textbox>
                <w10:wrap type="square" side="right" anchorx="margin"/>
              </v:shape>
            </w:pict>
          </mc:Fallback>
        </mc:AlternateContent>
      </w:r>
      <w:r>
        <w:rPr>
          <w:rStyle w:val="CharStyle76"/>
          <w:color w:val="27A851"/>
        </w:rPr>
        <w:t xml:space="preserve">—— </w:t>
      </w:r>
      <w:r>
        <w:rPr>
          <w:rStyle w:val="CharStyle76"/>
        </w:rPr>
        <w:t>Progresivní scénář</w:t>
      </w:r>
    </w:p>
    <w:p>
      <w:pPr>
        <w:pStyle w:val="Style75"/>
        <w:keepNext w:val="0"/>
        <w:keepLines w:val="0"/>
        <w:widowControl w:val="0"/>
        <w:shd w:val="clear" w:color="auto" w:fill="auto"/>
        <w:bidi w:val="0"/>
        <w:spacing w:before="0" w:after="520" w:line="240" w:lineRule="auto"/>
        <w:ind w:left="1860" w:right="0" w:firstLine="0"/>
        <w:jc w:val="left"/>
      </w:pPr>
      <w:r>
        <w:rPr>
          <w:rStyle w:val="CharStyle76"/>
        </w:rPr>
        <w:t>Dekarbonizační scénář</w:t>
      </w:r>
    </w:p>
    <w:tbl>
      <w:tblPr>
        <w:tblOverlap w:val="never"/>
        <w:jc w:val="center"/>
        <w:tblLayout w:type="fixed"/>
      </w:tblPr>
      <w:tblGrid>
        <w:gridCol w:w="2189"/>
        <w:gridCol w:w="1891"/>
        <w:gridCol w:w="1891"/>
        <w:gridCol w:w="1891"/>
        <w:gridCol w:w="1906"/>
      </w:tblGrid>
      <w:tr>
        <w:trPr>
          <w:trHeight w:val="283"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(mld.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2040</w:t>
            </w:r>
          </w:p>
        </w:tc>
      </w:tr>
      <w:tr>
        <w:trPr>
          <w:trHeight w:val="274"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Respondentní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1 710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1 805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1 963</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2 024</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Konzervativní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1 712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1 763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1 994</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2 255</w:t>
            </w:r>
          </w:p>
        </w:tc>
      </w:tr>
      <w:tr>
        <w:trPr>
          <w:trHeight w:val="278"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Progresivní scénář</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1 708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1 842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2 488</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2 357</w:t>
            </w:r>
          </w:p>
        </w:tc>
      </w:tr>
      <w:tr>
        <w:trPr>
          <w:trHeight w:val="288"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Dekarbonizační scénář</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1 696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1460" w:right="0" w:firstLine="0"/>
              <w:jc w:val="left"/>
              <w:rPr>
                <w:sz w:val="12"/>
                <w:szCs w:val="12"/>
              </w:rPr>
            </w:pPr>
            <w:r>
              <w:rPr>
                <w:rStyle w:val="CharStyle6"/>
                <w:b/>
                <w:bCs/>
                <w:color w:val="006AB4"/>
                <w:sz w:val="12"/>
                <w:szCs w:val="12"/>
              </w:rPr>
              <w:t>3 317</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4 072</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3 228</w:t>
            </w:r>
          </w:p>
        </w:tc>
      </w:tr>
    </w:tbl>
    <w:p>
      <w:pPr>
        <w:pStyle w:val="Style19"/>
        <w:keepNext w:val="0"/>
        <w:keepLines w:val="0"/>
        <w:widowControl w:val="0"/>
        <w:shd w:val="clear" w:color="auto" w:fill="auto"/>
        <w:bidi w:val="0"/>
        <w:spacing w:before="0"/>
        <w:ind w:left="2760" w:right="0" w:firstLine="20"/>
        <w:jc w:val="left"/>
      </w:pPr>
      <w:r>
        <w:rPr>
          <w:rStyle w:val="CharStyle20"/>
        </w:rPr>
        <w:t>Dekarbonizační scénář dosahuje nejvyšší kumulovanou ekonomickou náročnost pro období 2025-2040, a to ve výši 4 920 mld. Kč za 16 let. Nejnákladnější komponentou Totexů ve všech scénářích v období 2030-2040 představuje import elektrické energie, jehož výše přirozeně koreluje s rostoucí spotřebou elektřiny. Ani v případě provozu uhelných zdrojů do roku 2040 však výrobní mix ČR není schopný pokrýt tuzemskou spotřebu, a to ani v případě masivní expanze OZE, jak bylo ilustrováno zejména v Dekarbonizačním scénáři. Výstavba nového jaderného zdroje ve všech scénářích sice přispívá k snížení importů v cílovém roce 2040, objem importů však i nadále zůstává vysoký, čímž je ohrožena bezpečnost a spolehlivost dodávek elektrické energie České republiky. Vysoká míra importů ve všech scénářích indikuje potřebu dozdrojování.</w:t>
      </w:r>
    </w:p>
    <w:p>
      <w:pPr>
        <w:pStyle w:val="Style19"/>
        <w:keepNext w:val="0"/>
        <w:keepLines w:val="0"/>
        <w:widowControl w:val="0"/>
        <w:shd w:val="clear" w:color="auto" w:fill="auto"/>
        <w:bidi w:val="0"/>
        <w:spacing w:before="0" w:after="0"/>
        <w:ind w:left="2760" w:right="0" w:firstLine="20"/>
        <w:jc w:val="left"/>
      </w:pPr>
      <w:r>
        <w:rPr>
          <w:rStyle w:val="CharStyle20"/>
        </w:rPr>
        <w:t>Ačkoliv vysoký podíl obnovitelných zdrojů pokrývá velkou část poptávky po elektřině, v zimních měsících není schopný dostatečně vybilancovat výkonovou potřebu. Tím následně vzniká nutnost importu a tlak na marginální náklady v žebříčku zdrojů.</w:t>
      </w:r>
    </w:p>
    <w:p>
      <w:pPr>
        <w:pStyle w:val="Style19"/>
        <w:keepNext w:val="0"/>
        <w:keepLines w:val="0"/>
        <w:widowControl w:val="0"/>
        <w:shd w:val="clear" w:color="auto" w:fill="auto"/>
        <w:bidi w:val="0"/>
        <w:spacing w:before="0"/>
        <w:ind w:left="2760" w:right="0" w:firstLine="20"/>
        <w:jc w:val="left"/>
      </w:pPr>
      <w:r>
        <w:rPr>
          <w:rStyle w:val="CharStyle20"/>
        </w:rPr>
        <w:t>Z DSR se stává závěrný zdroj v hodinách s vysokou spotřebou, což indikuje nedostatek inframarginálních zdrojů. Vysoká míra importu naráží na dostupnost výrobních kapacit v zahraničí a je realizovaná i s pomocí DSR. I proto je potřeba vytvořit podmínky pro energetické úspory, následné dozdrojování v České republice včetně optimálního rozvoje DSR. V případě aktivace DSR je třeba zdůraznit, že se jedná o opatření na straně spotřeby:</w:t>
      </w:r>
    </w:p>
    <w:p>
      <w:pPr>
        <w:pStyle w:val="Style19"/>
        <w:keepNext w:val="0"/>
        <w:keepLines w:val="0"/>
        <w:widowControl w:val="0"/>
        <w:numPr>
          <w:ilvl w:val="0"/>
          <w:numId w:val="47"/>
        </w:numPr>
        <w:shd w:val="clear" w:color="auto" w:fill="auto"/>
        <w:tabs>
          <w:tab w:pos="3050" w:val="left"/>
        </w:tabs>
        <w:bidi w:val="0"/>
        <w:spacing w:before="0"/>
        <w:ind w:left="2760" w:right="0" w:firstLine="20"/>
        <w:jc w:val="left"/>
      </w:pPr>
      <w:r>
        <w:rPr>
          <w:rStyle w:val="CharStyle20"/>
        </w:rPr>
        <w:t>Explicitní - bez náhrady</w:t>
      </w:r>
    </w:p>
    <w:p>
      <w:pPr>
        <w:pStyle w:val="Style19"/>
        <w:keepNext w:val="0"/>
        <w:keepLines w:val="0"/>
        <w:widowControl w:val="0"/>
        <w:numPr>
          <w:ilvl w:val="0"/>
          <w:numId w:val="47"/>
        </w:numPr>
        <w:shd w:val="clear" w:color="auto" w:fill="auto"/>
        <w:tabs>
          <w:tab w:pos="3064" w:val="left"/>
        </w:tabs>
        <w:bidi w:val="0"/>
        <w:spacing w:before="0"/>
        <w:ind w:left="2760" w:right="0" w:firstLine="20"/>
        <w:jc w:val="left"/>
      </w:pPr>
      <w:r>
        <w:rPr>
          <w:rStyle w:val="CharStyle20"/>
        </w:rPr>
        <w:t>Implicitní - s časově odloženou spotřebou</w:t>
      </w:r>
    </w:p>
    <w:p>
      <w:pPr>
        <w:pStyle w:val="Style19"/>
        <w:keepNext w:val="0"/>
        <w:keepLines w:val="0"/>
        <w:widowControl w:val="0"/>
        <w:numPr>
          <w:ilvl w:val="0"/>
          <w:numId w:val="47"/>
        </w:numPr>
        <w:shd w:val="clear" w:color="auto" w:fill="auto"/>
        <w:tabs>
          <w:tab w:pos="3010" w:val="left"/>
        </w:tabs>
        <w:bidi w:val="0"/>
        <w:spacing w:before="0" w:after="100" w:line="300" w:lineRule="auto"/>
        <w:ind w:left="2760" w:right="0" w:firstLine="20"/>
        <w:jc w:val="left"/>
      </w:pPr>
      <w:r>
        <w:rPr>
          <w:rStyle w:val="CharStyle20"/>
        </w:rPr>
        <w:t>obou případech se ale jedná o potenciálně velmi nákladné řešení, které ukazuje na nedostatečnou zdrojovou základnu v cílových letech z pohledu České republiky (celoevropská aktivace explicitního DSR ve scénářích v roce 2040 dosahuje 8 až 11 TWh).</w:t>
      </w:r>
    </w:p>
    <w:p>
      <w:pPr>
        <w:pStyle w:val="Style44"/>
        <w:keepNext w:val="0"/>
        <w:keepLines w:val="0"/>
        <w:widowControl w:val="0"/>
        <w:shd w:val="clear" w:color="auto" w:fill="auto"/>
        <w:bidi w:val="0"/>
        <w:spacing w:before="0" w:after="0" w:line="240" w:lineRule="auto"/>
        <w:ind w:left="7632" w:right="0" w:firstLine="0"/>
        <w:jc w:val="left"/>
        <w:rPr>
          <w:sz w:val="38"/>
          <w:szCs w:val="38"/>
        </w:rPr>
      </w:pPr>
      <w:r>
        <w:rPr>
          <w:rStyle w:val="CharStyle45"/>
          <w:rFonts w:ascii="Courier New" w:eastAsia="Courier New" w:hAnsi="Courier New" w:cs="Courier New"/>
          <w:color w:val="B7B8B8"/>
          <w:sz w:val="38"/>
          <w:szCs w:val="38"/>
        </w:rPr>
        <w:t>I</w:t>
      </w:r>
    </w:p>
    <w:tbl>
      <w:tblPr>
        <w:tblOverlap w:val="never"/>
        <w:jc w:val="center"/>
        <w:tblLayout w:type="fixed"/>
      </w:tblPr>
      <w:tblGrid>
        <w:gridCol w:w="1488"/>
        <w:gridCol w:w="970"/>
        <w:gridCol w:w="955"/>
        <w:gridCol w:w="768"/>
        <w:gridCol w:w="211"/>
        <w:gridCol w:w="2242"/>
        <w:gridCol w:w="965"/>
        <w:gridCol w:w="970"/>
        <w:gridCol w:w="970"/>
        <w:gridCol w:w="562"/>
      </w:tblGrid>
      <w:tr>
        <w:trPr>
          <w:trHeight w:val="1099" w:hRule="exact"/>
        </w:trPr>
        <w:tc>
          <w:tcPr>
            <w:gridSpan w:val="10"/>
            <w:tcBorders/>
            <w:shd w:val="clear" w:color="auto" w:fill="auto"/>
            <w:vAlign w:val="bottom"/>
          </w:tcPr>
          <w:p>
            <w:pPr>
              <w:pStyle w:val="Style5"/>
              <w:keepNext w:val="0"/>
              <w:keepLines w:val="0"/>
              <w:widowControl w:val="0"/>
              <w:shd w:val="clear" w:color="auto" w:fill="auto"/>
              <w:bidi w:val="0"/>
              <w:spacing w:before="0" w:after="360" w:line="240" w:lineRule="auto"/>
              <w:ind w:left="0" w:right="0" w:firstLine="160"/>
              <w:jc w:val="left"/>
            </w:pPr>
            <w:r>
              <w:rPr>
                <w:rStyle w:val="CharStyle6"/>
                <w:b/>
                <w:bCs/>
                <w:color w:val="006AB4"/>
              </w:rPr>
              <w:t>Obr. 6.50 Srovnání měrných Totexů jednotlivých scénářů se simulovanými tržními cenami</w:t>
            </w:r>
          </w:p>
          <w:p>
            <w:pPr>
              <w:pStyle w:val="Style5"/>
              <w:keepNext w:val="0"/>
              <w:keepLines w:val="0"/>
              <w:widowControl w:val="0"/>
              <w:shd w:val="clear" w:color="auto" w:fill="auto"/>
              <w:tabs>
                <w:tab w:pos="7381" w:val="left"/>
              </w:tabs>
              <w:bidi w:val="0"/>
              <w:spacing w:before="0" w:after="0" w:line="240" w:lineRule="auto"/>
              <w:ind w:left="2240" w:right="0" w:firstLine="0"/>
              <w:jc w:val="left"/>
              <w:rPr>
                <w:sz w:val="13"/>
                <w:szCs w:val="13"/>
              </w:rPr>
            </w:pPr>
            <w:r>
              <w:rPr>
                <w:rStyle w:val="CharStyle6"/>
                <w:b/>
                <w:bCs/>
                <w:color w:val="006AB4"/>
                <w:sz w:val="13"/>
                <w:szCs w:val="13"/>
              </w:rPr>
              <w:t>Respondentní scénář</w:t>
              <w:tab/>
              <w:t>Konzervativní scénář</w:t>
            </w:r>
          </w:p>
          <w:p>
            <w:pPr>
              <w:pStyle w:val="Style5"/>
              <w:keepNext w:val="0"/>
              <w:keepLines w:val="0"/>
              <w:widowControl w:val="0"/>
              <w:shd w:val="clear" w:color="auto" w:fill="auto"/>
              <w:tabs>
                <w:tab w:pos="5746" w:val="left"/>
              </w:tabs>
              <w:bidi w:val="0"/>
              <w:spacing w:before="0" w:after="0" w:line="240" w:lineRule="auto"/>
              <w:ind w:left="0" w:right="0" w:firstLine="600"/>
              <w:jc w:val="left"/>
              <w:rPr>
                <w:sz w:val="13"/>
                <w:szCs w:val="13"/>
              </w:rPr>
            </w:pPr>
            <w:r>
              <w:rPr>
                <w:rStyle w:val="CharStyle6"/>
                <w:b/>
                <w:bCs/>
                <w:color w:val="006AB4"/>
                <w:sz w:val="13"/>
                <w:szCs w:val="13"/>
              </w:rPr>
              <w:t>/i nnn</w:t>
              <w:tab/>
              <w:t>c nnn</w:t>
            </w:r>
          </w:p>
        </w:tc>
      </w:tr>
      <w:tr>
        <w:trPr>
          <w:trHeight w:val="336" w:hRule="exact"/>
        </w:trPr>
        <w:tc>
          <w:tcPr>
            <w:vMerge w:val="restart"/>
            <w:tcBorders>
              <w:top w:val="single" w:sz="4"/>
            </w:tcBorders>
            <w:shd w:val="clear" w:color="auto" w:fill="auto"/>
            <w:vAlign w:val="bottom"/>
          </w:tcPr>
          <w:p>
            <w:pPr>
              <w:pStyle w:val="Style5"/>
              <w:keepNext w:val="0"/>
              <w:keepLines w:val="0"/>
              <w:widowControl w:val="0"/>
              <w:shd w:val="clear" w:color="auto" w:fill="auto"/>
              <w:tabs>
                <w:tab w:pos="602" w:val="left"/>
                <w:tab w:pos="1312" w:val="left"/>
              </w:tabs>
              <w:bidi w:val="0"/>
              <w:spacing w:before="0" w:after="0" w:line="240" w:lineRule="auto"/>
              <w:ind w:left="0" w:right="0" w:firstLine="160"/>
              <w:jc w:val="left"/>
              <w:rPr>
                <w:sz w:val="13"/>
                <w:szCs w:val="13"/>
              </w:rPr>
            </w:pPr>
            <w:r>
              <w:rPr>
                <w:rStyle w:val="CharStyle6"/>
                <w:b/>
                <w:bCs/>
                <w:color w:val="006AB4"/>
                <w:sz w:val="13"/>
                <w:szCs w:val="13"/>
              </w:rPr>
              <w:t>-c</w:t>
              <w:tab/>
              <w:t>3 nnn</w:t>
              <w:tab/>
              <w:t>2</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leader="hyphen" w:pos="797" w:val="left"/>
              </w:tabs>
              <w:bidi w:val="0"/>
              <w:spacing w:before="0" w:after="0" w:line="240" w:lineRule="auto"/>
              <w:ind w:left="0" w:right="0" w:firstLine="0"/>
              <w:jc w:val="left"/>
              <w:rPr>
                <w:sz w:val="12"/>
                <w:szCs w:val="12"/>
              </w:rPr>
            </w:pPr>
            <w:r>
              <w:rPr>
                <w:rStyle w:val="CharStyle6"/>
                <w:b/>
                <w:bCs/>
                <w:color w:val="006AB4"/>
                <w:sz w:val="12"/>
                <w:szCs w:val="12"/>
              </w:rPr>
              <w:t>30</w:t>
              <w:tab/>
            </w:r>
          </w:p>
        </w:tc>
        <w:tc>
          <w:tcPr>
            <w:vMerge w:val="restart"/>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00"/>
              <w:jc w:val="left"/>
              <w:rPr>
                <w:sz w:val="12"/>
                <w:szCs w:val="12"/>
              </w:rPr>
            </w:pPr>
            <w:r>
              <w:rPr>
                <w:rStyle w:val="CharStyle6"/>
                <w:b/>
                <w:bCs/>
                <w:color w:val="006AB4"/>
                <w:sz w:val="12"/>
                <w:szCs w:val="12"/>
              </w:rPr>
              <w:t>2</w:t>
            </w:r>
          </w:p>
        </w:tc>
        <w:tc>
          <w:tcPr>
            <w:gridSpan w:val="2"/>
            <w:vMerge w:val="restart"/>
            <w:tcBorders>
              <w:top w:val="single" w:sz="4"/>
              <w:left w:val="single" w:sz="4"/>
            </w:tcBorders>
            <w:shd w:val="clear" w:color="auto" w:fill="auto"/>
            <w:vAlign w:val="center"/>
          </w:tcPr>
          <w:p>
            <w:pPr>
              <w:pStyle w:val="Style5"/>
              <w:keepNext w:val="0"/>
              <w:keepLines w:val="0"/>
              <w:widowControl w:val="0"/>
              <w:shd w:val="clear" w:color="auto" w:fill="auto"/>
              <w:tabs>
                <w:tab w:pos="782" w:val="left"/>
              </w:tabs>
              <w:bidi w:val="0"/>
              <w:spacing w:before="0" w:after="0" w:line="240" w:lineRule="auto"/>
              <w:ind w:left="0" w:right="0" w:firstLine="0"/>
              <w:jc w:val="left"/>
              <w:rPr>
                <w:sz w:val="8"/>
                <w:szCs w:val="8"/>
              </w:rPr>
            </w:pPr>
            <w:r>
              <w:rPr>
                <w:rStyle w:val="CharStyle6"/>
                <w:b/>
                <w:bCs/>
                <w:color w:val="006AB4"/>
                <w:sz w:val="12"/>
                <w:szCs w:val="12"/>
              </w:rPr>
              <w:t>80</w:t>
              <w:tab/>
            </w:r>
            <w:r>
              <w:rPr>
                <w:rStyle w:val="CharStyle6"/>
                <w:b/>
                <w:bCs/>
                <w:color w:val="006AB4"/>
                <w:sz w:val="8"/>
                <w:szCs w:val="8"/>
                <w:vertAlign w:val="superscript"/>
              </w:rPr>
              <w:t>3</w:t>
            </w:r>
          </w:p>
        </w:tc>
        <w:tc>
          <w:tcPr>
            <w:tcBorders>
              <w:top w:val="single" w:sz="4"/>
              <w:left w:val="single" w:sz="4"/>
            </w:tcBorders>
            <w:shd w:val="clear" w:color="auto" w:fill="auto"/>
            <w:vAlign w:val="bottom"/>
          </w:tcPr>
          <w:p>
            <w:pPr>
              <w:pStyle w:val="Style5"/>
              <w:keepNext w:val="0"/>
              <w:keepLines w:val="0"/>
              <w:widowControl w:val="0"/>
              <w:shd w:val="clear" w:color="auto" w:fill="auto"/>
              <w:tabs>
                <w:tab w:pos="1339" w:val="left"/>
              </w:tabs>
              <w:bidi w:val="0"/>
              <w:spacing w:before="0" w:after="0" w:line="226" w:lineRule="auto"/>
              <w:ind w:left="880" w:right="0" w:hanging="880"/>
              <w:jc w:val="left"/>
              <w:rPr>
                <w:sz w:val="12"/>
                <w:szCs w:val="12"/>
              </w:rPr>
            </w:pPr>
            <w:r>
              <w:rPr>
                <w:rStyle w:val="CharStyle6"/>
                <w:b/>
                <w:bCs/>
                <w:color w:val="006AB4"/>
                <w:sz w:val="12"/>
                <w:szCs w:val="12"/>
              </w:rPr>
              <w:t>20 o</w:t>
              <w:tab/>
              <w:t>4 000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18" w:lineRule="auto"/>
              <w:ind w:left="0" w:right="0" w:firstLine="0"/>
              <w:jc w:val="right"/>
              <w:rPr>
                <w:sz w:val="12"/>
                <w:szCs w:val="12"/>
              </w:rPr>
            </w:pPr>
            <w:r>
              <w:rPr>
                <w:rStyle w:val="CharStyle6"/>
                <w:b/>
                <w:bCs/>
                <w:color w:val="006AB4"/>
                <w:sz w:val="12"/>
                <w:szCs w:val="12"/>
              </w:rPr>
              <w:t>4 1 *</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20</w:t>
            </w:r>
          </w:p>
        </w:tc>
      </w:tr>
      <w:tr>
        <w:trPr>
          <w:trHeight w:val="86" w:hRule="exact"/>
        </w:trPr>
        <w:tc>
          <w:tcPr>
            <w:vMerge/>
            <w:tcBorders/>
            <w:shd w:val="clear" w:color="auto" w:fill="auto"/>
            <w:vAlign w:val="bottom"/>
          </w:tcPr>
          <w:p>
            <w:pPr/>
          </w:p>
        </w:tc>
        <w:tc>
          <w:tcPr>
            <w:vMerge/>
            <w:tcBorders>
              <w:left w:val="single" w:sz="4"/>
            </w:tcBorders>
            <w:shd w:val="clear" w:color="auto" w:fill="auto"/>
            <w:vAlign w:val="bottom"/>
          </w:tcPr>
          <w:p>
            <w:pPr/>
          </w:p>
        </w:tc>
        <w:tc>
          <w:tcPr>
            <w:vMerge/>
            <w:tcBorders>
              <w:left w:val="single" w:sz="4"/>
            </w:tcBorders>
            <w:shd w:val="clear" w:color="auto" w:fill="auto"/>
            <w:vAlign w:val="center"/>
          </w:tcPr>
          <w:p>
            <w:pPr/>
          </w:p>
        </w:tc>
        <w:tc>
          <w:tcPr>
            <w:gridSpan w:val="2"/>
            <w:vMerge/>
            <w:tcBorders>
              <w:left w:val="single" w:sz="4"/>
            </w:tcBorders>
            <w:shd w:val="clear" w:color="auto" w:fill="auto"/>
            <w:vAlign w:val="center"/>
          </w:tcPr>
          <w:p>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pos="782" w:val="left"/>
              </w:tabs>
              <w:bidi w:val="0"/>
              <w:spacing w:before="0" w:after="0" w:line="240" w:lineRule="auto"/>
              <w:ind w:left="0" w:right="0" w:firstLine="0"/>
              <w:jc w:val="both"/>
              <w:rPr>
                <w:sz w:val="12"/>
                <w:szCs w:val="12"/>
              </w:rPr>
            </w:pPr>
            <w:r>
              <w:rPr>
                <w:rStyle w:val="CharStyle6"/>
                <w:b/>
                <w:bCs/>
                <w:color w:val="006AB4"/>
                <w:sz w:val="12"/>
                <w:szCs w:val="12"/>
              </w:rPr>
              <w:t>30</w:t>
              <w:tab/>
            </w:r>
            <w:r>
              <w:rPr>
                <w:rStyle w:val="CharStyle6"/>
                <w:b/>
                <w:bCs/>
                <w:color w:val="006AB4"/>
                <w:sz w:val="12"/>
                <w:szCs w:val="12"/>
                <w:vertAlign w:val="subscript"/>
              </w:rPr>
              <w:t>2</w:t>
            </w:r>
          </w:p>
        </w:tc>
        <w:tc>
          <w:tcPr>
            <w:vMerge w:val="restart"/>
            <w:tcBorders>
              <w:top w:val="single" w:sz="4"/>
              <w:left w:val="single" w:sz="4"/>
            </w:tcBorders>
            <w:shd w:val="clear" w:color="auto" w:fill="auto"/>
            <w:vAlign w:val="top"/>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192" w:lineRule="auto"/>
              <w:ind w:left="0" w:right="0" w:firstLine="0"/>
              <w:jc w:val="both"/>
              <w:rPr>
                <w:sz w:val="12"/>
                <w:szCs w:val="12"/>
              </w:rPr>
            </w:pPr>
            <w:r>
              <w:rPr>
                <w:rStyle w:val="CharStyle6"/>
                <w:b/>
                <w:bCs/>
                <w:color w:val="006AB4"/>
                <w:sz w:val="12"/>
                <w:szCs w:val="12"/>
              </w:rPr>
              <w:t>20 *</w:t>
            </w:r>
          </w:p>
        </w:tc>
        <w:tc>
          <w:tcPr>
            <w:vMerge w:val="restart"/>
            <w:tcBorders>
              <w:top w:val="single" w:sz="4"/>
              <w:left w:val="single" w:sz="4"/>
            </w:tcBorders>
            <w:shd w:val="clear" w:color="auto" w:fill="auto"/>
            <w:vAlign w:val="top"/>
          </w:tcPr>
          <w:p>
            <w:pPr>
              <w:widowControl w:val="0"/>
              <w:rPr>
                <w:sz w:val="10"/>
                <w:szCs w:val="10"/>
              </w:rPr>
            </w:pPr>
          </w:p>
        </w:tc>
      </w:tr>
      <w:tr>
        <w:trPr>
          <w:trHeight w:val="254" w:hRule="exact"/>
        </w:trPr>
        <w:tc>
          <w:tcPr>
            <w:vMerge w:val="restart"/>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rPr>
                <w:sz w:val="12"/>
                <w:szCs w:val="12"/>
              </w:rPr>
            </w:pPr>
            <w:r>
              <w:rPr>
                <w:rStyle w:val="CharStyle6"/>
                <w:b/>
                <w:bCs/>
                <w:color w:val="006AB4"/>
                <w:sz w:val="12"/>
                <w:szCs w:val="12"/>
              </w:rPr>
              <w:t>s</w:t>
            </w:r>
          </w:p>
          <w:p>
            <w:pPr>
              <w:pStyle w:val="Style5"/>
              <w:keepNext w:val="0"/>
              <w:keepLines w:val="0"/>
              <w:widowControl w:val="0"/>
              <w:shd w:val="clear" w:color="auto" w:fill="auto"/>
              <w:bidi w:val="0"/>
              <w:spacing w:before="0" w:after="0" w:line="240" w:lineRule="auto"/>
              <w:ind w:left="0" w:right="0" w:firstLine="600"/>
              <w:jc w:val="left"/>
              <w:rPr>
                <w:sz w:val="12"/>
                <w:szCs w:val="12"/>
              </w:rPr>
            </w:pPr>
            <w:r>
              <w:rPr>
                <w:rStyle w:val="CharStyle6"/>
                <w:b/>
                <w:bCs/>
                <w:i/>
                <w:iCs/>
                <w:color w:val="006AB4"/>
                <w:sz w:val="12"/>
                <w:szCs w:val="12"/>
              </w:rPr>
              <w:t>3</w:t>
            </w:r>
            <w:r>
              <w:rPr>
                <w:rStyle w:val="CharStyle6"/>
                <w:b/>
                <w:bCs/>
                <w:color w:val="006AB4"/>
                <w:sz w:val="12"/>
                <w:szCs w:val="12"/>
              </w:rPr>
              <w:t xml:space="preserve"> nnn</w:t>
            </w:r>
          </w:p>
        </w:tc>
        <w:tc>
          <w:tcPr>
            <w:vMerge w:val="restart"/>
            <w:tcBorders>
              <w:top w:val="single" w:sz="4"/>
              <w:left w:val="single" w:sz="4"/>
            </w:tcBorders>
            <w:shd w:val="clear" w:color="auto" w:fill="auto"/>
            <w:vAlign w:val="top"/>
          </w:tcPr>
          <w:p>
            <w:pPr>
              <w:pStyle w:val="Style5"/>
              <w:keepNext w:val="0"/>
              <w:keepLines w:val="0"/>
              <w:widowControl w:val="0"/>
              <w:shd w:val="clear" w:color="auto" w:fill="auto"/>
              <w:tabs>
                <w:tab w:pos="787" w:val="left"/>
              </w:tabs>
              <w:bidi w:val="0"/>
              <w:spacing w:before="0" w:after="0" w:line="240" w:lineRule="auto"/>
              <w:ind w:left="0" w:right="0" w:firstLine="0"/>
              <w:jc w:val="left"/>
              <w:rPr>
                <w:sz w:val="12"/>
                <w:szCs w:val="12"/>
              </w:rPr>
            </w:pPr>
            <w:r>
              <w:rPr>
                <w:rStyle w:val="CharStyle6"/>
                <w:b/>
                <w:bCs/>
                <w:color w:val="006AB4"/>
                <w:sz w:val="8"/>
                <w:szCs w:val="8"/>
                <w:vertAlign w:val="superscript"/>
              </w:rPr>
              <w:t>30</w:t>
            </w:r>
            <w:r>
              <w:rPr>
                <w:rStyle w:val="CharStyle6"/>
                <w:b/>
                <w:bCs/>
                <w:color w:val="006AB4"/>
                <w:sz w:val="8"/>
                <w:szCs w:val="8"/>
              </w:rPr>
              <w:tab/>
            </w:r>
            <w:r>
              <w:rPr>
                <w:rStyle w:val="CharStyle6"/>
                <w:b/>
                <w:bCs/>
                <w:color w:val="006AB4"/>
                <w:sz w:val="12"/>
                <w:szCs w:val="12"/>
              </w:rPr>
              <w:t>2 4</w:t>
            </w:r>
          </w:p>
        </w:tc>
        <w:tc>
          <w:tcPr>
            <w:vMerge w:val="restart"/>
            <w:tcBorders>
              <w:top w:val="single" w:sz="4"/>
              <w:left w:val="single" w:sz="4"/>
            </w:tcBorders>
            <w:shd w:val="clear" w:color="auto" w:fill="auto"/>
            <w:vAlign w:val="top"/>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P90</w:t>
            </w:r>
          </w:p>
        </w:tc>
        <w:tc>
          <w:tcPr>
            <w:gridSpan w:val="2"/>
            <w:vMerge w:val="restart"/>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tcBorders>
              <w:left w:val="single" w:sz="4"/>
            </w:tcBorders>
            <w:shd w:val="clear" w:color="auto" w:fill="auto"/>
            <w:vAlign w:val="bottom"/>
          </w:tcPr>
          <w:p>
            <w:pPr/>
          </w:p>
        </w:tc>
        <w:tc>
          <w:tcPr>
            <w:vMerge/>
            <w:tcBorders>
              <w:left w:val="single" w:sz="4"/>
            </w:tcBorders>
            <w:shd w:val="clear" w:color="auto" w:fill="auto"/>
            <w:vAlign w:val="top"/>
          </w:tcPr>
          <w:p>
            <w:pPr/>
          </w:p>
        </w:tc>
        <w:tc>
          <w:tcPr>
            <w:vMerge/>
            <w:tcBorders>
              <w:left w:val="single" w:sz="4"/>
            </w:tcBorders>
            <w:shd w:val="clear" w:color="auto" w:fill="auto"/>
            <w:vAlign w:val="bottom"/>
          </w:tcPr>
          <w:p>
            <w:pPr/>
          </w:p>
        </w:tc>
        <w:tc>
          <w:tcPr>
            <w:vMerge/>
            <w:tcBorders>
              <w:left w:val="single" w:sz="4"/>
            </w:tcBorders>
            <w:shd w:val="clear" w:color="auto" w:fill="auto"/>
            <w:vAlign w:val="top"/>
          </w:tcPr>
          <w:p>
            <w:pPr/>
          </w:p>
        </w:tc>
      </w:tr>
      <w:tr>
        <w:trPr>
          <w:trHeight w:val="168" w:hRule="exact"/>
        </w:trPr>
        <w:tc>
          <w:tcPr>
            <w:vMerge/>
            <w:tcBorders/>
            <w:shd w:val="clear" w:color="auto" w:fill="auto"/>
            <w:vAlign w:val="bottom"/>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gridSpan w:val="2"/>
            <w:vMerge/>
            <w:tcBorders>
              <w:left w:val="single" w:sz="4"/>
            </w:tcBorders>
            <w:shd w:val="clear" w:color="auto" w:fill="auto"/>
            <w:vAlign w:val="top"/>
          </w:tcPr>
          <w:p>
            <w:pPr/>
          </w:p>
        </w:tc>
        <w:tc>
          <w:tcPr>
            <w:vMerge w:val="restart"/>
            <w:tcBorders>
              <w:top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880"/>
              <w:jc w:val="left"/>
              <w:rPr>
                <w:sz w:val="12"/>
                <w:szCs w:val="12"/>
              </w:rPr>
            </w:pPr>
            <w:r>
              <w:rPr>
                <w:rStyle w:val="CharStyle6"/>
                <w:b/>
                <w:bCs/>
                <w:color w:val="006AB4"/>
                <w:sz w:val="12"/>
                <w:szCs w:val="12"/>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5"/>
              <w:keepNext w:val="0"/>
              <w:keepLines w:val="0"/>
              <w:widowControl w:val="0"/>
              <w:shd w:val="clear" w:color="auto" w:fill="auto"/>
              <w:tabs>
                <w:tab w:pos="365" w:val="left"/>
              </w:tabs>
              <w:bidi w:val="0"/>
              <w:spacing w:before="0" w:after="0" w:line="240" w:lineRule="auto"/>
              <w:ind w:left="0" w:right="0" w:firstLine="0"/>
              <w:jc w:val="both"/>
              <w:rPr>
                <w:sz w:val="12"/>
                <w:szCs w:val="12"/>
              </w:rPr>
            </w:pPr>
            <w:r>
              <w:rPr>
                <w:rStyle w:val="CharStyle6"/>
                <w:b/>
                <w:bCs/>
                <w:color w:val="006AB4"/>
                <w:sz w:val="12"/>
                <w:szCs w:val="12"/>
              </w:rPr>
              <w:t>40</w:t>
              <w:tab/>
              <w:t>— „o -</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r>
      <w:tr>
        <w:trPr>
          <w:trHeight w:val="173" w:hRule="exact"/>
        </w:trPr>
        <w:tc>
          <w:tcPr>
            <w:vMerge w:val="restart"/>
            <w:tcBorders>
              <w:top w:val="single" w:sz="4"/>
            </w:tcBorders>
            <w:shd w:val="clear" w:color="auto" w:fill="auto"/>
            <w:vAlign w:val="top"/>
          </w:tcPr>
          <w:p>
            <w:pPr>
              <w:pStyle w:val="Style5"/>
              <w:keepNext w:val="0"/>
              <w:keepLines w:val="0"/>
              <w:widowControl w:val="0"/>
              <w:shd w:val="clear" w:color="auto" w:fill="auto"/>
              <w:bidi w:val="0"/>
              <w:spacing w:before="0" w:after="40" w:line="240" w:lineRule="auto"/>
              <w:ind w:left="0" w:right="0" w:firstLine="600"/>
              <w:jc w:val="left"/>
              <w:rPr>
                <w:sz w:val="13"/>
                <w:szCs w:val="13"/>
              </w:rPr>
            </w:pPr>
            <w:r>
              <w:rPr>
                <w:rStyle w:val="CharStyle6"/>
                <w:b/>
                <w:bCs/>
                <w:color w:val="006AB4"/>
                <w:sz w:val="13"/>
                <w:szCs w:val="13"/>
              </w:rPr>
              <w:t>2 000</w:t>
            </w:r>
          </w:p>
          <w:p>
            <w:pPr>
              <w:pStyle w:val="Style5"/>
              <w:keepNext w:val="0"/>
              <w:keepLines w:val="0"/>
              <w:widowControl w:val="0"/>
              <w:shd w:val="clear" w:color="auto" w:fill="auto"/>
              <w:bidi w:val="0"/>
              <w:spacing w:before="0" w:after="40" w:line="240" w:lineRule="auto"/>
              <w:ind w:left="0" w:right="0" w:firstLine="160"/>
              <w:jc w:val="left"/>
              <w:rPr>
                <w:sz w:val="13"/>
                <w:szCs w:val="13"/>
              </w:rPr>
            </w:pPr>
            <w:r>
              <w:rPr>
                <w:rStyle w:val="CharStyle6"/>
                <w:b/>
                <w:bCs/>
                <w:color w:val="006AB4"/>
                <w:sz w:val="13"/>
                <w:szCs w:val="13"/>
              </w:rPr>
              <w:t>05</w:t>
            </w:r>
          </w:p>
          <w:p>
            <w:pPr>
              <w:pStyle w:val="Style5"/>
              <w:keepNext w:val="0"/>
              <w:keepLines w:val="0"/>
              <w:widowControl w:val="0"/>
              <w:shd w:val="clear" w:color="auto" w:fill="auto"/>
              <w:tabs>
                <w:tab w:pos="573" w:val="left"/>
                <w:tab w:pos="1278" w:val="left"/>
              </w:tabs>
              <w:bidi w:val="0"/>
              <w:spacing w:before="0" w:after="40" w:line="240" w:lineRule="auto"/>
              <w:ind w:left="0" w:right="0" w:firstLine="160"/>
              <w:jc w:val="left"/>
              <w:rPr>
                <w:sz w:val="13"/>
                <w:szCs w:val="13"/>
              </w:rPr>
            </w:pPr>
            <w:r>
              <w:rPr>
                <w:rStyle w:val="CharStyle6"/>
                <w:b/>
                <w:bCs/>
                <w:color w:val="006AB4"/>
                <w:sz w:val="13"/>
                <w:szCs w:val="13"/>
              </w:rPr>
              <w:t>tu</w:t>
              <w:tab/>
              <w:t>i nnn</w:t>
              <w:tab/>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vMerge/>
            <w:tcBorders/>
            <w:shd w:val="clear" w:color="auto" w:fill="auto"/>
            <w:vAlign w:val="center"/>
          </w:tcPr>
          <w:p>
            <w:pPr/>
          </w:p>
        </w:tc>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r>
      <w:tr>
        <w:trPr>
          <w:trHeight w:val="158" w:hRule="exact"/>
        </w:trPr>
        <w:tc>
          <w:tcPr>
            <w:vMerge/>
            <w:tcBorders/>
            <w:shd w:val="clear" w:color="auto" w:fill="auto"/>
            <w:vAlign w:val="top"/>
          </w:tcPr>
          <w:p>
            <w:pP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pos="787" w:val="left"/>
              </w:tabs>
              <w:bidi w:val="0"/>
              <w:spacing w:before="0" w:after="0" w:line="240" w:lineRule="auto"/>
              <w:ind w:left="0" w:right="0" w:firstLine="0"/>
              <w:jc w:val="left"/>
              <w:rPr>
                <w:sz w:val="12"/>
                <w:szCs w:val="12"/>
              </w:rPr>
            </w:pPr>
            <w:r>
              <w:rPr>
                <w:rStyle w:val="CharStyle6"/>
                <w:b/>
                <w:bCs/>
                <w:color w:val="006AB4"/>
                <w:sz w:val="12"/>
                <w:szCs w:val="12"/>
              </w:rPr>
              <w:t>40</w:t>
              <w:tab/>
              <w:t>1 5</w:t>
            </w:r>
          </w:p>
        </w:tc>
        <w:tc>
          <w:tcPr>
            <w:tcBorders>
              <w:top w:val="single" w:sz="4"/>
              <w:left w:val="single" w:sz="4"/>
            </w:tcBorders>
            <w:shd w:val="clear" w:color="auto" w:fill="auto"/>
            <w:vAlign w:val="top"/>
          </w:tcPr>
          <w:p>
            <w:pPr>
              <w:widowControl w:val="0"/>
              <w:rPr>
                <w:sz w:val="10"/>
                <w:szCs w:val="10"/>
              </w:rPr>
            </w:pPr>
          </w:p>
        </w:tc>
        <w:tc>
          <w:tcPr>
            <w:vMerge w:val="restart"/>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82B5D8"/>
                <w:sz w:val="12"/>
                <w:szCs w:val="12"/>
              </w:rPr>
              <w:t xml:space="preserve">5 </w:t>
            </w:r>
            <w:r>
              <w:rPr>
                <w:rStyle w:val="CharStyle6"/>
                <w:b/>
                <w:bCs/>
                <w:color w:val="006AB4"/>
                <w:sz w:val="12"/>
                <w:szCs w:val="12"/>
              </w:rPr>
              <w:t>90</w:t>
            </w:r>
          </w:p>
        </w:tc>
        <w:tc>
          <w:tcPr>
            <w:vMerge w:val="restart"/>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1</w:t>
            </w:r>
          </w:p>
        </w:tc>
        <w:tc>
          <w:tcPr>
            <w:vMerge w:val="restart"/>
            <w:tcBorders>
              <w:top w:val="single" w:sz="4"/>
            </w:tcBorders>
            <w:shd w:val="clear" w:color="auto" w:fill="auto"/>
            <w:vAlign w:val="top"/>
          </w:tcPr>
          <w:p>
            <w:pPr>
              <w:pStyle w:val="Style5"/>
              <w:keepNext w:val="0"/>
              <w:keepLines w:val="0"/>
              <w:widowControl w:val="0"/>
              <w:shd w:val="clear" w:color="auto" w:fill="auto"/>
              <w:tabs>
                <w:tab w:pos="1336" w:val="left"/>
              </w:tabs>
              <w:bidi w:val="0"/>
              <w:spacing w:before="0" w:after="0" w:line="240" w:lineRule="auto"/>
              <w:ind w:left="0" w:right="0" w:firstLine="880"/>
              <w:jc w:val="left"/>
              <w:rPr>
                <w:sz w:val="12"/>
                <w:szCs w:val="12"/>
              </w:rPr>
            </w:pPr>
            <w:r>
              <w:rPr>
                <w:rStyle w:val="CharStyle6"/>
                <w:b/>
                <w:bCs/>
                <w:color w:val="006AB4"/>
                <w:sz w:val="12"/>
                <w:szCs w:val="12"/>
              </w:rPr>
              <w:t>05</w:t>
              <w:tab/>
            </w:r>
            <w:r>
              <w:rPr>
                <w:rStyle w:val="CharStyle6"/>
                <w:b/>
                <w:bCs/>
                <w:color w:val="006AB4"/>
                <w:sz w:val="12"/>
                <w:szCs w:val="12"/>
                <w:vertAlign w:val="superscript"/>
              </w:rPr>
              <w:t>2 000</w:t>
            </w:r>
          </w:p>
          <w:p>
            <w:pPr>
              <w:pStyle w:val="Style5"/>
              <w:keepNext w:val="0"/>
              <w:keepLines w:val="0"/>
              <w:widowControl w:val="0"/>
              <w:shd w:val="clear" w:color="auto" w:fill="auto"/>
              <w:tabs>
                <w:tab w:pos="888" w:val="left"/>
              </w:tabs>
              <w:bidi w:val="0"/>
              <w:spacing w:before="0" w:after="0" w:line="240" w:lineRule="auto"/>
              <w:ind w:left="0" w:right="0" w:firstLine="0"/>
              <w:jc w:val="left"/>
              <w:rPr>
                <w:sz w:val="12"/>
                <w:szCs w:val="12"/>
              </w:rPr>
            </w:pPr>
            <w:r>
              <w:rPr>
                <w:rStyle w:val="CharStyle6"/>
                <w:b/>
                <w:bCs/>
                <w:color w:val="006AB4"/>
                <w:sz w:val="12"/>
                <w:szCs w:val="12"/>
                <w:vertAlign w:val="superscript"/>
              </w:rPr>
              <w:t>20</w:t>
            </w:r>
            <w:r>
              <w:rPr>
                <w:rStyle w:val="CharStyle6"/>
                <w:b/>
                <w:bCs/>
                <w:color w:val="006AB4"/>
                <w:sz w:val="12"/>
                <w:szCs w:val="12"/>
              </w:rPr>
              <w:tab/>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70</w:t>
            </w:r>
          </w:p>
        </w:tc>
      </w:tr>
      <w:tr>
        <w:trPr>
          <w:trHeight w:val="86" w:hRule="exact"/>
        </w:trPr>
        <w:tc>
          <w:tcPr>
            <w:vMerge/>
            <w:tcBorders/>
            <w:shd w:val="clear" w:color="auto" w:fill="auto"/>
            <w:vAlign w:val="top"/>
          </w:tcPr>
          <w:p>
            <w:pPr/>
          </w:p>
        </w:tc>
        <w:tc>
          <w:tcPr>
            <w:vMerge/>
            <w:tcBorders>
              <w:left w:val="single" w:sz="4"/>
            </w:tcBorders>
            <w:shd w:val="clear" w:color="auto" w:fill="auto"/>
            <w:vAlign w:val="bottom"/>
          </w:tcPr>
          <w:p>
            <w:pPr/>
          </w:p>
        </w:tc>
        <w:tc>
          <w:tcPr>
            <w:tcBorders>
              <w:left w:val="single" w:sz="4"/>
            </w:tcBorders>
            <w:shd w:val="clear" w:color="auto" w:fill="auto"/>
            <w:vAlign w:val="top"/>
          </w:tcPr>
          <w:p>
            <w:pPr>
              <w:pStyle w:val="Style5"/>
              <w:keepNext w:val="0"/>
              <w:keepLines w:val="0"/>
              <w:widowControl w:val="0"/>
              <w:shd w:val="clear" w:color="auto" w:fill="auto"/>
              <w:tabs>
                <w:tab w:pos="802" w:val="left"/>
              </w:tabs>
              <w:bidi w:val="0"/>
              <w:spacing w:before="0" w:after="0" w:line="240" w:lineRule="auto"/>
              <w:ind w:left="0" w:right="0" w:firstLine="0"/>
              <w:jc w:val="left"/>
              <w:rPr>
                <w:sz w:val="12"/>
                <w:szCs w:val="12"/>
              </w:rPr>
            </w:pPr>
            <w:r>
              <w:rPr>
                <w:rStyle w:val="CharStyle6"/>
                <w:b/>
                <w:bCs/>
                <w:color w:val="006AB4"/>
                <w:sz w:val="12"/>
                <w:szCs w:val="12"/>
              </w:rPr>
              <w:t>40</w:t>
              <w:tab/>
              <w:t>1</w:t>
            </w:r>
          </w:p>
        </w:tc>
        <w:tc>
          <w:tcPr>
            <w:vMerge/>
            <w:tcBorders/>
            <w:shd w:val="clear" w:color="auto" w:fill="auto"/>
            <w:vAlign w:val="bottom"/>
          </w:tcPr>
          <w:p>
            <w:pPr/>
          </w:p>
        </w:tc>
        <w:tc>
          <w:tcPr>
            <w:vMerge/>
            <w:tcBorders/>
            <w:shd w:val="clear" w:color="auto" w:fill="auto"/>
            <w:vAlign w:val="bottom"/>
          </w:tcPr>
          <w:p>
            <w:pPr/>
          </w:p>
        </w:tc>
        <w:tc>
          <w:tcPr>
            <w:vMerge/>
            <w:tcBorders/>
            <w:shd w:val="clear" w:color="auto" w:fill="auto"/>
            <w:vAlign w:val="top"/>
          </w:tcPr>
          <w:p>
            <w:pP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pos="782" w:val="left"/>
              </w:tabs>
              <w:bidi w:val="0"/>
              <w:spacing w:before="0" w:after="0" w:line="240" w:lineRule="auto"/>
              <w:ind w:left="0" w:right="0" w:firstLine="0"/>
              <w:jc w:val="left"/>
              <w:rPr>
                <w:sz w:val="12"/>
                <w:szCs w:val="12"/>
              </w:rPr>
            </w:pPr>
            <w:r>
              <w:rPr>
                <w:rStyle w:val="CharStyle6"/>
                <w:b/>
                <w:bCs/>
                <w:color w:val="006AB4"/>
                <w:sz w:val="12"/>
                <w:szCs w:val="12"/>
              </w:rPr>
              <w:t>40</w:t>
              <w:tab/>
              <w:t>1</w:t>
            </w:r>
          </w:p>
        </w:tc>
        <w:tc>
          <w:tcPr>
            <w:vMerge w:val="restart"/>
            <w:tcBorders>
              <w:top w:val="single" w:sz="4"/>
            </w:tcBorders>
            <w:shd w:val="clear" w:color="auto" w:fill="auto"/>
            <w:vAlign w:val="bottom"/>
          </w:tcPr>
          <w:p>
            <w:pPr>
              <w:pStyle w:val="Style5"/>
              <w:keepNext w:val="0"/>
              <w:keepLines w:val="0"/>
              <w:widowControl w:val="0"/>
              <w:shd w:val="clear" w:color="auto" w:fill="auto"/>
              <w:tabs>
                <w:tab w:pos="802" w:val="left"/>
              </w:tabs>
              <w:bidi w:val="0"/>
              <w:spacing w:before="0" w:after="0" w:line="240" w:lineRule="auto"/>
              <w:ind w:left="0" w:right="0" w:firstLine="0"/>
              <w:jc w:val="both"/>
              <w:rPr>
                <w:sz w:val="12"/>
                <w:szCs w:val="12"/>
              </w:rPr>
            </w:pPr>
            <w:r>
              <w:rPr>
                <w:rStyle w:val="CharStyle6"/>
                <w:b/>
                <w:bCs/>
                <w:color w:val="006AB4"/>
                <w:sz w:val="12"/>
                <w:szCs w:val="12"/>
              </w:rPr>
              <w:t>60</w:t>
              <w:tab/>
              <w:t>1</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pos="778" w:val="left"/>
              </w:tabs>
              <w:bidi w:val="0"/>
              <w:spacing w:before="0" w:after="0" w:line="240" w:lineRule="auto"/>
              <w:ind w:left="0" w:right="0" w:firstLine="0"/>
              <w:jc w:val="left"/>
              <w:rPr>
                <w:sz w:val="12"/>
                <w:szCs w:val="12"/>
              </w:rPr>
            </w:pPr>
            <w:r>
              <w:rPr>
                <w:rStyle w:val="CharStyle6"/>
                <w:b/>
                <w:bCs/>
                <w:color w:val="006AB4"/>
                <w:sz w:val="12"/>
                <w:szCs w:val="12"/>
              </w:rPr>
              <w:t>20</w:t>
              <w:tab/>
              <w:t>1</w:t>
            </w:r>
          </w:p>
        </w:tc>
        <w:tc>
          <w:tcPr>
            <w:vMerge/>
            <w:tcBorders>
              <w:left w:val="single" w:sz="4"/>
            </w:tcBorders>
            <w:shd w:val="clear" w:color="auto" w:fill="auto"/>
            <w:vAlign w:val="bottom"/>
          </w:tcPr>
          <w:p>
            <w:pPr/>
          </w:p>
        </w:tc>
      </w:tr>
      <w:tr>
        <w:trPr>
          <w:trHeight w:val="91" w:hRule="exact"/>
        </w:trPr>
        <w:tc>
          <w:tcPr>
            <w:vMerge w:val="restart"/>
            <w:tcBorders>
              <w:top w:val="single" w:sz="4"/>
            </w:tcBorders>
            <w:shd w:val="clear" w:color="auto" w:fill="auto"/>
            <w:vAlign w:val="top"/>
          </w:tcPr>
          <w:p>
            <w:pPr>
              <w:pStyle w:val="Style5"/>
              <w:keepNext w:val="0"/>
              <w:keepLines w:val="0"/>
              <w:widowControl w:val="0"/>
              <w:shd w:val="clear" w:color="auto" w:fill="auto"/>
              <w:tabs>
                <w:tab w:pos="602" w:val="left"/>
              </w:tabs>
              <w:bidi w:val="0"/>
              <w:spacing w:before="0" w:after="220" w:line="240" w:lineRule="auto"/>
              <w:ind w:left="0" w:right="0" w:firstLine="160"/>
              <w:jc w:val="left"/>
              <w:rPr>
                <w:sz w:val="13"/>
                <w:szCs w:val="13"/>
              </w:rPr>
            </w:pPr>
            <w:r>
              <w:rPr>
                <w:rStyle w:val="CharStyle6"/>
                <w:b/>
                <w:bCs/>
                <w:color w:val="006AB4"/>
                <w:sz w:val="13"/>
                <w:szCs w:val="13"/>
              </w:rPr>
              <w:t>U</w:t>
              <w:tab/>
              <w:t>1 000</w:t>
            </w:r>
          </w:p>
          <w:p>
            <w:pPr>
              <w:pStyle w:val="Style5"/>
              <w:keepNext w:val="0"/>
              <w:keepLines w:val="0"/>
              <w:widowControl w:val="0"/>
              <w:shd w:val="clear" w:color="auto" w:fill="auto"/>
              <w:bidi w:val="0"/>
              <w:spacing w:before="0" w:after="0" w:line="240" w:lineRule="auto"/>
              <w:ind w:left="0" w:right="0" w:firstLine="860"/>
              <w:jc w:val="left"/>
              <w:rPr>
                <w:sz w:val="13"/>
                <w:szCs w:val="13"/>
              </w:rPr>
            </w:pPr>
            <w:r>
              <w:rPr>
                <w:rStyle w:val="CharStyle6"/>
                <w:b/>
                <w:bCs/>
                <w:color w:val="006AB4"/>
                <w:sz w:val="13"/>
                <w:szCs w:val="13"/>
              </w:rPr>
              <w:t>n</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shd w:val="clear" w:color="auto" w:fill="auto"/>
            <w:vAlign w:val="top"/>
          </w:tcPr>
          <w:p>
            <w:pPr>
              <w:widowControl w:val="0"/>
              <w:rPr>
                <w:sz w:val="10"/>
                <w:szCs w:val="10"/>
              </w:rPr>
            </w:pPr>
          </w:p>
        </w:tc>
        <w:tc>
          <w:tcPr>
            <w:vMerge w:val="restart"/>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vMerge/>
            <w:tcBorders>
              <w:left w:val="single" w:sz="4"/>
            </w:tcBorders>
            <w:shd w:val="clear" w:color="auto" w:fill="auto"/>
            <w:vAlign w:val="bottom"/>
          </w:tcPr>
          <w:p>
            <w:pPr/>
          </w:p>
        </w:tc>
        <w:tc>
          <w:tcPr>
            <w:vMerge/>
            <w:tcBorders/>
            <w:shd w:val="clear" w:color="auto" w:fill="auto"/>
            <w:vAlign w:val="bottom"/>
          </w:tcPr>
          <w:p>
            <w:pPr/>
          </w:p>
        </w:tc>
        <w:tc>
          <w:tcPr>
            <w:vMerge/>
            <w:tcBorders>
              <w:left w:val="single" w:sz="4"/>
            </w:tcBorders>
            <w:shd w:val="clear" w:color="auto" w:fill="auto"/>
            <w:vAlign w:val="bottom"/>
          </w:tcPr>
          <w:p>
            <w:pPr/>
          </w:p>
        </w:tc>
        <w:tc>
          <w:tcPr>
            <w:vMerge/>
            <w:tcBorders>
              <w:left w:val="single" w:sz="4"/>
            </w:tcBorders>
            <w:shd w:val="clear" w:color="auto" w:fill="auto"/>
            <w:vAlign w:val="bottom"/>
          </w:tcPr>
          <w:p>
            <w:pPr/>
          </w:p>
        </w:tc>
      </w:tr>
      <w:tr>
        <w:trPr>
          <w:trHeight w:val="341" w:hRule="exact"/>
        </w:trPr>
        <w:tc>
          <w:tcPr>
            <w:vMerge/>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c>
          <w:tcPr>
            <w:tcBorders>
              <w:top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r>
      <w:tr>
        <w:trPr>
          <w:trHeight w:val="115" w:hRule="exact"/>
        </w:trPr>
        <w:tc>
          <w:tcPr>
            <w:gridSpan w:val="3"/>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6"/>
            <w:tcBorders>
              <w:top w:val="single" w:sz="4"/>
            </w:tcBorders>
            <w:shd w:val="clear" w:color="auto" w:fill="auto"/>
            <w:vAlign w:val="top"/>
          </w:tcPr>
          <w:p>
            <w:pPr>
              <w:widowControl w:val="0"/>
              <w:rPr>
                <w:sz w:val="10"/>
                <w:szCs w:val="10"/>
              </w:rPr>
            </w:pPr>
          </w:p>
        </w:tc>
      </w:tr>
      <w:tr>
        <w:trPr>
          <w:trHeight w:val="1032" w:hRule="exact"/>
        </w:trPr>
        <w:tc>
          <w:tcPr>
            <w:gridSpan w:val="4"/>
            <w:tcBorders/>
            <w:shd w:val="clear" w:color="auto" w:fill="auto"/>
            <w:vAlign w:val="top"/>
          </w:tcPr>
          <w:p>
            <w:pPr>
              <w:pStyle w:val="Style5"/>
              <w:keepNext w:val="0"/>
              <w:keepLines w:val="0"/>
              <w:widowControl w:val="0"/>
              <w:shd w:val="clear" w:color="auto" w:fill="auto"/>
              <w:tabs>
                <w:tab w:pos="2300" w:val="left"/>
                <w:tab w:pos="3279" w:val="left"/>
              </w:tabs>
              <w:bidi w:val="0"/>
              <w:spacing w:before="0" w:after="540" w:line="240" w:lineRule="auto"/>
              <w:ind w:left="1340" w:right="0" w:firstLine="0"/>
              <w:jc w:val="left"/>
              <w:rPr>
                <w:sz w:val="12"/>
                <w:szCs w:val="12"/>
              </w:rPr>
            </w:pPr>
            <w:r>
              <w:rPr>
                <w:rStyle w:val="CharStyle6"/>
                <w:b/>
                <w:bCs/>
                <w:color w:val="006AB4"/>
                <w:sz w:val="12"/>
                <w:szCs w:val="12"/>
              </w:rPr>
              <w:t>2025</w:t>
              <w:tab/>
              <w:t>2030</w:t>
              <w:tab/>
              <w:t>2035</w:t>
            </w:r>
          </w:p>
          <w:p>
            <w:pPr>
              <w:pStyle w:val="Style5"/>
              <w:keepNext w:val="0"/>
              <w:keepLines w:val="0"/>
              <w:widowControl w:val="0"/>
              <w:shd w:val="clear" w:color="auto" w:fill="auto"/>
              <w:bidi w:val="0"/>
              <w:spacing w:before="0" w:after="0" w:line="240" w:lineRule="auto"/>
              <w:ind w:left="2340" w:right="0" w:firstLine="0"/>
              <w:jc w:val="left"/>
              <w:rPr>
                <w:sz w:val="13"/>
                <w:szCs w:val="13"/>
              </w:rPr>
            </w:pPr>
            <w:r>
              <w:rPr>
                <w:rStyle w:val="CharStyle6"/>
                <w:b/>
                <w:bCs/>
                <w:color w:val="006AB4"/>
                <w:sz w:val="13"/>
                <w:szCs w:val="13"/>
              </w:rPr>
              <w:t>Progresivní scénář</w:t>
            </w:r>
          </w:p>
        </w:tc>
        <w:tc>
          <w:tcPr>
            <w:gridSpan w:val="6"/>
            <w:tcBorders/>
            <w:shd w:val="clear" w:color="auto" w:fill="auto"/>
            <w:vAlign w:val="top"/>
          </w:tcPr>
          <w:p>
            <w:pPr>
              <w:pStyle w:val="Style5"/>
              <w:keepNext w:val="0"/>
              <w:keepLines w:val="0"/>
              <w:widowControl w:val="0"/>
              <w:shd w:val="clear" w:color="auto" w:fill="auto"/>
              <w:tabs>
                <w:tab w:pos="2232" w:val="left"/>
                <w:tab w:pos="3197" w:val="left"/>
                <w:tab w:pos="4171" w:val="left"/>
                <w:tab w:pos="5136" w:val="left"/>
              </w:tabs>
              <w:bidi w:val="0"/>
              <w:spacing w:before="0" w:after="540" w:line="240" w:lineRule="auto"/>
              <w:ind w:left="0" w:right="0" w:firstLine="0"/>
              <w:jc w:val="left"/>
              <w:rPr>
                <w:sz w:val="12"/>
                <w:szCs w:val="12"/>
              </w:rPr>
            </w:pPr>
            <w:r>
              <w:rPr>
                <w:rStyle w:val="CharStyle6"/>
                <w:b/>
                <w:bCs/>
                <w:color w:val="006AB4"/>
                <w:sz w:val="12"/>
                <w:szCs w:val="12"/>
              </w:rPr>
              <w:t>2040</w:t>
              <w:tab/>
              <w:t>2025</w:t>
              <w:tab/>
              <w:t>2030</w:t>
              <w:tab/>
              <w:t>2035</w:t>
              <w:tab/>
              <w:t>2040</w:t>
            </w:r>
          </w:p>
          <w:p>
            <w:pPr>
              <w:pStyle w:val="Style5"/>
              <w:keepNext w:val="0"/>
              <w:keepLines w:val="0"/>
              <w:widowControl w:val="0"/>
              <w:shd w:val="clear" w:color="auto" w:fill="auto"/>
              <w:bidi w:val="0"/>
              <w:spacing w:before="0" w:after="0" w:line="240" w:lineRule="auto"/>
              <w:ind w:left="0" w:right="1240" w:firstLine="0"/>
              <w:jc w:val="right"/>
              <w:rPr>
                <w:sz w:val="13"/>
                <w:szCs w:val="13"/>
              </w:rPr>
            </w:pPr>
            <w:r>
              <w:rPr>
                <w:rStyle w:val="CharStyle6"/>
                <w:b/>
                <w:bCs/>
                <w:color w:val="006AB4"/>
                <w:sz w:val="13"/>
                <w:szCs w:val="13"/>
              </w:rPr>
              <w:t>Dekarbonizační scénář</w:t>
            </w:r>
          </w:p>
        </w:tc>
      </w:tr>
      <w:tr>
        <w:trPr>
          <w:trHeight w:val="283" w:hRule="exact"/>
        </w:trPr>
        <w:tc>
          <w:tcPr>
            <w:vMerge w:val="restart"/>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rPr>
                <w:sz w:val="12"/>
                <w:szCs w:val="12"/>
              </w:rPr>
            </w:pPr>
            <w:r>
              <w:rPr>
                <w:rStyle w:val="CharStyle6"/>
                <w:b/>
                <w:bCs/>
                <w:color w:val="006AB4"/>
                <w:sz w:val="12"/>
                <w:szCs w:val="12"/>
              </w:rPr>
              <w:t>o 4 000</w:t>
            </w:r>
          </w:p>
        </w:tc>
        <w:tc>
          <w:tcPr>
            <w:vMerge w:val="restart"/>
            <w:tcBorders>
              <w:top w:val="single" w:sz="4"/>
              <w:left w:val="single" w:sz="4"/>
            </w:tcBorders>
            <w:shd w:val="clear" w:color="auto" w:fill="auto"/>
            <w:vAlign w:val="top"/>
          </w:tcPr>
          <w:p>
            <w:pPr>
              <w:widowControl w:val="0"/>
              <w:rPr>
                <w:sz w:val="10"/>
                <w:szCs w:val="10"/>
              </w:rPr>
            </w:pPr>
          </w:p>
        </w:tc>
        <w:tc>
          <w:tcPr>
            <w:gridSpan w:val="3"/>
            <w:vMerge w:val="restart"/>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27A851"/>
                <w:sz w:val="12"/>
                <w:szCs w:val="12"/>
              </w:rPr>
              <w:t>"</w:t>
            </w:r>
            <w:r>
              <w:rPr>
                <w:rStyle w:val="CharStyle6"/>
                <w:b/>
                <w:bCs/>
                <w:color w:val="006AB4"/>
                <w:sz w:val="12"/>
                <w:szCs w:val="12"/>
                <w:vertAlign w:val="superscript"/>
              </w:rPr>
              <w:t>4</w:t>
            </w:r>
            <w:r>
              <w:rPr>
                <w:rStyle w:val="CharStyle6"/>
                <w:b/>
                <w:bCs/>
                <w:color w:val="27A851"/>
                <w:sz w:val="12"/>
                <w:szCs w:val="12"/>
              </w:rPr>
              <w:t>"</w:t>
            </w:r>
          </w:p>
        </w:tc>
        <w:tc>
          <w:tcPr>
            <w:tcBorders>
              <w:top w:val="single" w:sz="4"/>
              <w:left w:val="single" w:sz="4"/>
            </w:tcBorders>
            <w:shd w:val="clear" w:color="auto" w:fill="auto"/>
            <w:vAlign w:val="bottom"/>
          </w:tcPr>
          <w:p>
            <w:pPr>
              <w:pStyle w:val="Style5"/>
              <w:keepNext w:val="0"/>
              <w:keepLines w:val="0"/>
              <w:widowControl w:val="0"/>
              <w:shd w:val="clear" w:color="auto" w:fill="auto"/>
              <w:tabs>
                <w:tab w:pos="1282" w:val="left"/>
              </w:tabs>
              <w:bidi w:val="0"/>
              <w:spacing w:before="0" w:after="0" w:line="240" w:lineRule="auto"/>
              <w:ind w:left="0" w:right="0" w:firstLine="0"/>
              <w:jc w:val="left"/>
              <w:rPr>
                <w:sz w:val="12"/>
                <w:szCs w:val="12"/>
              </w:rPr>
            </w:pPr>
            <w:r>
              <w:rPr>
                <w:rStyle w:val="CharStyle6"/>
                <w:b/>
                <w:bCs/>
                <w:color w:val="006AB4"/>
                <w:sz w:val="12"/>
                <w:szCs w:val="12"/>
              </w:rPr>
              <w:t>40</w:t>
              <w:tab/>
              <w:t>m nnn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90</w:t>
            </w:r>
          </w:p>
        </w:tc>
        <w:tc>
          <w:tcPr>
            <w:tcBorders>
              <w:top w:val="single" w:sz="4"/>
              <w:left w:val="single" w:sz="4"/>
            </w:tcBorders>
            <w:shd w:val="clear" w:color="auto" w:fill="auto"/>
            <w:vAlign w:val="top"/>
          </w:tcPr>
          <w:p>
            <w:pPr>
              <w:widowControl w:val="0"/>
              <w:rPr>
                <w:sz w:val="10"/>
                <w:szCs w:val="10"/>
              </w:rPr>
            </w:pPr>
          </w:p>
        </w:tc>
      </w:tr>
      <w:tr>
        <w:trPr>
          <w:trHeight w:val="58" w:hRule="exact"/>
        </w:trPr>
        <w:tc>
          <w:tcPr>
            <w:vMerge/>
            <w:tcBorders/>
            <w:shd w:val="clear" w:color="auto" w:fill="auto"/>
            <w:vAlign w:val="bottom"/>
          </w:tcPr>
          <w:p>
            <w:pPr/>
          </w:p>
        </w:tc>
        <w:tc>
          <w:tcPr>
            <w:vMerge/>
            <w:tcBorders>
              <w:left w:val="single" w:sz="4"/>
            </w:tcBorders>
            <w:shd w:val="clear" w:color="auto" w:fill="auto"/>
            <w:vAlign w:val="top"/>
          </w:tcPr>
          <w:p>
            <w:pPr/>
          </w:p>
        </w:tc>
        <w:tc>
          <w:tcPr>
            <w:gridSpan w:val="3"/>
            <w:vMerge/>
            <w:tcBorders>
              <w:left w:val="single" w:sz="4"/>
            </w:tcBorders>
            <w:shd w:val="clear" w:color="auto" w:fill="auto"/>
            <w:vAlign w:val="center"/>
          </w:tcPr>
          <w:p>
            <w:pPr/>
          </w:p>
        </w:tc>
        <w:tc>
          <w:tcPr>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leader="hyphen" w:pos="389" w:val="left"/>
                <w:tab w:leader="hyphen" w:pos="970" w:val="left"/>
              </w:tabs>
              <w:bidi w:val="0"/>
              <w:spacing w:before="0" w:after="0" w:line="240" w:lineRule="auto"/>
              <w:ind w:left="0" w:right="0" w:firstLine="0"/>
              <w:jc w:val="right"/>
              <w:rPr>
                <w:sz w:val="12"/>
                <w:szCs w:val="12"/>
              </w:rPr>
            </w:pPr>
            <w:r>
              <w:rPr>
                <w:rStyle w:val="CharStyle6"/>
                <w:b/>
                <w:bCs/>
                <w:color w:val="006AB4"/>
                <w:sz w:val="12"/>
                <w:szCs w:val="12"/>
              </w:rPr>
              <w:t>&gt;30</w:t>
              <w:tab/>
            </w:r>
            <w:r>
              <w:rPr>
                <w:rStyle w:val="CharStyle6"/>
                <w:b/>
                <w:bCs/>
                <w:color w:val="FED851"/>
                <w:sz w:val="12"/>
                <w:szCs w:val="12"/>
              </w:rPr>
              <w:t>X</w:t>
            </w:r>
            <w:r>
              <w:rPr>
                <w:rStyle w:val="CharStyle6"/>
                <w:b/>
                <w:bCs/>
                <w:color w:val="B7B8B8"/>
                <w:sz w:val="12"/>
                <w:szCs w:val="12"/>
              </w:rPr>
              <w:tab/>
            </w:r>
          </w:p>
        </w:tc>
        <w:tc>
          <w:tcPr>
            <w:vMerge w:val="restart"/>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780"/>
              <w:jc w:val="left"/>
              <w:rPr>
                <w:sz w:val="12"/>
                <w:szCs w:val="12"/>
              </w:rPr>
            </w:pPr>
            <w:r>
              <w:rPr>
                <w:rStyle w:val="CharStyle6"/>
                <w:b/>
                <w:bCs/>
                <w:color w:val="006AB4"/>
                <w:sz w:val="12"/>
                <w:szCs w:val="12"/>
              </w:rPr>
              <w:t>7 4</w:t>
            </w:r>
          </w:p>
        </w:tc>
        <w:tc>
          <w:tcPr>
            <w:vMerge w:val="restart"/>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90</w:t>
            </w:r>
          </w:p>
        </w:tc>
      </w:tr>
      <w:tr>
        <w:trPr>
          <w:trHeight w:val="226" w:hRule="exact"/>
        </w:trPr>
        <w:tc>
          <w:tcPr>
            <w:vMerge w:val="restart"/>
            <w:tcBorders>
              <w:top w:val="single" w:sz="4"/>
            </w:tcBorders>
            <w:shd w:val="clear" w:color="auto" w:fill="auto"/>
            <w:vAlign w:val="bottom"/>
          </w:tcPr>
          <w:p>
            <w:pPr>
              <w:pStyle w:val="Style5"/>
              <w:keepNext w:val="0"/>
              <w:keepLines w:val="0"/>
              <w:widowControl w:val="0"/>
              <w:shd w:val="clear" w:color="auto" w:fill="auto"/>
              <w:tabs>
                <w:tab w:pos="592" w:val="left"/>
                <w:tab w:pos="1302" w:val="left"/>
              </w:tabs>
              <w:bidi w:val="0"/>
              <w:spacing w:before="0" w:after="0" w:line="240" w:lineRule="auto"/>
              <w:ind w:left="0" w:right="0" w:firstLine="160"/>
              <w:jc w:val="left"/>
              <w:rPr>
                <w:sz w:val="13"/>
                <w:szCs w:val="13"/>
              </w:rPr>
            </w:pPr>
            <w:r>
              <w:rPr>
                <w:rStyle w:val="CharStyle6"/>
                <w:b/>
                <w:bCs/>
                <w:color w:val="006AB4"/>
                <w:sz w:val="13"/>
                <w:szCs w:val="13"/>
              </w:rPr>
              <w:t>1</w:t>
              <w:tab/>
              <w:t>....</w:t>
              <w:tab/>
              <w:t>2</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tabs>
                <w:tab w:pos="758" w:val="left"/>
              </w:tabs>
              <w:bidi w:val="0"/>
              <w:spacing w:before="0" w:after="0" w:line="240" w:lineRule="auto"/>
              <w:ind w:left="0" w:right="0" w:firstLine="0"/>
              <w:jc w:val="left"/>
              <w:rPr>
                <w:sz w:val="12"/>
                <w:szCs w:val="12"/>
              </w:rPr>
            </w:pPr>
            <w:r>
              <w:rPr>
                <w:rStyle w:val="CharStyle6"/>
                <w:b/>
                <w:bCs/>
                <w:color w:val="006AB4"/>
                <w:sz w:val="12"/>
                <w:szCs w:val="12"/>
              </w:rPr>
              <w:t>70</w:t>
              <w:tab/>
              <w:t>2 4</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500"/>
              <w:jc w:val="left"/>
              <w:rPr>
                <w:sz w:val="12"/>
                <w:szCs w:val="12"/>
              </w:rPr>
            </w:pPr>
            <w:r>
              <w:rPr>
                <w:rStyle w:val="CharStyle6"/>
                <w:b/>
                <w:bCs/>
                <w:color w:val="27A851"/>
                <w:sz w:val="12"/>
                <w:szCs w:val="12"/>
              </w:rPr>
              <w:t xml:space="preserve">X ’ </w:t>
            </w:r>
            <w:r>
              <w:rPr>
                <w:rStyle w:val="CharStyle6"/>
                <w:b/>
                <w:bCs/>
                <w:color w:val="006AB4"/>
                <w:sz w:val="12"/>
                <w:szCs w:val="12"/>
              </w:rPr>
              <w:t>4</w:t>
            </w:r>
          </w:p>
          <w:p>
            <w:pPr>
              <w:pStyle w:val="Style5"/>
              <w:keepNext w:val="0"/>
              <w:keepLines w:val="0"/>
              <w:widowControl w:val="0"/>
              <w:shd w:val="clear" w:color="auto" w:fill="auto"/>
              <w:bidi w:val="0"/>
              <w:spacing w:before="0" w:after="0" w:line="226" w:lineRule="auto"/>
              <w:ind w:left="0" w:right="0" w:firstLine="0"/>
              <w:jc w:val="left"/>
              <w:rPr>
                <w:sz w:val="12"/>
                <w:szCs w:val="12"/>
              </w:rPr>
            </w:pPr>
            <w:r>
              <w:rPr>
                <w:rStyle w:val="CharStyle6"/>
                <w:b/>
                <w:bCs/>
                <w:color w:val="006AB4"/>
                <w:sz w:val="12"/>
                <w:szCs w:val="12"/>
              </w:rPr>
              <w:t xml:space="preserve">70 </w:t>
            </w:r>
            <w:r>
              <w:rPr>
                <w:rStyle w:val="CharStyle6"/>
                <w:b/>
                <w:bCs/>
                <w:color w:val="27A851"/>
                <w:sz w:val="12"/>
                <w:szCs w:val="12"/>
              </w:rPr>
              <w:t>X</w:t>
            </w:r>
          </w:p>
        </w:tc>
        <w:tc>
          <w:tcPr>
            <w:gridSpan w:val="2"/>
            <w:vMerge w:val="restart"/>
            <w:tcBorders>
              <w:top w:val="single" w:sz="4"/>
            </w:tcBorders>
            <w:shd w:val="clear" w:color="auto" w:fill="auto"/>
            <w:vAlign w:val="top"/>
          </w:tcPr>
          <w:p>
            <w:pPr>
              <w:pStyle w:val="Style5"/>
              <w:keepNext w:val="0"/>
              <w:keepLines w:val="0"/>
              <w:widowControl w:val="0"/>
              <w:shd w:val="clear" w:color="auto" w:fill="auto"/>
              <w:bidi w:val="0"/>
              <w:spacing w:before="0" w:after="0" w:line="240" w:lineRule="auto"/>
              <w:ind w:left="0" w:right="0" w:firstLine="0"/>
              <w:jc w:val="left"/>
              <w:rPr>
                <w:sz w:val="8"/>
                <w:szCs w:val="8"/>
              </w:rPr>
            </w:pPr>
            <w:r>
              <w:rPr>
                <w:rStyle w:val="CharStyle6"/>
                <w:b/>
                <w:bCs/>
                <w:color w:val="006AB4"/>
                <w:sz w:val="12"/>
                <w:szCs w:val="12"/>
              </w:rPr>
              <w:t>2</w:t>
            </w:r>
            <w:r>
              <w:rPr>
                <w:rStyle w:val="CharStyle6"/>
                <w:b/>
                <w:bCs/>
                <w:color w:val="006AB4"/>
                <w:sz w:val="8"/>
                <w:szCs w:val="8"/>
                <w:vertAlign w:val="superscript"/>
              </w:rPr>
              <w:t>80</w:t>
            </w:r>
          </w:p>
        </w:tc>
        <w:tc>
          <w:tcPr>
            <w:tcBorders>
              <w:top w:val="single" w:sz="4"/>
              <w:left w:val="single" w:sz="4"/>
            </w:tcBorders>
            <w:shd w:val="clear" w:color="auto" w:fill="auto"/>
            <w:vAlign w:val="bottom"/>
          </w:tcPr>
          <w:p>
            <w:pPr>
              <w:pStyle w:val="Style5"/>
              <w:keepNext w:val="0"/>
              <w:keepLines w:val="0"/>
              <w:widowControl w:val="0"/>
              <w:shd w:val="clear" w:color="auto" w:fill="auto"/>
              <w:tabs>
                <w:tab w:pos="1355" w:val="left"/>
              </w:tabs>
              <w:bidi w:val="0"/>
              <w:spacing w:before="0" w:after="0" w:line="240" w:lineRule="auto"/>
              <w:ind w:left="0" w:right="0" w:firstLine="880"/>
              <w:jc w:val="left"/>
              <w:rPr>
                <w:sz w:val="12"/>
                <w:szCs w:val="12"/>
              </w:rPr>
            </w:pPr>
            <w:r>
              <w:rPr>
                <w:rStyle w:val="CharStyle6"/>
                <w:b/>
                <w:bCs/>
                <w:smallCaps/>
                <w:color w:val="006AB4"/>
                <w:sz w:val="11"/>
                <w:szCs w:val="11"/>
              </w:rPr>
              <w:t>&gt;</w:t>
              <w:tab/>
              <w:t>r</w:t>
            </w:r>
            <w:r>
              <w:rPr>
                <w:rStyle w:val="CharStyle6"/>
                <w:b/>
                <w:bCs/>
                <w:color w:val="006AB4"/>
                <w:sz w:val="12"/>
                <w:szCs w:val="12"/>
              </w:rPr>
              <w:t xml:space="preserve"> nnn</w:t>
            </w:r>
          </w:p>
        </w:tc>
        <w:tc>
          <w:tcPr>
            <w:vMerge/>
            <w:tcBorders>
              <w:left w:val="single" w:sz="4"/>
            </w:tcBorders>
            <w:shd w:val="clear" w:color="auto" w:fill="auto"/>
            <w:vAlign w:val="bottom"/>
          </w:tcPr>
          <w:p>
            <w:pPr/>
          </w:p>
        </w:tc>
        <w:tc>
          <w:tcPr>
            <w:vMerge/>
            <w:tcBorders>
              <w:left w:val="single" w:sz="4"/>
            </w:tcBorders>
            <w:shd w:val="clear" w:color="auto" w:fill="auto"/>
            <w:vAlign w:val="bottom"/>
          </w:tcPr>
          <w:p>
            <w:pPr/>
          </w:p>
        </w:tc>
        <w:tc>
          <w:tcPr>
            <w:vMerge/>
            <w:tcBorders>
              <w:left w:val="single" w:sz="4"/>
            </w:tcBorders>
            <w:shd w:val="clear" w:color="auto" w:fill="auto"/>
            <w:vAlign w:val="center"/>
          </w:tcPr>
          <w:p>
            <w:pPr/>
          </w:p>
        </w:tc>
        <w:tc>
          <w:tcPr>
            <w:vMerge/>
            <w:tcBorders>
              <w:left w:val="single" w:sz="4"/>
            </w:tcBorders>
            <w:shd w:val="clear" w:color="auto" w:fill="auto"/>
            <w:vAlign w:val="center"/>
          </w:tcPr>
          <w:p>
            <w:pPr/>
          </w:p>
        </w:tc>
      </w:tr>
      <w:tr>
        <w:trPr>
          <w:trHeight w:val="115" w:hRule="exact"/>
        </w:trPr>
        <w:tc>
          <w:tcPr>
            <w:vMerge/>
            <w:tcBorders/>
            <w:shd w:val="clear" w:color="auto" w:fill="auto"/>
            <w:vAlign w:val="bottom"/>
          </w:tcPr>
          <w:p>
            <w:pPr/>
          </w:p>
        </w:tc>
        <w:tc>
          <w:tcPr>
            <w:vMerge/>
            <w:tcBorders>
              <w:left w:val="single" w:sz="4"/>
            </w:tcBorders>
            <w:shd w:val="clear" w:color="auto" w:fill="auto"/>
            <w:vAlign w:val="bottom"/>
          </w:tcPr>
          <w:p>
            <w:pPr/>
          </w:p>
        </w:tc>
        <w:tc>
          <w:tcPr>
            <w:vMerge/>
            <w:tcBorders>
              <w:left w:val="single" w:sz="4"/>
            </w:tcBorders>
            <w:shd w:val="clear" w:color="auto" w:fill="auto"/>
            <w:vAlign w:val="bottom"/>
          </w:tcPr>
          <w:p>
            <w:pPr/>
          </w:p>
        </w:tc>
        <w:tc>
          <w:tcPr>
            <w:gridSpan w:val="2"/>
            <w:vMerge/>
            <w:tcBorders/>
            <w:shd w:val="clear" w:color="auto" w:fill="auto"/>
            <w:vAlign w:val="top"/>
          </w:tcPr>
          <w:p>
            <w:pPr/>
          </w:p>
        </w:tc>
        <w:tc>
          <w:tcPr>
            <w:vMerge w:val="restart"/>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1360" w:right="0" w:firstLine="0"/>
              <w:jc w:val="left"/>
              <w:rPr>
                <w:sz w:val="12"/>
                <w:szCs w:val="12"/>
              </w:rPr>
            </w:pPr>
            <w:r>
              <w:rPr>
                <w:rStyle w:val="CharStyle6"/>
                <w:b/>
                <w:bCs/>
                <w:color w:val="006AB4"/>
                <w:sz w:val="12"/>
                <w:szCs w:val="12"/>
              </w:rPr>
              <w:t>&amp; nnn</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r>
      <w:tr>
        <w:trPr>
          <w:trHeight w:val="163" w:hRule="exact"/>
        </w:trPr>
        <w:tc>
          <w:tcPr>
            <w:vMerge w:val="restart"/>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rPr>
                <w:sz w:val="12"/>
                <w:szCs w:val="12"/>
              </w:rPr>
            </w:pPr>
            <w:r>
              <w:rPr>
                <w:rStyle w:val="CharStyle6"/>
                <w:b/>
                <w:bCs/>
                <w:color w:val="006AB4"/>
                <w:sz w:val="12"/>
                <w:szCs w:val="12"/>
              </w:rPr>
              <w:t>2</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gridSpan w:val="2"/>
            <w:vMerge w:val="restart"/>
            <w:tcBorders/>
            <w:shd w:val="clear" w:color="auto" w:fill="auto"/>
            <w:vAlign w:val="top"/>
          </w:tcPr>
          <w:p>
            <w:pPr>
              <w:widowControl w:val="0"/>
              <w:rPr>
                <w:sz w:val="10"/>
                <w:szCs w:val="10"/>
              </w:rPr>
            </w:pPr>
          </w:p>
        </w:tc>
        <w:tc>
          <w:tcPr>
            <w:vMerge/>
            <w:tcBorders/>
            <w:shd w:val="clear" w:color="auto" w:fill="auto"/>
            <w:vAlign w:val="bottom"/>
          </w:tcPr>
          <w:p>
            <w:pPr/>
          </w:p>
        </w:tc>
        <w:tc>
          <w:tcPr>
            <w:vMerge/>
            <w:tcBorders>
              <w:left w:val="single" w:sz="4"/>
            </w:tcBorders>
            <w:shd w:val="clear" w:color="auto" w:fill="auto"/>
            <w:vAlign w:val="top"/>
          </w:tcPr>
          <w:p>
            <w:pPr/>
          </w:p>
        </w:tc>
        <w:tc>
          <w:tcPr>
            <w:vMerge/>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r>
      <w:tr>
        <w:trPr>
          <w:trHeight w:val="173" w:hRule="exact"/>
        </w:trPr>
        <w:tc>
          <w:tcPr>
            <w:vMerge/>
            <w:tcBorders/>
            <w:shd w:val="clear" w:color="auto" w:fill="auto"/>
            <w:vAlign w:val="bottom"/>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gridSpan w:val="2"/>
            <w:vMerge/>
            <w:tcBorders/>
            <w:shd w:val="clear" w:color="auto" w:fill="auto"/>
            <w:vAlign w:val="top"/>
          </w:tcPr>
          <w:p>
            <w:pPr/>
          </w:p>
        </w:tc>
        <w:tc>
          <w:tcPr>
            <w:vMerge w:val="restart"/>
            <w:tcBorders>
              <w:top w:val="single" w:sz="4"/>
            </w:tcBorders>
            <w:shd w:val="clear" w:color="auto" w:fill="auto"/>
            <w:vAlign w:val="top"/>
          </w:tcPr>
          <w:p>
            <w:pPr>
              <w:pStyle w:val="Style5"/>
              <w:keepNext w:val="0"/>
              <w:keepLines w:val="0"/>
              <w:widowControl w:val="0"/>
              <w:shd w:val="clear" w:color="auto" w:fill="auto"/>
              <w:bidi w:val="0"/>
              <w:spacing w:before="0" w:after="80" w:line="240" w:lineRule="auto"/>
              <w:ind w:left="1360" w:right="0" w:firstLine="0"/>
              <w:jc w:val="left"/>
              <w:rPr>
                <w:sz w:val="12"/>
                <w:szCs w:val="12"/>
              </w:rPr>
            </w:pPr>
            <w:r>
              <w:rPr>
                <w:rStyle w:val="CharStyle6"/>
                <w:b/>
                <w:bCs/>
                <w:color w:val="006AB4"/>
                <w:sz w:val="12"/>
                <w:szCs w:val="12"/>
              </w:rPr>
              <w:t>6 000</w:t>
            </w:r>
          </w:p>
          <w:p>
            <w:pPr>
              <w:pStyle w:val="Style5"/>
              <w:keepNext w:val="0"/>
              <w:keepLines w:val="0"/>
              <w:widowControl w:val="0"/>
              <w:shd w:val="clear" w:color="auto" w:fill="auto"/>
              <w:tabs>
                <w:tab w:pos="451" w:val="left"/>
                <w:tab w:pos="1171" w:val="left"/>
              </w:tabs>
              <w:bidi w:val="0"/>
              <w:spacing w:before="0" w:after="0" w:line="240" w:lineRule="auto"/>
              <w:ind w:left="0" w:right="0" w:firstLine="0"/>
              <w:jc w:val="right"/>
              <w:rPr>
                <w:sz w:val="8"/>
                <w:szCs w:val="8"/>
              </w:rPr>
            </w:pPr>
            <w:r>
              <w:rPr>
                <w:rStyle w:val="CharStyle6"/>
                <w:b/>
                <w:bCs/>
                <w:color w:val="006AB4"/>
                <w:sz w:val="12"/>
                <w:szCs w:val="12"/>
              </w:rPr>
              <w:t>£</w:t>
              <w:tab/>
              <w:t>4 000</w:t>
              <w:tab/>
            </w:r>
            <w:r>
              <w:rPr>
                <w:rStyle w:val="CharStyle6"/>
                <w:b/>
                <w:bCs/>
                <w:color w:val="006AB4"/>
                <w:sz w:val="8"/>
                <w:szCs w:val="8"/>
                <w:vertAlign w:val="superscript"/>
              </w:rPr>
              <w:t>2</w:t>
            </w:r>
          </w:p>
        </w:tc>
        <w:tc>
          <w:tcPr>
            <w:vMerge w:val="restart"/>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 xml:space="preserve">70 </w:t>
            </w:r>
            <w:r>
              <w:rPr>
                <w:rStyle w:val="CharStyle6"/>
                <w:b/>
                <w:bCs/>
                <w:color w:val="FED851"/>
                <w:sz w:val="12"/>
                <w:szCs w:val="12"/>
              </w:rPr>
              <w:t>X '</w:t>
            </w:r>
          </w:p>
        </w:tc>
        <w:tc>
          <w:tcPr>
            <w:vMerge w:val="restart"/>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r>
      <w:tr>
        <w:trPr>
          <w:trHeight w:val="130" w:hRule="exact"/>
        </w:trPr>
        <w:tc>
          <w:tcPr>
            <w:vMerge w:val="restart"/>
            <w:tcBorders>
              <w:top w:val="single" w:sz="4"/>
            </w:tcBorders>
            <w:shd w:val="clear" w:color="auto" w:fill="auto"/>
            <w:textDirection w:val="btLr"/>
            <w:vAlign w:val="top"/>
          </w:tcPr>
          <w:p>
            <w:pPr>
              <w:pStyle w:val="Style5"/>
              <w:keepNext w:val="0"/>
              <w:keepLines w:val="0"/>
              <w:widowControl w:val="0"/>
              <w:shd w:val="clear" w:color="auto" w:fill="auto"/>
              <w:bidi w:val="0"/>
              <w:spacing w:before="140" w:after="280" w:line="151" w:lineRule="auto"/>
              <w:ind w:left="0" w:right="0" w:firstLine="0"/>
              <w:jc w:val="both"/>
              <w:rPr>
                <w:sz w:val="13"/>
                <w:szCs w:val="13"/>
              </w:rPr>
            </w:pPr>
            <w:bookmarkStart w:id="315" w:name="bookmark315"/>
            <w:r>
              <w:rPr>
                <w:rStyle w:val="CharStyle6"/>
                <w:b/>
                <w:bCs/>
                <w:color w:val="006AB4"/>
                <w:sz w:val="13"/>
                <w:szCs w:val="13"/>
              </w:rPr>
              <w:t>Cena</w:t>
            </w:r>
            <w:bookmarkEnd w:id="315"/>
          </w:p>
          <w:p>
            <w:pPr>
              <w:pStyle w:val="Style5"/>
              <w:keepNext w:val="0"/>
              <w:keepLines w:val="0"/>
              <w:widowControl w:val="0"/>
              <w:shd w:val="clear" w:color="auto" w:fill="auto"/>
              <w:bidi w:val="0"/>
              <w:spacing w:before="0" w:after="0" w:line="151" w:lineRule="auto"/>
              <w:ind w:left="0" w:right="0" w:firstLine="0"/>
              <w:jc w:val="both"/>
              <w:rPr>
                <w:sz w:val="13"/>
                <w:szCs w:val="13"/>
              </w:rPr>
            </w:pPr>
            <w:r>
              <w:rPr>
                <w:rStyle w:val="CharStyle6"/>
                <w:b/>
                <w:bCs/>
                <w:color w:val="006AB4"/>
                <w:sz w:val="13"/>
                <w:szCs w:val="13"/>
              </w:rPr>
              <w:t>■» h 2 c 3 C</w:t>
            </w:r>
          </w:p>
          <w:p>
            <w:pPr>
              <w:pStyle w:val="Style5"/>
              <w:keepNext w:val="0"/>
              <w:keepLines w:val="0"/>
              <w:widowControl w:val="0"/>
              <w:shd w:val="clear" w:color="auto" w:fill="auto"/>
              <w:bidi w:val="0"/>
              <w:spacing w:before="0" w:after="0" w:line="151" w:lineRule="auto"/>
              <w:ind w:left="0" w:right="0" w:firstLine="0"/>
              <w:jc w:val="left"/>
              <w:rPr>
                <w:sz w:val="13"/>
                <w:szCs w:val="13"/>
              </w:rPr>
            </w:pPr>
            <w:r>
              <w:rPr>
                <w:rStyle w:val="CharStyle6"/>
                <w:b/>
                <w:bCs/>
                <w:color w:val="006AB4"/>
                <w:sz w:val="13"/>
                <w:szCs w:val="13"/>
              </w:rPr>
              <w:t>5 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shd w:val="clear" w:color="auto" w:fill="auto"/>
            <w:vAlign w:val="top"/>
          </w:tcPr>
          <w:p>
            <w:pPr>
              <w:widowControl w:val="0"/>
              <w:rPr>
                <w:sz w:val="10"/>
                <w:szCs w:val="10"/>
              </w:rPr>
            </w:pPr>
          </w:p>
        </w:tc>
        <w:tc>
          <w:tcPr>
            <w:vMerge/>
            <w:tcBorders/>
            <w:shd w:val="clear" w:color="auto" w:fill="auto"/>
            <w:vAlign w:val="top"/>
          </w:tcPr>
          <w:p>
            <w:pPr/>
          </w:p>
        </w:tc>
        <w:tc>
          <w:tcPr>
            <w:vMerge/>
            <w:tcBorders>
              <w:left w:val="single" w:sz="4"/>
            </w:tcBorders>
            <w:shd w:val="clear" w:color="auto" w:fill="auto"/>
            <w:vAlign w:val="bottom"/>
          </w:tcPr>
          <w:p>
            <w:pPr/>
          </w:p>
        </w:tc>
        <w:tc>
          <w:tcPr>
            <w:vMerge/>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r>
      <w:tr>
        <w:trPr>
          <w:trHeight w:val="206" w:hRule="exact"/>
        </w:trPr>
        <w:tc>
          <w:tcPr>
            <w:vMerge/>
            <w:tcBorders/>
            <w:shd w:val="clear" w:color="auto" w:fill="auto"/>
            <w:textDirection w:val="btLr"/>
            <w:vAlign w:val="top"/>
          </w:tcPr>
          <w:p>
            <w:pPr/>
          </w:p>
        </w:tc>
        <w:tc>
          <w:tcPr>
            <w:tcBorders>
              <w:top w:val="single" w:sz="4"/>
              <w:left w:val="single" w:sz="4"/>
            </w:tcBorders>
            <w:shd w:val="clear" w:color="auto" w:fill="auto"/>
            <w:vAlign w:val="bottom"/>
          </w:tcPr>
          <w:p>
            <w:pPr>
              <w:pStyle w:val="Style5"/>
              <w:keepNext w:val="0"/>
              <w:keepLines w:val="0"/>
              <w:widowControl w:val="0"/>
              <w:shd w:val="clear" w:color="auto" w:fill="auto"/>
              <w:tabs>
                <w:tab w:leader="hyphen" w:pos="768" w:val="left"/>
              </w:tabs>
              <w:bidi w:val="0"/>
              <w:spacing w:before="0" w:after="0" w:line="240" w:lineRule="auto"/>
              <w:ind w:left="0" w:right="0" w:firstLine="0"/>
              <w:jc w:val="left"/>
              <w:rPr>
                <w:sz w:val="12"/>
                <w:szCs w:val="12"/>
              </w:rPr>
            </w:pPr>
            <w:r>
              <w:rPr>
                <w:rStyle w:val="CharStyle6"/>
                <w:b/>
                <w:bCs/>
                <w:color w:val="006AB4"/>
                <w:sz w:val="12"/>
                <w:szCs w:val="12"/>
              </w:rPr>
              <w:t>.60</w:t>
              <w:tab/>
              <w:t>1-6</w:t>
            </w:r>
          </w:p>
        </w:tc>
        <w:tc>
          <w:tcPr>
            <w:tcBorders>
              <w:top w:val="single" w:sz="4"/>
              <w:left w:val="single" w:sz="4"/>
            </w:tcBorders>
            <w:shd w:val="clear" w:color="auto" w:fill="auto"/>
            <w:vAlign w:val="bottom"/>
          </w:tcPr>
          <w:p>
            <w:pPr>
              <w:pStyle w:val="Style5"/>
              <w:keepNext w:val="0"/>
              <w:keepLines w:val="0"/>
              <w:widowControl w:val="0"/>
              <w:shd w:val="clear" w:color="auto" w:fill="auto"/>
              <w:tabs>
                <w:tab w:pos="797" w:val="left"/>
              </w:tabs>
              <w:bidi w:val="0"/>
              <w:spacing w:before="0" w:after="0" w:line="240" w:lineRule="auto"/>
              <w:ind w:left="0" w:right="0" w:firstLine="0"/>
              <w:jc w:val="left"/>
              <w:rPr>
                <w:sz w:val="12"/>
                <w:szCs w:val="12"/>
              </w:rPr>
            </w:pPr>
            <w:r>
              <w:rPr>
                <w:rStyle w:val="CharStyle6"/>
                <w:b/>
                <w:bCs/>
                <w:color w:val="006AB4"/>
                <w:sz w:val="12"/>
                <w:szCs w:val="12"/>
                <w:vertAlign w:val="subscript"/>
              </w:rPr>
              <w:t>20</w:t>
            </w:r>
            <w:r>
              <w:rPr>
                <w:rStyle w:val="CharStyle6"/>
                <w:b/>
                <w:bCs/>
                <w:color w:val="006AB4"/>
                <w:sz w:val="12"/>
                <w:szCs w:val="12"/>
              </w:rPr>
              <w:tab/>
              <w:t xml:space="preserve">1 </w:t>
            </w:r>
            <w:r>
              <w:rPr>
                <w:rStyle w:val="CharStyle6"/>
                <w:b/>
                <w:bCs/>
                <w:color w:val="5A9FCF"/>
                <w:sz w:val="12"/>
                <w:szCs w:val="12"/>
              </w:rPr>
              <w:t>&lt;</w:t>
            </w:r>
          </w:p>
        </w:tc>
        <w:tc>
          <w:tcPr>
            <w:gridSpan w:val="2"/>
            <w:tcBorders/>
            <w:shd w:val="clear" w:color="auto" w:fill="auto"/>
            <w:vAlign w:val="bottom"/>
          </w:tcPr>
          <w:p>
            <w:pPr>
              <w:pStyle w:val="Style5"/>
              <w:keepNext w:val="0"/>
              <w:keepLines w:val="0"/>
              <w:widowControl w:val="0"/>
              <w:shd w:val="clear" w:color="auto" w:fill="auto"/>
              <w:tabs>
                <w:tab w:pos="792" w:val="left"/>
              </w:tabs>
              <w:bidi w:val="0"/>
              <w:spacing w:before="0" w:after="0" w:line="240" w:lineRule="auto"/>
              <w:ind w:left="0" w:right="0" w:firstLine="0"/>
              <w:jc w:val="both"/>
              <w:rPr>
                <w:sz w:val="12"/>
                <w:szCs w:val="12"/>
              </w:rPr>
            </w:pPr>
            <w:r>
              <w:rPr>
                <w:rStyle w:val="CharStyle6"/>
                <w:b/>
                <w:bCs/>
                <w:color w:val="82B5D8"/>
                <w:sz w:val="12"/>
                <w:szCs w:val="12"/>
              </w:rPr>
              <w:t>1</w:t>
            </w:r>
            <w:r>
              <w:rPr>
                <w:rStyle w:val="CharStyle6"/>
                <w:b/>
                <w:bCs/>
                <w:color w:val="006AB4"/>
                <w:sz w:val="12"/>
                <w:szCs w:val="12"/>
              </w:rPr>
              <w:t>80</w:t>
              <w:tab/>
              <w:t>1 6</w:t>
            </w:r>
          </w:p>
        </w:tc>
        <w:tc>
          <w:tcPr>
            <w:tcBorders>
              <w:top w:val="single" w:sz="4"/>
            </w:tcBorders>
            <w:shd w:val="clear" w:color="auto" w:fill="auto"/>
            <w:vAlign w:val="bottom"/>
          </w:tcPr>
          <w:p>
            <w:pPr>
              <w:pStyle w:val="Style5"/>
              <w:keepNext w:val="0"/>
              <w:keepLines w:val="0"/>
              <w:widowControl w:val="0"/>
              <w:shd w:val="clear" w:color="auto" w:fill="auto"/>
              <w:tabs>
                <w:tab w:pos="864" w:val="left"/>
              </w:tabs>
              <w:bidi w:val="0"/>
              <w:spacing w:before="0" w:after="0" w:line="240" w:lineRule="auto"/>
              <w:ind w:left="0" w:right="0" w:firstLine="0"/>
              <w:jc w:val="left"/>
              <w:rPr>
                <w:sz w:val="12"/>
                <w:szCs w:val="12"/>
              </w:rPr>
            </w:pPr>
            <w:r>
              <w:rPr>
                <w:rStyle w:val="CharStyle6"/>
                <w:b/>
                <w:bCs/>
                <w:color w:val="006AB4"/>
                <w:sz w:val="12"/>
                <w:szCs w:val="12"/>
              </w:rPr>
              <w:t>60</w:t>
              <w:tab/>
              <w:t>u</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shd w:val="clear" w:color="auto" w:fill="auto"/>
            <w:vAlign w:val="top"/>
          </w:tcPr>
          <w:p>
            <w:pPr>
              <w:widowControl w:val="0"/>
              <w:rPr>
                <w:sz w:val="10"/>
                <w:szCs w:val="10"/>
              </w:rPr>
            </w:pPr>
          </w:p>
        </w:tc>
        <w:tc>
          <w:tcPr>
            <w:vMerge w:val="restart"/>
            <w:tcBorders>
              <w:top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r>
      <w:tr>
        <w:trPr>
          <w:trHeight w:val="82" w:hRule="exact"/>
        </w:trPr>
        <w:tc>
          <w:tcPr>
            <w:vMerge w:val="restart"/>
            <w:tcBorders>
              <w:top w:val="single" w:sz="4"/>
            </w:tcBorders>
            <w:shd w:val="clear" w:color="auto" w:fill="auto"/>
            <w:vAlign w:val="top"/>
          </w:tcPr>
          <w:p>
            <w:pPr>
              <w:pStyle w:val="Style5"/>
              <w:keepNext w:val="0"/>
              <w:keepLines w:val="0"/>
              <w:widowControl w:val="0"/>
              <w:shd w:val="clear" w:color="auto" w:fill="auto"/>
              <w:tabs>
                <w:tab w:pos="1301" w:val="left"/>
              </w:tabs>
              <w:bidi w:val="0"/>
              <w:spacing w:before="0" w:after="140" w:line="240" w:lineRule="auto"/>
              <w:ind w:left="0" w:right="0" w:firstLine="600"/>
              <w:jc w:val="left"/>
              <w:rPr>
                <w:sz w:val="12"/>
                <w:szCs w:val="12"/>
              </w:rPr>
            </w:pPr>
            <w:r>
              <w:rPr>
                <w:rStyle w:val="CharStyle6"/>
                <w:b/>
                <w:bCs/>
                <w:color w:val="006AB4"/>
                <w:sz w:val="12"/>
                <w:szCs w:val="12"/>
              </w:rPr>
              <w:t>1 VUV</w:t>
              <w:tab/>
            </w:r>
            <w:r>
              <w:rPr>
                <w:rStyle w:val="CharStyle6"/>
                <w:b/>
                <w:bCs/>
                <w:color w:val="006AB4"/>
                <w:sz w:val="12"/>
                <w:szCs w:val="12"/>
                <w:vertAlign w:val="superscript"/>
              </w:rPr>
              <w:t>1</w:t>
            </w:r>
          </w:p>
          <w:p>
            <w:pPr>
              <w:pStyle w:val="Style5"/>
              <w:keepNext w:val="0"/>
              <w:keepLines w:val="0"/>
              <w:widowControl w:val="0"/>
              <w:shd w:val="clear" w:color="auto" w:fill="auto"/>
              <w:bidi w:val="0"/>
              <w:spacing w:before="0" w:after="0" w:line="240" w:lineRule="auto"/>
              <w:ind w:left="0" w:right="0" w:firstLine="860"/>
              <w:jc w:val="left"/>
              <w:rPr>
                <w:sz w:val="13"/>
                <w:szCs w:val="13"/>
              </w:rPr>
            </w:pPr>
            <w:r>
              <w:rPr>
                <w:rStyle w:val="CharStyle6"/>
                <w:b/>
                <w:bCs/>
                <w:color w:val="006AB4"/>
                <w:sz w:val="13"/>
                <w:szCs w:val="13"/>
              </w:rPr>
              <w:t>n</w:t>
            </w:r>
          </w:p>
        </w:tc>
        <w:tc>
          <w:tcPr>
            <w:vMerge w:val="restart"/>
            <w:tcBorders>
              <w:top w:val="single" w:sz="4"/>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top"/>
          </w:tcPr>
          <w:p>
            <w:pPr>
              <w:widowControl w:val="0"/>
              <w:rPr>
                <w:sz w:val="10"/>
                <w:szCs w:val="10"/>
              </w:rPr>
            </w:pPr>
          </w:p>
        </w:tc>
        <w:tc>
          <w:tcPr>
            <w:gridSpan w:val="2"/>
            <w:vMerge w:val="restart"/>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1360" w:right="0" w:firstLine="0"/>
              <w:jc w:val="left"/>
              <w:rPr>
                <w:sz w:val="12"/>
                <w:szCs w:val="12"/>
              </w:rPr>
            </w:pPr>
            <w:r>
              <w:rPr>
                <w:rStyle w:val="CharStyle6"/>
                <w:b/>
                <w:bCs/>
                <w:color w:val="006AB4"/>
                <w:sz w:val="12"/>
                <w:szCs w:val="12"/>
              </w:rPr>
              <w:t>2 000</w:t>
            </w:r>
          </w:p>
        </w:tc>
        <w:tc>
          <w:tcPr>
            <w:vMerge/>
            <w:tcBorders>
              <w:left w:val="single" w:sz="4"/>
            </w:tcBorders>
            <w:shd w:val="clear" w:color="auto" w:fill="auto"/>
            <w:vAlign w:val="top"/>
          </w:tcPr>
          <w:p>
            <w:pPr/>
          </w:p>
        </w:tc>
        <w:tc>
          <w:tcPr>
            <w:vMerge/>
            <w:tcBorders/>
            <w:shd w:val="clear" w:color="auto" w:fill="auto"/>
            <w:vAlign w:val="top"/>
          </w:tcPr>
          <w:p>
            <w:pPr/>
          </w:p>
        </w:tc>
        <w:tc>
          <w:tcPr>
            <w:vMerge/>
            <w:tcBorders/>
            <w:shd w:val="clear" w:color="auto" w:fill="auto"/>
            <w:vAlign w:val="top"/>
          </w:tcPr>
          <w:p>
            <w:pPr/>
          </w:p>
        </w:tc>
        <w:tc>
          <w:tcPr>
            <w:vMerge/>
            <w:tcBorders>
              <w:left w:val="single" w:sz="4"/>
            </w:tcBorders>
            <w:shd w:val="clear" w:color="auto" w:fill="auto"/>
            <w:vAlign w:val="top"/>
          </w:tcPr>
          <w:p>
            <w:pPr/>
          </w:p>
        </w:tc>
      </w:tr>
      <w:tr>
        <w:trPr>
          <w:trHeight w:val="259" w:hRule="exact"/>
        </w:trPr>
        <w:tc>
          <w:tcPr>
            <w:vMerge/>
            <w:tcBorders/>
            <w:shd w:val="clear" w:color="auto" w:fill="auto"/>
            <w:vAlign w:val="top"/>
          </w:tcPr>
          <w:p>
            <w:pPr/>
          </w:p>
        </w:tc>
        <w:tc>
          <w:tcPr>
            <w:vMerge/>
            <w:tcBorders>
              <w:left w:val="single" w:sz="4"/>
            </w:tcBorders>
            <w:shd w:val="clear" w:color="auto" w:fill="auto"/>
            <w:vAlign w:val="top"/>
          </w:tcPr>
          <w:p>
            <w:pPr/>
          </w:p>
        </w:tc>
        <w:tc>
          <w:tcPr>
            <w:vMerge/>
            <w:tcBorders>
              <w:left w:val="single" w:sz="4"/>
            </w:tcBorders>
            <w:shd w:val="clear" w:color="auto" w:fill="auto"/>
            <w:vAlign w:val="top"/>
          </w:tcPr>
          <w:p>
            <w:pPr/>
          </w:p>
        </w:tc>
        <w:tc>
          <w:tcPr>
            <w:gridSpan w:val="2"/>
            <w:vMerge/>
            <w:tcBorders/>
            <w:shd w:val="clear" w:color="auto" w:fill="auto"/>
            <w:vAlign w:val="top"/>
          </w:tcPr>
          <w:p>
            <w:pPr/>
          </w:p>
        </w:tc>
        <w:tc>
          <w:tcPr>
            <w:tcBorders>
              <w:top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w:t>
            </w:r>
          </w:p>
        </w:tc>
        <w:tc>
          <w:tcPr>
            <w:tcBorders>
              <w:top w:val="single" w:sz="4"/>
              <w:left w:val="single" w:sz="4"/>
            </w:tcBorders>
            <w:shd w:val="clear" w:color="auto" w:fill="auto"/>
            <w:vAlign w:val="bottom"/>
          </w:tcPr>
          <w:p>
            <w:pPr>
              <w:pStyle w:val="Style5"/>
              <w:keepNext w:val="0"/>
              <w:keepLines w:val="0"/>
              <w:widowControl w:val="0"/>
              <w:shd w:val="clear" w:color="auto" w:fill="auto"/>
              <w:tabs>
                <w:tab w:pos="778" w:val="left"/>
              </w:tabs>
              <w:bidi w:val="0"/>
              <w:spacing w:before="0" w:after="0" w:line="240" w:lineRule="auto"/>
              <w:ind w:left="0" w:right="0" w:firstLine="0"/>
              <w:jc w:val="left"/>
              <w:rPr>
                <w:sz w:val="12"/>
                <w:szCs w:val="12"/>
              </w:rPr>
            </w:pPr>
            <w:r>
              <w:rPr>
                <w:rStyle w:val="CharStyle6"/>
                <w:b/>
                <w:bCs/>
                <w:color w:val="006AB4"/>
                <w:sz w:val="12"/>
                <w:szCs w:val="12"/>
              </w:rPr>
              <w:t>50</w:t>
              <w:tab/>
              <w:t>1</w:t>
            </w:r>
          </w:p>
        </w:tc>
        <w:tc>
          <w:tcPr>
            <w:tcBorders/>
            <w:shd w:val="clear" w:color="auto" w:fill="auto"/>
            <w:vAlign w:val="bottom"/>
          </w:tcPr>
          <w:p>
            <w:pPr>
              <w:pStyle w:val="Style5"/>
              <w:keepNext w:val="0"/>
              <w:keepLines w:val="0"/>
              <w:widowControl w:val="0"/>
              <w:shd w:val="clear" w:color="auto" w:fill="auto"/>
              <w:tabs>
                <w:tab w:pos="792" w:val="left"/>
              </w:tabs>
              <w:bidi w:val="0"/>
              <w:spacing w:before="0" w:after="0" w:line="240" w:lineRule="auto"/>
              <w:ind w:left="0" w:right="0" w:firstLine="0"/>
              <w:jc w:val="both"/>
              <w:rPr>
                <w:sz w:val="12"/>
                <w:szCs w:val="12"/>
              </w:rPr>
            </w:pPr>
            <w:r>
              <w:rPr>
                <w:rStyle w:val="CharStyle6"/>
                <w:b/>
                <w:bCs/>
                <w:color w:val="006AB4"/>
                <w:sz w:val="12"/>
                <w:szCs w:val="12"/>
              </w:rPr>
              <w:t>10</w:t>
              <w:tab/>
              <w:t>1</w:t>
            </w:r>
          </w:p>
        </w:tc>
        <w:tc>
          <w:tcPr>
            <w:tcBorders>
              <w:top w:val="single" w:sz="4"/>
            </w:tcBorders>
            <w:shd w:val="clear" w:color="auto" w:fill="auto"/>
            <w:vAlign w:val="bottom"/>
          </w:tcPr>
          <w:p>
            <w:pPr>
              <w:pStyle w:val="Style5"/>
              <w:keepNext w:val="0"/>
              <w:keepLines w:val="0"/>
              <w:widowControl w:val="0"/>
              <w:shd w:val="clear" w:color="auto" w:fill="auto"/>
              <w:tabs>
                <w:tab w:pos="778" w:val="left"/>
              </w:tabs>
              <w:bidi w:val="0"/>
              <w:spacing w:before="0" w:after="0" w:line="240" w:lineRule="auto"/>
              <w:ind w:left="0" w:right="0" w:firstLine="0"/>
              <w:jc w:val="left"/>
              <w:rPr>
                <w:sz w:val="12"/>
                <w:szCs w:val="12"/>
              </w:rPr>
            </w:pPr>
            <w:r>
              <w:rPr>
                <w:rStyle w:val="CharStyle6"/>
                <w:b/>
                <w:bCs/>
                <w:color w:val="006AB4"/>
                <w:sz w:val="12"/>
                <w:szCs w:val="12"/>
              </w:rPr>
              <w:t>20</w:t>
              <w:tab/>
              <w:t>1</w:t>
            </w:r>
          </w:p>
        </w:tc>
        <w:tc>
          <w:tcPr>
            <w:tcBorders>
              <w:top w:val="single" w:sz="4"/>
              <w:left w:val="single" w:sz="4"/>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0"/>
              <w:jc w:val="left"/>
              <w:rPr>
                <w:sz w:val="12"/>
                <w:szCs w:val="12"/>
              </w:rPr>
            </w:pPr>
            <w:r>
              <w:rPr>
                <w:rStyle w:val="CharStyle6"/>
                <w:b/>
                <w:bCs/>
                <w:color w:val="006AB4"/>
                <w:sz w:val="12"/>
                <w:szCs w:val="12"/>
              </w:rPr>
              <w:t>90</w:t>
            </w:r>
          </w:p>
        </w:tc>
      </w:tr>
      <w:tr>
        <w:trPr>
          <w:trHeight w:val="1238" w:hRule="exact"/>
        </w:trPr>
        <w:tc>
          <w:tcPr>
            <w:gridSpan w:val="10"/>
            <w:tcBorders>
              <w:top w:val="single" w:sz="4"/>
            </w:tcBorders>
            <w:shd w:val="clear" w:color="auto" w:fill="auto"/>
            <w:vAlign w:val="top"/>
          </w:tcPr>
          <w:p>
            <w:pPr>
              <w:pStyle w:val="Style5"/>
              <w:keepNext w:val="0"/>
              <w:keepLines w:val="0"/>
              <w:widowControl w:val="0"/>
              <w:shd w:val="clear" w:color="auto" w:fill="auto"/>
              <w:tabs>
                <w:tab w:pos="2300" w:val="left"/>
                <w:tab w:pos="3279" w:val="left"/>
                <w:tab w:pos="4244" w:val="left"/>
                <w:tab w:pos="6481" w:val="left"/>
                <w:tab w:pos="7446" w:val="left"/>
                <w:tab w:pos="8420" w:val="left"/>
                <w:tab w:pos="9385" w:val="left"/>
              </w:tabs>
              <w:bidi w:val="0"/>
              <w:spacing w:before="120" w:after="320" w:line="240" w:lineRule="auto"/>
              <w:ind w:left="1340" w:right="0" w:firstLine="0"/>
              <w:jc w:val="left"/>
              <w:rPr>
                <w:sz w:val="12"/>
                <w:szCs w:val="12"/>
              </w:rPr>
            </w:pPr>
            <w:r>
              <w:rPr>
                <w:rStyle w:val="CharStyle6"/>
                <w:b/>
                <w:bCs/>
                <w:color w:val="006AB4"/>
                <w:sz w:val="12"/>
                <w:szCs w:val="12"/>
              </w:rPr>
              <w:t>2025</w:t>
              <w:tab/>
              <w:t>2030</w:t>
              <w:tab/>
              <w:t>2035</w:t>
              <w:tab/>
              <w:t>2040</w:t>
              <w:tab/>
              <w:t>2025</w:t>
              <w:tab/>
              <w:t>2030</w:t>
              <w:tab/>
              <w:t>2035</w:t>
              <w:tab/>
              <w:t>2040</w:t>
            </w:r>
          </w:p>
          <w:p>
            <w:pPr>
              <w:pStyle w:val="Style5"/>
              <w:keepNext w:val="0"/>
              <w:keepLines w:val="0"/>
              <w:widowControl w:val="0"/>
              <w:shd w:val="clear" w:color="auto" w:fill="auto"/>
              <w:tabs>
                <w:tab w:pos="2914" w:val="left"/>
              </w:tabs>
              <w:bidi w:val="0"/>
              <w:spacing w:before="0" w:after="0" w:line="240" w:lineRule="auto"/>
              <w:ind w:left="0" w:right="0" w:firstLine="0"/>
              <w:jc w:val="center"/>
              <w:rPr>
                <w:sz w:val="16"/>
                <w:szCs w:val="16"/>
              </w:rPr>
            </w:pPr>
            <w:r>
              <w:rPr>
                <w:rStyle w:val="CharStyle6"/>
                <w:sz w:val="16"/>
                <w:szCs w:val="16"/>
              </w:rPr>
              <w:t>Měrný tuzemský Totex</w:t>
              <w:tab/>
            </w:r>
            <w:r>
              <w:rPr>
                <w:rStyle w:val="CharStyle6"/>
                <w:color w:val="27A851"/>
                <w:sz w:val="16"/>
                <w:szCs w:val="16"/>
              </w:rPr>
              <w:t xml:space="preserve">= = </w:t>
            </w:r>
            <w:r>
              <w:rPr>
                <w:rStyle w:val="CharStyle6"/>
                <w:color w:val="006AB4"/>
                <w:sz w:val="16"/>
                <w:szCs w:val="16"/>
              </w:rPr>
              <w:t xml:space="preserve">“ “ </w:t>
            </w:r>
            <w:r>
              <w:rPr>
                <w:rStyle w:val="CharStyle6"/>
                <w:sz w:val="16"/>
                <w:szCs w:val="16"/>
              </w:rPr>
              <w:t>Simulovaná tržní cena</w:t>
            </w:r>
          </w:p>
        </w:tc>
      </w:tr>
    </w:tbl>
    <w:p>
      <w:pPr>
        <w:pStyle w:val="Style19"/>
        <w:keepNext w:val="0"/>
        <w:keepLines w:val="0"/>
        <w:widowControl w:val="0"/>
        <w:shd w:val="clear" w:color="auto" w:fill="auto"/>
        <w:bidi w:val="0"/>
        <w:spacing w:before="0" w:after="200" w:line="300" w:lineRule="auto"/>
        <w:ind w:left="0" w:right="0" w:firstLine="0"/>
        <w:jc w:val="both"/>
      </w:pPr>
      <w:r>
        <w:rPr>
          <w:rStyle w:val="CharStyle20"/>
        </w:rPr>
        <w:t>V grafech výše byl srovnán měrný tuzemský Totex (MTT) se simulovanou tržní cenou (STC). Pod MTT se rozumí součet nákladů na Capex, FRN, paliva a povolenky (importy nejsou uvažovány). Tento součet je následně vydělený odpovídající roční výrobou elektřiny v ČR. MTT tak indikuje hranici pro dosažení návratnosti pro nové tuzemské zdroje:</w:t>
      </w:r>
    </w:p>
    <w:p>
      <w:pPr>
        <w:pStyle w:val="Style19"/>
        <w:keepNext w:val="0"/>
        <w:keepLines w:val="0"/>
        <w:widowControl w:val="0"/>
        <w:shd w:val="clear" w:color="auto" w:fill="auto"/>
        <w:bidi w:val="0"/>
        <w:spacing w:before="0" w:after="200" w:line="271" w:lineRule="auto"/>
        <w:ind w:left="240" w:right="0" w:hanging="240"/>
        <w:jc w:val="both"/>
      </w:pPr>
      <w:r>
        <w:rPr>
          <w:rStyle w:val="CharStyle20"/>
          <w:color w:val="006AB4"/>
          <w:sz w:val="22"/>
          <w:szCs w:val="22"/>
        </w:rPr>
        <w:t xml:space="preserve">^ </w:t>
      </w:r>
      <w:r>
        <w:rPr>
          <w:rStyle w:val="CharStyle20"/>
        </w:rPr>
        <w:t>Je-li STC menší, než je MTT, tržní cena nebude dostatečně vysoká pro financování výstavby a provoz nových zdrojů</w:t>
      </w:r>
    </w:p>
    <w:p>
      <w:pPr>
        <w:pStyle w:val="Style19"/>
        <w:keepNext w:val="0"/>
        <w:keepLines w:val="0"/>
        <w:widowControl w:val="0"/>
        <w:shd w:val="clear" w:color="auto" w:fill="auto"/>
        <w:bidi w:val="0"/>
        <w:spacing w:before="0" w:after="260" w:line="271" w:lineRule="auto"/>
        <w:ind w:left="240" w:right="0" w:hanging="240"/>
        <w:jc w:val="left"/>
      </w:pPr>
      <w:r>
        <w:rPr>
          <w:rStyle w:val="CharStyle20"/>
          <w:color w:val="006AB4"/>
          <w:sz w:val="22"/>
          <w:szCs w:val="22"/>
        </w:rPr>
        <w:t xml:space="preserve">^ </w:t>
      </w:r>
      <w:r>
        <w:rPr>
          <w:rStyle w:val="CharStyle20"/>
        </w:rPr>
        <w:t>Je-li STC větší, než je MTT, tržní cena bude dostatečně vysoká pro dosáhnutí návratnosti výstavby a provozu nových zdrojů</w:t>
      </w:r>
    </w:p>
    <w:p>
      <w:pPr>
        <w:pStyle w:val="Style19"/>
        <w:keepNext w:val="0"/>
        <w:keepLines w:val="0"/>
        <w:widowControl w:val="0"/>
        <w:shd w:val="clear" w:color="auto" w:fill="auto"/>
        <w:bidi w:val="0"/>
        <w:spacing w:before="0" w:after="260" w:line="300" w:lineRule="auto"/>
        <w:ind w:left="0" w:right="0" w:firstLine="0"/>
        <w:jc w:val="both"/>
      </w:pPr>
      <w:r>
        <w:rPr>
          <w:rStyle w:val="CharStyle20"/>
        </w:rPr>
        <w:t>Rozdíly mezi STC a MTT představují hrubou očekávanou marži výrobců elektřiny. Tyto rozdíly jsou ve všech cílových rocích pro všechny scénáře kladné a nachází se v rozmezí zhruba 700 až 7800 Kč, čímž umožní dosažení dostatečné návratnosti pro konstrukci a provoz nových zdrojů v České republice. Vysoká cena STC však zároveň také upozorňuje na nedostatek inframarginálních zdrojů a nutnost urychleného dozdrojování.</w:t>
      </w:r>
    </w:p>
    <w:p>
      <w:pPr>
        <w:pStyle w:val="Style19"/>
        <w:keepNext w:val="0"/>
        <w:keepLines w:val="0"/>
        <w:widowControl w:val="0"/>
        <w:shd w:val="clear" w:color="auto" w:fill="auto"/>
        <w:bidi w:val="0"/>
        <w:spacing w:before="0" w:after="260"/>
        <w:ind w:left="0" w:right="0" w:firstLine="0"/>
        <w:jc w:val="both"/>
      </w:pPr>
      <w:r>
        <w:rPr>
          <w:rStyle w:val="CharStyle20"/>
        </w:rPr>
        <w:t xml:space="preserve">Při současných tržních podmínkách tato hrubá marže nedosahuje dostatečnou úroveň pro investování do nových zdrojů. Cena STC se v blízkém období ale může také významně změnit. V rámci současné energetické krize Evropská komise zvažuje rozličné možností reformy trhu s elektřinou (market design) s důrazem na zajištění incentiv pro investování do nových zdrojů. Jedním z diskutovaných řešení je vytvoření aukce pro mezi inframarginální zdroje a státem pro udělení tzv. </w:t>
      </w:r>
      <w:r>
        <w:rPr>
          <w:rStyle w:val="CharStyle20"/>
          <w:i/>
          <w:iCs/>
        </w:rPr>
        <w:t>Contracts-for- Difference</w:t>
      </w:r>
      <w:r>
        <w:rPr>
          <w:rStyle w:val="CharStyle20"/>
        </w:rPr>
        <w:t>, které prohlubují ochranu investorů před investičními riziky a zároveň nabádají na další investice do obnovitelných zdrojů energie.</w:t>
      </w:r>
    </w:p>
    <w:p>
      <w:pPr>
        <w:pStyle w:val="Style19"/>
        <w:keepNext w:val="0"/>
        <w:keepLines w:val="0"/>
        <w:widowControl w:val="0"/>
        <w:shd w:val="clear" w:color="auto" w:fill="auto"/>
        <w:bidi w:val="0"/>
        <w:spacing w:before="0" w:after="260"/>
        <w:ind w:left="0" w:right="0" w:firstLine="0"/>
        <w:jc w:val="both"/>
        <w:sectPr>
          <w:footnotePr>
            <w:pos w:val="pageBottom"/>
            <w:numFmt w:val="decimal"/>
            <w:numRestart w:val="continuous"/>
          </w:footnotePr>
          <w:type w:val="continuous"/>
          <w:pgSz w:w="12142" w:h="17375"/>
          <w:pgMar w:top="1219" w:right="729" w:bottom="1325" w:left="729" w:header="0" w:footer="3" w:gutter="584"/>
          <w:cols w:space="720"/>
          <w:noEndnote/>
          <w:rtlGutter w:val="0"/>
          <w:docGrid w:linePitch="360"/>
        </w:sectPr>
      </w:pPr>
      <w:r>
        <w:rPr>
          <w:rStyle w:val="CharStyle20"/>
        </w:rPr>
        <w:t>Zjištění prezentované v této kapitole poukazují na fakt, že je zvyšování celkového výkonu tuzemských zdrojů elektřiny pro Českou republiku klíčové, ale nebude stačit na zachování bezpečnosti a spolehlivosti dodávek. Dalším nezbytným opatřením je proto neprodleně snižovat spotřebu elektřiny pro všechny typy spotřebitelů a investovat do zlepšení energetické účinnosti napříč celým spektrem odběratelů. Energetická krize vyvolala snížení spotřeby energií napříč Českou republikou, její redukční efekt je ale krátkodobý. S poválečným hospodářským rozvojem prudce stoupne spotřeba energií, a proto je již teď nezbytně nutné apelovat na co nejrychlejší investice do energetické účinnosti (zabraňování únikům tepla, pořizování energeticky účinnějších zařízení aj.).</w:t>
      </w:r>
    </w:p>
    <w:p>
      <w:pPr>
        <w:pStyle w:val="Style15"/>
        <w:keepNext/>
        <w:keepLines/>
        <w:widowControl w:val="0"/>
        <w:numPr>
          <w:ilvl w:val="0"/>
          <w:numId w:val="49"/>
        </w:numPr>
        <w:shd w:val="clear" w:color="auto" w:fill="auto"/>
        <w:tabs>
          <w:tab w:pos="3146" w:val="left"/>
        </w:tabs>
        <w:bidi w:val="0"/>
        <w:spacing w:before="0" w:after="960" w:line="240" w:lineRule="auto"/>
        <w:ind w:left="2900" w:right="0" w:firstLine="0"/>
        <w:jc w:val="both"/>
        <w:rPr>
          <w:sz w:val="22"/>
          <w:szCs w:val="22"/>
        </w:rPr>
      </w:pPr>
      <w:bookmarkStart w:id="316" w:name="bookmark316"/>
      <w:r>
        <w:rPr>
          <w:rStyle w:val="CharStyle16"/>
          <w:rFonts w:ascii="Segoe UI" w:eastAsia="Segoe UI" w:hAnsi="Segoe UI" w:cs="Segoe UI"/>
          <w:b/>
          <w:bCs/>
          <w:sz w:val="22"/>
          <w:szCs w:val="22"/>
        </w:rPr>
        <w:t>. Náklady na provoz a řízení sítí</w:t>
      </w:r>
      <w:bookmarkEnd w:id="316"/>
    </w:p>
    <w:p>
      <w:pPr>
        <w:pStyle w:val="Style19"/>
        <w:keepNext w:val="0"/>
        <w:keepLines w:val="0"/>
        <w:widowControl w:val="0"/>
        <w:shd w:val="clear" w:color="auto" w:fill="auto"/>
        <w:bidi w:val="0"/>
        <w:spacing w:before="0" w:line="300" w:lineRule="auto"/>
        <w:ind w:left="2900" w:right="0" w:firstLine="20"/>
        <w:jc w:val="left"/>
      </w:pPr>
      <w:r>
        <w:rPr>
          <w:rStyle w:val="CharStyle20"/>
        </w:rPr>
        <w:t>Ceny za služby provozovatelů sítí podléhají regulaci ze strany Energetického regulačního úřadu a odvíjí se od výše jejich povolených nákladů, odpisů, povolených ztrát a zisku, který se počítá z regulované báze aktiv. Regulovaná báze aktiv se spolu s odpisy v současné době významně zvyšuje vlivem intenzivní investiční činnosti.</w:t>
      </w:r>
    </w:p>
    <w:p>
      <w:pPr>
        <w:pStyle w:val="Style19"/>
        <w:keepNext w:val="0"/>
        <w:keepLines w:val="0"/>
        <w:widowControl w:val="0"/>
        <w:numPr>
          <w:ilvl w:val="0"/>
          <w:numId w:val="49"/>
        </w:numPr>
        <w:shd w:val="clear" w:color="auto" w:fill="auto"/>
        <w:tabs>
          <w:tab w:pos="3150" w:val="left"/>
        </w:tabs>
        <w:bidi w:val="0"/>
        <w:spacing w:before="0" w:line="300" w:lineRule="auto"/>
        <w:ind w:left="2900" w:right="0" w:firstLine="20"/>
        <w:jc w:val="left"/>
      </w:pPr>
      <w:r>
        <w:rPr>
          <w:rStyle w:val="CharStyle20"/>
        </w:rPr>
        <w:t>tabulce níže jsou přehledně shrnuty celkové plánované investice za provozovatele přenosové soustavy a dále za regionální provozovatele distribučních soustav (společnosti ČEPS, a.s., ČEZ Distribuce, a.s., EG.D., a.s. a PREdistribuce, a.s.).</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7.1 Predikce aktivovaných investic</w:t>
      </w:r>
    </w:p>
    <w:tbl>
      <w:tblPr>
        <w:tblOverlap w:val="never"/>
        <w:jc w:val="right"/>
        <w:tblLayout w:type="fixed"/>
      </w:tblPr>
      <w:tblGrid>
        <w:gridCol w:w="715"/>
        <w:gridCol w:w="715"/>
        <w:gridCol w:w="715"/>
        <w:gridCol w:w="710"/>
        <w:gridCol w:w="715"/>
        <w:gridCol w:w="710"/>
        <w:gridCol w:w="715"/>
        <w:gridCol w:w="710"/>
        <w:gridCol w:w="715"/>
        <w:gridCol w:w="725"/>
      </w:tblGrid>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5"/>
                <w:szCs w:val="15"/>
              </w:rPr>
            </w:pPr>
            <w:r>
              <w:rPr>
                <w:rStyle w:val="CharStyle6"/>
                <w:rFonts w:ascii="Calibri" w:eastAsia="Calibri" w:hAnsi="Calibri" w:cs="Calibri"/>
                <w:b/>
                <w:bCs/>
                <w:color w:val="006AB4"/>
                <w:sz w:val="15"/>
                <w:szCs w:val="15"/>
              </w:rPr>
              <w:t>2022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20"/>
              <w:jc w:val="left"/>
              <w:rPr>
                <w:sz w:val="15"/>
                <w:szCs w:val="15"/>
              </w:rPr>
            </w:pPr>
            <w:r>
              <w:rPr>
                <w:rStyle w:val="CharStyle6"/>
                <w:rFonts w:ascii="Calibri" w:eastAsia="Calibri" w:hAnsi="Calibri" w:cs="Calibri"/>
                <w:b/>
                <w:bCs/>
                <w:color w:val="006AB4"/>
                <w:sz w:val="15"/>
                <w:szCs w:val="15"/>
              </w:rPr>
              <w:t>2023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ČEPS</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6 809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40"/>
              <w:jc w:val="left"/>
              <w:rPr>
                <w:sz w:val="13"/>
                <w:szCs w:val="13"/>
              </w:rPr>
            </w:pPr>
            <w:r>
              <w:rPr>
                <w:rStyle w:val="CharStyle6"/>
                <w:b/>
                <w:bCs/>
                <w:color w:val="006AB4"/>
                <w:sz w:val="13"/>
                <w:szCs w:val="13"/>
              </w:rPr>
              <w:t>9 030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20"/>
              <w:jc w:val="left"/>
              <w:rPr>
                <w:sz w:val="12"/>
                <w:szCs w:val="12"/>
              </w:rPr>
            </w:pPr>
            <w:r>
              <w:rPr>
                <w:rStyle w:val="CharStyle6"/>
                <w:b/>
                <w:bCs/>
                <w:color w:val="006AB4"/>
                <w:sz w:val="12"/>
                <w:szCs w:val="12"/>
              </w:rPr>
              <w:t>11 822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7 694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6 851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9 090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9 382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7 452</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6 789</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ČEZD</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40"/>
              <w:jc w:val="left"/>
              <w:rPr>
                <w:sz w:val="12"/>
                <w:szCs w:val="12"/>
              </w:rPr>
            </w:pPr>
            <w:r>
              <w:rPr>
                <w:rStyle w:val="CharStyle6"/>
                <w:b/>
                <w:bCs/>
                <w:color w:val="006AB4"/>
                <w:sz w:val="12"/>
                <w:szCs w:val="12"/>
              </w:rPr>
              <w:t>14 224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60"/>
              <w:jc w:val="left"/>
              <w:rPr>
                <w:sz w:val="13"/>
                <w:szCs w:val="13"/>
              </w:rPr>
            </w:pPr>
            <w:r>
              <w:rPr>
                <w:rStyle w:val="CharStyle6"/>
                <w:b/>
                <w:bCs/>
                <w:color w:val="006AB4"/>
                <w:sz w:val="13"/>
                <w:szCs w:val="13"/>
              </w:rPr>
              <w:t>14 956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20"/>
              <w:jc w:val="left"/>
              <w:rPr>
                <w:sz w:val="12"/>
                <w:szCs w:val="12"/>
              </w:rPr>
            </w:pPr>
            <w:r>
              <w:rPr>
                <w:rStyle w:val="CharStyle6"/>
                <w:b/>
                <w:bCs/>
                <w:color w:val="006AB4"/>
                <w:sz w:val="12"/>
                <w:szCs w:val="12"/>
              </w:rPr>
              <w:t>15 593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16 035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16 244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16 090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16 509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16 795</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16 561</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EG.D</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6 219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40"/>
              <w:jc w:val="left"/>
              <w:rPr>
                <w:sz w:val="13"/>
                <w:szCs w:val="13"/>
              </w:rPr>
            </w:pPr>
            <w:r>
              <w:rPr>
                <w:rStyle w:val="CharStyle6"/>
                <w:b/>
                <w:bCs/>
                <w:color w:val="006AB4"/>
                <w:sz w:val="13"/>
                <w:szCs w:val="13"/>
              </w:rPr>
              <w:t>7 096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8 643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8 973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9 085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9 450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9 635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9 961</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10 202</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PREdi</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1 954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40"/>
              <w:jc w:val="left"/>
              <w:rPr>
                <w:sz w:val="13"/>
                <w:szCs w:val="13"/>
              </w:rPr>
            </w:pPr>
            <w:r>
              <w:rPr>
                <w:rStyle w:val="CharStyle6"/>
                <w:b/>
                <w:bCs/>
                <w:color w:val="006AB4"/>
                <w:sz w:val="13"/>
                <w:szCs w:val="13"/>
              </w:rPr>
              <w:t>2 057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2 095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2 209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2 395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2 477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2 770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2 886</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3 253</w:t>
            </w:r>
          </w:p>
        </w:tc>
      </w:tr>
      <w:tr>
        <w:trPr>
          <w:trHeight w:val="346"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40"/>
              <w:jc w:val="left"/>
              <w:rPr>
                <w:sz w:val="12"/>
                <w:szCs w:val="12"/>
              </w:rPr>
            </w:pPr>
            <w:r>
              <w:rPr>
                <w:rStyle w:val="CharStyle6"/>
                <w:b/>
                <w:bCs/>
                <w:color w:val="006AB4"/>
                <w:sz w:val="12"/>
                <w:szCs w:val="12"/>
              </w:rPr>
              <w:t>29 206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60"/>
              <w:jc w:val="left"/>
              <w:rPr>
                <w:sz w:val="13"/>
                <w:szCs w:val="13"/>
              </w:rPr>
            </w:pPr>
            <w:r>
              <w:rPr>
                <w:rStyle w:val="CharStyle6"/>
                <w:b/>
                <w:bCs/>
                <w:color w:val="006AB4"/>
                <w:sz w:val="13"/>
                <w:szCs w:val="13"/>
              </w:rPr>
              <w:t>33 139</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20"/>
              <w:jc w:val="left"/>
              <w:rPr>
                <w:sz w:val="12"/>
                <w:szCs w:val="12"/>
              </w:rPr>
            </w:pPr>
            <w:r>
              <w:rPr>
                <w:rStyle w:val="CharStyle6"/>
                <w:b/>
                <w:bCs/>
                <w:color w:val="006AB4"/>
                <w:sz w:val="12"/>
                <w:szCs w:val="12"/>
              </w:rPr>
              <w:t>38 152</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34 910</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34 574</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37 107</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38 296</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3"/>
                <w:szCs w:val="13"/>
              </w:rPr>
            </w:pPr>
            <w:r>
              <w:rPr>
                <w:rStyle w:val="CharStyle6"/>
                <w:b/>
                <w:bCs/>
                <w:color w:val="006AB4"/>
                <w:sz w:val="13"/>
                <w:szCs w:val="13"/>
              </w:rPr>
              <w:t>37 093</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36 804</w:t>
            </w:r>
          </w:p>
        </w:tc>
      </w:tr>
    </w:tbl>
    <w:p>
      <w:pPr>
        <w:widowControl w:val="0"/>
        <w:spacing w:after="399" w:line="1" w:lineRule="exact"/>
      </w:pPr>
    </w:p>
    <w:p>
      <w:pPr>
        <w:pStyle w:val="Style19"/>
        <w:keepNext w:val="0"/>
        <w:keepLines w:val="0"/>
        <w:widowControl w:val="0"/>
        <w:shd w:val="clear" w:color="auto" w:fill="auto"/>
        <w:bidi w:val="0"/>
        <w:spacing w:before="0"/>
        <w:ind w:left="2900" w:right="0" w:firstLine="20"/>
        <w:jc w:val="left"/>
      </w:pPr>
      <w:r>
        <w:rPr>
          <w:rStyle w:val="CharStyle20"/>
        </w:rPr>
        <w:t>Investiční plán provozovatele přenosové soustavy vykazuje v letech 2023 a 2024 nárůst nákladů způsobený souběžnou realizací několika významných investičních akcí (zdvojená vedení).</w:t>
      </w:r>
    </w:p>
    <w:p>
      <w:pPr>
        <w:pStyle w:val="Style19"/>
        <w:keepNext w:val="0"/>
        <w:keepLines w:val="0"/>
        <w:widowControl w:val="0"/>
        <w:shd w:val="clear" w:color="auto" w:fill="auto"/>
        <w:bidi w:val="0"/>
        <w:spacing w:before="0"/>
        <w:ind w:left="2900" w:right="0" w:firstLine="20"/>
        <w:jc w:val="left"/>
      </w:pPr>
      <w:r>
        <w:rPr>
          <w:rStyle w:val="CharStyle20"/>
        </w:rPr>
        <w:t>Investiční plány provozovatelů distribučních soustav obsahují kromě běžné obnovy a rozvoje rovněž investice z oblasti technologického rozvoje soustav. Jedná se zejména o investice související s přiměřeným rozvojem elektromobility a budováním související dobíjecí infrastruktury, rozvojem akumulace, integrací decentrální výroby a obnovitelných zdrojů, dále s rozvojem flexibility a agregace, nárůstem přenosu dat a tím zvyšujícími se nároky na IT systémy a jejich zabezpečení.</w:t>
      </w:r>
    </w:p>
    <w:p>
      <w:pPr>
        <w:pStyle w:val="Style19"/>
        <w:keepNext w:val="0"/>
        <w:keepLines w:val="0"/>
        <w:widowControl w:val="0"/>
        <w:numPr>
          <w:ilvl w:val="0"/>
          <w:numId w:val="49"/>
        </w:numPr>
        <w:shd w:val="clear" w:color="auto" w:fill="auto"/>
        <w:tabs>
          <w:tab w:pos="3150" w:val="left"/>
        </w:tabs>
        <w:bidi w:val="0"/>
        <w:spacing w:before="0"/>
        <w:ind w:left="2900" w:right="0" w:firstLine="20"/>
        <w:jc w:val="left"/>
      </w:pPr>
      <w:r>
        <w:rPr>
          <w:rStyle w:val="CharStyle20"/>
        </w:rPr>
        <w:t>rámci integrace elektromobility se počítá s rozvojem chytrého řízení nabíjení a od roku 2025 se navíc očekává rozvoj konceptu zpětného vybíjení vozidel do sítě (tzv. Vehicle to grid), který umožní navýšit využitelnost připojených elektromobilů pro stabilizaci sítí.</w:t>
      </w:r>
    </w:p>
    <w:p>
      <w:pPr>
        <w:pStyle w:val="Style19"/>
        <w:keepNext w:val="0"/>
        <w:keepLines w:val="0"/>
        <w:widowControl w:val="0"/>
        <w:shd w:val="clear" w:color="auto" w:fill="auto"/>
        <w:bidi w:val="0"/>
        <w:spacing w:before="0"/>
        <w:ind w:left="2900" w:right="0" w:firstLine="20"/>
        <w:jc w:val="left"/>
      </w:pPr>
      <w:r>
        <w:rPr>
          <w:rStyle w:val="CharStyle20"/>
        </w:rPr>
        <w:t>Jednoznačným trendem v energetice je posilování decentralizace výrobní základny související se změnou struktury výrobního mixu akcelerované zejména posledním vývojem na energetických trzích, dotačními tituly a očekávaným rozvojem samovýroby a sdílení elektřiny. Jedná se zejména o větší nasazení OZE, především FVE, připojovaných do nižších napěťových hladin (vn i nn), včetně umístění těchto zdrojů do odběrných míst zákazníků (prosumeři). Do budoucna lze očekávat velké rozšíření systémů FVE, jejichž součástí bude akumulační zařízení (zejména střešní instalace FVE na hladině nn v odběrných místech zákazníků).</w:t>
      </w:r>
    </w:p>
    <w:p>
      <w:pPr>
        <w:pStyle w:val="Style19"/>
        <w:keepNext w:val="0"/>
        <w:keepLines w:val="0"/>
        <w:widowControl w:val="0"/>
        <w:numPr>
          <w:ilvl w:val="0"/>
          <w:numId w:val="49"/>
        </w:numPr>
        <w:shd w:val="clear" w:color="auto" w:fill="auto"/>
        <w:tabs>
          <w:tab w:pos="3150" w:val="left"/>
        </w:tabs>
        <w:bidi w:val="0"/>
        <w:spacing w:before="0"/>
        <w:ind w:left="2900" w:right="0" w:firstLine="20"/>
        <w:jc w:val="left"/>
      </w:pPr>
      <w:bookmarkStart w:id="319" w:name="bookmark319"/>
      <w:r>
        <w:rPr>
          <w:rStyle w:val="CharStyle20"/>
        </w:rPr>
        <w:t>souvislosti s rozvojem technologií postupně vzrůstá potenciál flexibility, přičemž se pomalu rozšiřuje i na úroveň běžných zákazníků. Očekává se, že tento potenciál nadále poroste a jeho využití bude maximalizováno prostřednictvím efektivní agregace.</w:t>
      </w:r>
      <w:bookmarkEnd w:id="319"/>
      <w:r>
        <w:br w:type="page"/>
      </w:r>
    </w:p>
    <w:p>
      <w:pPr>
        <w:pStyle w:val="Style19"/>
        <w:keepNext w:val="0"/>
        <w:keepLines w:val="0"/>
        <w:widowControl w:val="0"/>
        <w:shd w:val="clear" w:color="auto" w:fill="auto"/>
        <w:bidi w:val="0"/>
        <w:spacing w:before="0" w:line="300" w:lineRule="auto"/>
        <w:ind w:left="0" w:right="0" w:firstLine="0"/>
        <w:jc w:val="left"/>
      </w:pPr>
      <w:r>
        <w:rPr>
          <w:rStyle w:val="CharStyle20"/>
        </w:rPr>
        <w:t>Do nové energetiky směřují jednotliví provozovatelé distribučních soustav následující objemy investic:</w:t>
      </w:r>
    </w:p>
    <w:p>
      <w:pPr>
        <w:pStyle w:val="Style44"/>
        <w:keepNext w:val="0"/>
        <w:keepLines w:val="0"/>
        <w:widowControl w:val="0"/>
        <w:shd w:val="clear" w:color="auto" w:fill="auto"/>
        <w:bidi w:val="0"/>
        <w:spacing w:before="0" w:after="0" w:line="240" w:lineRule="auto"/>
        <w:ind w:left="0" w:right="0" w:firstLine="0"/>
        <w:jc w:val="left"/>
      </w:pPr>
      <w:r>
        <w:rPr>
          <w:rStyle w:val="CharStyle45"/>
          <w:b/>
          <w:bCs/>
        </w:rPr>
        <w:t>Tab. 7.2 Vývoj investic do nové energetiky</w:t>
      </w:r>
    </w:p>
    <w:tbl>
      <w:tblPr>
        <w:tblOverlap w:val="never"/>
        <w:jc w:val="left"/>
        <w:tblLayout w:type="fixed"/>
      </w:tblPr>
      <w:tblGrid>
        <w:gridCol w:w="715"/>
        <w:gridCol w:w="715"/>
        <w:gridCol w:w="710"/>
        <w:gridCol w:w="715"/>
        <w:gridCol w:w="710"/>
        <w:gridCol w:w="715"/>
        <w:gridCol w:w="715"/>
        <w:gridCol w:w="710"/>
        <w:gridCol w:w="715"/>
        <w:gridCol w:w="720"/>
      </w:tblGrid>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(mil. Kč)</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5"/>
                <w:szCs w:val="15"/>
              </w:rPr>
            </w:pPr>
            <w:r>
              <w:rPr>
                <w:rStyle w:val="CharStyle6"/>
                <w:rFonts w:ascii="Calibri" w:eastAsia="Calibri" w:hAnsi="Calibri" w:cs="Calibri"/>
                <w:b/>
                <w:bCs/>
                <w:color w:val="006AB4"/>
                <w:sz w:val="15"/>
                <w:szCs w:val="15"/>
              </w:rPr>
              <w:t>2022</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5"/>
                <w:szCs w:val="15"/>
              </w:rPr>
            </w:pPr>
            <w:r>
              <w:rPr>
                <w:rStyle w:val="CharStyle6"/>
                <w:rFonts w:ascii="Calibri" w:eastAsia="Calibri" w:hAnsi="Calibri" w:cs="Calibri"/>
                <w:b/>
                <w:bCs/>
                <w:color w:val="006AB4"/>
                <w:sz w:val="15"/>
                <w:szCs w:val="15"/>
              </w:rPr>
              <w:t>2023</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5"/>
                <w:szCs w:val="15"/>
              </w:rPr>
            </w:pPr>
            <w:r>
              <w:rPr>
                <w:rStyle w:val="CharStyle6"/>
                <w:rFonts w:ascii="Calibri" w:eastAsia="Calibri" w:hAnsi="Calibri" w:cs="Calibri"/>
                <w:b/>
                <w:bCs/>
                <w:color w:val="006AB4"/>
                <w:sz w:val="15"/>
                <w:szCs w:val="15"/>
              </w:rPr>
              <w:t>2025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2029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5"/>
                <w:szCs w:val="15"/>
              </w:rPr>
            </w:pPr>
            <w:r>
              <w:rPr>
                <w:rStyle w:val="CharStyle6"/>
                <w:rFonts w:ascii="Calibri" w:eastAsia="Calibri" w:hAnsi="Calibri" w:cs="Calibri"/>
                <w:b/>
                <w:bCs/>
                <w:color w:val="006AB4"/>
                <w:sz w:val="15"/>
                <w:szCs w:val="15"/>
              </w:rPr>
              <w:t>2030</w:t>
            </w:r>
          </w:p>
        </w:tc>
      </w:tr>
      <w:tr>
        <w:trPr>
          <w:trHeight w:val="331"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ČEZD</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1 475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2 935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3 544</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3 678</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3 265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3 039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3 039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3 039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3 039</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EG.D</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385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717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1 517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2 047</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2 046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2 050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2 025</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2 038</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2 191</w:t>
            </w:r>
          </w:p>
        </w:tc>
      </w:tr>
      <w:tr>
        <w:trPr>
          <w:trHeight w:val="336" w:hRule="exact"/>
        </w:trPr>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PREdi</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291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400"/>
              <w:jc w:val="left"/>
              <w:rPr>
                <w:sz w:val="12"/>
                <w:szCs w:val="12"/>
              </w:rPr>
            </w:pPr>
            <w:r>
              <w:rPr>
                <w:rStyle w:val="CharStyle6"/>
                <w:b/>
                <w:bCs/>
                <w:color w:val="006AB4"/>
                <w:sz w:val="12"/>
                <w:szCs w:val="12"/>
              </w:rPr>
              <w:t>359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371</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429</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440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486</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590</w:t>
            </w:r>
          </w:p>
        </w:tc>
        <w:tc>
          <w:tcPr>
            <w:tcBorders>
              <w:top w:val="single" w:sz="4"/>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669</w:t>
            </w:r>
          </w:p>
        </w:tc>
        <w:tc>
          <w:tcPr>
            <w:tcBorders>
              <w:top w:val="single" w:sz="4"/>
              <w:left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693</w:t>
            </w:r>
          </w:p>
        </w:tc>
      </w:tr>
      <w:tr>
        <w:trPr>
          <w:trHeight w:val="346" w:hRule="exact"/>
        </w:trPr>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5"/>
                <w:szCs w:val="15"/>
              </w:rPr>
            </w:pPr>
            <w:r>
              <w:rPr>
                <w:rStyle w:val="CharStyle6"/>
                <w:rFonts w:ascii="Calibri" w:eastAsia="Calibri" w:hAnsi="Calibri" w:cs="Calibri"/>
                <w:b/>
                <w:bCs/>
                <w:color w:val="006AB4"/>
                <w:sz w:val="15"/>
                <w:szCs w:val="15"/>
              </w:rPr>
              <w:t>Celkem</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2 151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4 011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5 432</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300"/>
              <w:jc w:val="left"/>
              <w:rPr>
                <w:sz w:val="12"/>
                <w:szCs w:val="12"/>
              </w:rPr>
            </w:pPr>
            <w:r>
              <w:rPr>
                <w:rStyle w:val="CharStyle6"/>
                <w:b/>
                <w:bCs/>
                <w:color w:val="006AB4"/>
                <w:sz w:val="12"/>
                <w:szCs w:val="12"/>
              </w:rPr>
              <w:t>6 154</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5 751</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5 575</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5 654</w:t>
            </w:r>
          </w:p>
        </w:tc>
        <w:tc>
          <w:tcPr>
            <w:tcBorders>
              <w:top w:val="single" w:sz="4"/>
              <w:left w:val="single" w:sz="4"/>
              <w:bottom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5 746</w:t>
            </w:r>
          </w:p>
        </w:tc>
        <w:tc>
          <w:tcPr>
            <w:tcBorders>
              <w:top w:val="single" w:sz="4"/>
              <w:left w:val="single" w:sz="4"/>
              <w:bottom w:val="single" w:sz="4"/>
              <w:righ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right"/>
              <w:rPr>
                <w:sz w:val="12"/>
                <w:szCs w:val="12"/>
              </w:rPr>
            </w:pPr>
            <w:r>
              <w:rPr>
                <w:rStyle w:val="CharStyle6"/>
                <w:b/>
                <w:bCs/>
                <w:color w:val="006AB4"/>
                <w:sz w:val="12"/>
                <w:szCs w:val="12"/>
              </w:rPr>
              <w:t>5 923</w:t>
            </w:r>
          </w:p>
        </w:tc>
      </w:tr>
    </w:tbl>
    <w:p>
      <w:pPr>
        <w:widowControl w:val="0"/>
        <w:spacing w:after="479" w:line="1" w:lineRule="exact"/>
      </w:pPr>
    </w:p>
    <w:p>
      <w:pPr>
        <w:pStyle w:val="Style19"/>
        <w:keepNext w:val="0"/>
        <w:keepLines w:val="0"/>
        <w:widowControl w:val="0"/>
        <w:shd w:val="clear" w:color="auto" w:fill="auto"/>
        <w:bidi w:val="0"/>
        <w:spacing w:before="0"/>
        <w:ind w:left="0" w:right="0" w:firstLine="0"/>
        <w:jc w:val="left"/>
      </w:pPr>
      <w:r>
        <w:rPr>
          <w:rStyle w:val="CharStyle20"/>
        </w:rPr>
        <w:t>Za všechny regionální provozovatele distribučních soustav se podíl investic do nové energetiky na celkové sumě plánovaných investic bude pohybovat ve sledovaném období v rozmezí 10 až 20 %. V souvislosti s hodnotami ve výše uvedené tabulce je potřeba podotknout, že část investic souvisejících s integrací OZE je zahrnuta do běžné obnovy a rozvoje.</w:t>
      </w:r>
    </w:p>
    <w:p>
      <w:pPr>
        <w:pStyle w:val="Style19"/>
        <w:keepNext w:val="0"/>
        <w:keepLines w:val="0"/>
        <w:widowControl w:val="0"/>
        <w:shd w:val="clear" w:color="auto" w:fill="auto"/>
        <w:bidi w:val="0"/>
        <w:spacing w:before="0"/>
        <w:ind w:left="0" w:right="0" w:firstLine="0"/>
        <w:jc w:val="left"/>
      </w:pPr>
      <w:r>
        <w:rPr>
          <w:rStyle w:val="CharStyle20"/>
          <w:b/>
          <w:bCs/>
        </w:rPr>
        <w:t>Investiční plány provozovatelů soustav je třeba průběžně aktualizovat z důvodu rostoucího počtu žádostí o připojení a s tím i související nutností posílit schopnost elektrizační soustavy integrovat decentrální zdroje. Zároveň bude nezbytné reflektovat nárůst cen materiálů a prací spojený s vývojem inflace. Z těchto důvodů lze předpokládat podstatné navýšení investičních rozpočtů provozovatelů sítí, a to i přes využití dotačních programů. Objem investic souvisejících s integrací OZE může narůst až na vyšší desítky mld. Kč pro nadcházejících 10 let. Konečná výše se bude odvíjet kromě výše uvedených vlivů i od legislativních a technických opatření, která mohou při vhodném nastavení celkový objem investic snížit.</w:t>
      </w:r>
    </w:p>
    <w:p>
      <w:pPr>
        <w:pStyle w:val="Style19"/>
        <w:keepNext w:val="0"/>
        <w:keepLines w:val="0"/>
        <w:widowControl w:val="0"/>
        <w:shd w:val="clear" w:color="auto" w:fill="auto"/>
        <w:bidi w:val="0"/>
        <w:spacing w:before="0" w:after="600" w:line="300" w:lineRule="auto"/>
        <w:ind w:left="0" w:right="0" w:firstLine="0"/>
        <w:jc w:val="left"/>
      </w:pPr>
      <w:r>
        <w:rPr>
          <w:rStyle w:val="CharStyle20"/>
        </w:rPr>
        <w:t>Obdobný trend jako v oblasti investic je i u provozních nákladů, jejichž výše bude ovlivněna nejen náklady na provoz a údržbu zařízení přenosové a distribuční soustavy, ale i dalšími činnostmi spojenými s výše uvedenými trendy.</w:t>
      </w:r>
    </w:p>
    <w:p>
      <w:pPr>
        <w:pStyle w:val="Style5"/>
        <w:keepNext w:val="0"/>
        <w:keepLines w:val="0"/>
        <w:widowControl w:val="0"/>
        <w:shd w:val="clear" w:color="auto" w:fill="auto"/>
        <w:tabs>
          <w:tab w:pos="2611" w:val="left"/>
          <w:tab w:pos="5232" w:val="left"/>
        </w:tabs>
        <w:bidi w:val="0"/>
        <w:spacing w:before="0" w:after="40" w:line="240" w:lineRule="auto"/>
        <w:ind w:left="0" w:right="0" w:firstLine="0"/>
        <w:jc w:val="center"/>
        <w:rPr>
          <w:sz w:val="56"/>
          <w:szCs w:val="56"/>
        </w:rPr>
      </w:pPr>
      <w:r>
        <w:rPr>
          <w:rStyle w:val="CharStyle6"/>
          <w:rFonts w:ascii="Courier New" w:eastAsia="Courier New" w:hAnsi="Courier New" w:cs="Courier New"/>
          <w:color w:val="B7B8B8"/>
          <w:sz w:val="56"/>
          <w:szCs w:val="56"/>
        </w:rPr>
        <w:t>I</w:t>
        <w:tab/>
        <w:t>I</w:t>
        <w:tab/>
        <w:t>I</w:t>
      </w:r>
    </w:p>
    <w:p>
      <w:pPr>
        <w:pStyle w:val="Style15"/>
        <w:keepNext/>
        <w:keepLines/>
        <w:widowControl w:val="0"/>
        <w:shd w:val="clear" w:color="auto" w:fill="auto"/>
        <w:bidi w:val="0"/>
        <w:spacing w:before="0" w:after="420" w:line="300" w:lineRule="auto"/>
        <w:ind w:left="0" w:right="0" w:firstLine="0"/>
        <w:jc w:val="left"/>
      </w:pPr>
      <w:bookmarkStart w:id="321" w:name="bookmark321"/>
      <w:r>
        <w:rPr>
          <w:rStyle w:val="CharStyle16"/>
          <w:b/>
          <w:bCs/>
        </w:rPr>
        <w:t>Obr. 7.1 Indikativní predikce aktivovaných investic regulovaných subjektů (ČEPS, ČEZD, EG.D, PREdi)</w:t>
      </w:r>
      <w:bookmarkEnd w:id="321"/>
    </w:p>
    <w:p>
      <w:pPr>
        <w:pStyle w:val="Style37"/>
        <w:keepNext w:val="0"/>
        <w:keepLines w:val="0"/>
        <w:widowControl w:val="0"/>
        <w:shd w:val="clear" w:color="auto" w:fill="auto"/>
        <w:bidi w:val="0"/>
        <w:spacing w:before="0" w:after="240" w:line="240" w:lineRule="auto"/>
        <w:ind w:left="0" w:right="0" w:firstLine="380"/>
        <w:jc w:val="left"/>
        <w:rPr>
          <w:sz w:val="12"/>
          <w:szCs w:val="12"/>
        </w:rPr>
      </w:pPr>
      <w:r>
        <w:drawing>
          <wp:anchor distT="25400" distB="208280" distL="59690" distR="38100" simplePos="0" relativeHeight="125829535" behindDoc="0" locked="0" layoutInCell="1" allowOverlap="1">
            <wp:simplePos x="0" y="0"/>
            <wp:positionH relativeFrom="margin">
              <wp:posOffset>591820</wp:posOffset>
            </wp:positionH>
            <wp:positionV relativeFrom="paragraph">
              <wp:posOffset>38100</wp:posOffset>
            </wp:positionV>
            <wp:extent cx="6516370" cy="2035810"/>
            <wp:wrapSquare wrapText="bothSides"/>
            <wp:docPr id="641" name="Shape 641"/>
            <a:graphic xmlns:a="http://schemas.openxmlformats.org/drawingml/2006/main">
              <a:graphicData uri="http://schemas.openxmlformats.org/drawingml/2006/picture">
                <pic:pic xmlns:pic="http://schemas.openxmlformats.org/drawingml/2006/picture">
                  <pic:nvPicPr>
                    <pic:cNvPr id="642" name="Picture box 642"/>
                    <pic:cNvPicPr/>
                  </pic:nvPicPr>
                  <pic:blipFill>
                    <a:blip r:embed="rId431"/>
                    <a:stretch/>
                  </pic:blipFill>
                  <pic:spPr>
                    <a:xfrm>
                      <a:ext cx="6516370" cy="203581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margin">
                  <wp:posOffset>570230</wp:posOffset>
                </wp:positionH>
                <wp:positionV relativeFrom="paragraph">
                  <wp:posOffset>2138045</wp:posOffset>
                </wp:positionV>
                <wp:extent cx="5654040" cy="115570"/>
                <wp:wrapNone/>
                <wp:docPr id="643" name="Shape 643"/>
                <a:graphic xmlns:a="http://schemas.openxmlformats.org/drawingml/2006/main">
                  <a:graphicData uri="http://schemas.microsoft.com/office/word/2010/wordprocessingShape">
                    <wps:wsp>
                      <wps:cNvSpPr txBox="1"/>
                      <wps:spPr>
                        <a:xfrm>
                          <a:ext cx="5654040" cy="115570"/>
                        </a:xfrm>
                        <a:prstGeom prst="rect"/>
                        <a:noFill/>
                      </wps:spPr>
                      <wps:txbx>
                        <w:txbxContent>
                          <w:p>
                            <w:pPr>
                              <w:pStyle w:val="Style2"/>
                              <w:keepNext w:val="0"/>
                              <w:keepLines w:val="0"/>
                              <w:widowControl w:val="0"/>
                              <w:shd w:val="clear" w:color="auto" w:fill="auto"/>
                              <w:tabs>
                                <w:tab w:pos="984" w:val="left"/>
                                <w:tab w:pos="2083" w:val="left"/>
                                <w:tab w:pos="3187" w:val="left"/>
                                <w:tab w:pos="4286" w:val="left"/>
                                <w:tab w:pos="5386" w:val="left"/>
                                <w:tab w:pos="6490" w:val="left"/>
                                <w:tab w:pos="7589" w:val="left"/>
                                <w:tab w:pos="8563" w:val="left"/>
                              </w:tabs>
                              <w:bidi w:val="0"/>
                              <w:spacing w:before="0" w:after="0" w:line="240" w:lineRule="auto"/>
                              <w:ind w:left="0" w:right="0" w:firstLine="0"/>
                              <w:jc w:val="left"/>
                              <w:rPr>
                                <w:sz w:val="12"/>
                                <w:szCs w:val="12"/>
                              </w:rPr>
                            </w:pPr>
                            <w:r>
                              <w:rPr>
                                <w:rStyle w:val="CharStyle3"/>
                                <w:b/>
                                <w:bCs/>
                                <w:sz w:val="12"/>
                                <w:szCs w:val="12"/>
                              </w:rPr>
                              <w:t>2022</w:t>
                              <w:tab/>
                              <w:t>2023</w:t>
                              <w:tab/>
                              <w:t>2024</w:t>
                              <w:tab/>
                              <w:t>2025</w:t>
                              <w:tab/>
                              <w:t>2026</w:t>
                              <w:tab/>
                              <w:t>2027</w:t>
                              <w:tab/>
                              <w:t>2028</w:t>
                              <w:tab/>
                              <w:t>2029</w:t>
                              <w:tab/>
                              <w:t>2030</w:t>
                            </w:r>
                          </w:p>
                        </w:txbxContent>
                      </wps:txbx>
                      <wps:bodyPr lIns="0" tIns="0" rIns="0" bIns="0">
                        <a:noAutoFit/>
                      </wps:bodyPr>
                    </wps:wsp>
                  </a:graphicData>
                </a:graphic>
              </wp:anchor>
            </w:drawing>
          </mc:Choice>
          <mc:Fallback>
            <w:pict>
              <v:shape id="_x0000_s1669" type="#_x0000_t202" style="position:absolute;margin-left:44.899999999999999pt;margin-top:168.34999999999999pt;width:445.19999999999999pt;height:9.0999999999999996pt;z-index:251657831;mso-wrap-distance-left:0;mso-wrap-distance-right:0;mso-position-horizontal-relative:margin" filled="f" stroked="f">
                <v:textbox inset="0,0,0,0">
                  <w:txbxContent>
                    <w:p>
                      <w:pPr>
                        <w:pStyle w:val="Style2"/>
                        <w:keepNext w:val="0"/>
                        <w:keepLines w:val="0"/>
                        <w:widowControl w:val="0"/>
                        <w:shd w:val="clear" w:color="auto" w:fill="auto"/>
                        <w:tabs>
                          <w:tab w:pos="984" w:val="left"/>
                          <w:tab w:pos="2083" w:val="left"/>
                          <w:tab w:pos="3187" w:val="left"/>
                          <w:tab w:pos="4286" w:val="left"/>
                          <w:tab w:pos="5386" w:val="left"/>
                          <w:tab w:pos="6490" w:val="left"/>
                          <w:tab w:pos="7589" w:val="left"/>
                          <w:tab w:pos="8563" w:val="left"/>
                        </w:tabs>
                        <w:bidi w:val="0"/>
                        <w:spacing w:before="0" w:after="0" w:line="240" w:lineRule="auto"/>
                        <w:ind w:left="0" w:right="0" w:firstLine="0"/>
                        <w:jc w:val="left"/>
                        <w:rPr>
                          <w:sz w:val="12"/>
                          <w:szCs w:val="12"/>
                        </w:rPr>
                      </w:pPr>
                      <w:r>
                        <w:rPr>
                          <w:rStyle w:val="CharStyle3"/>
                          <w:b/>
                          <w:bCs/>
                          <w:sz w:val="12"/>
                          <w:szCs w:val="12"/>
                        </w:rPr>
                        <w:t>2022</w:t>
                        <w:tab/>
                        <w:t>2023</w:t>
                        <w:tab/>
                        <w:t>2024</w:t>
                        <w:tab/>
                        <w:t>2025</w:t>
                        <w:tab/>
                        <w:t>2026</w:t>
                        <w:tab/>
                        <w:t>2027</w:t>
                        <w:tab/>
                        <w:t>2028</w:t>
                        <w:tab/>
                        <w:t>2029</w:t>
                        <w:tab/>
                        <w:t>2030</w:t>
                      </w:r>
                    </w:p>
                  </w:txbxContent>
                </v:textbox>
                <w10:wrap anchorx="margin"/>
              </v:shape>
            </w:pict>
          </mc:Fallback>
        </mc:AlternateContent>
      </w:r>
      <w:r>
        <w:rPr>
          <w:rStyle w:val="CharStyle38"/>
          <w:b/>
          <w:bCs/>
          <w:color w:val="006AB4"/>
          <w:sz w:val="12"/>
          <w:szCs w:val="12"/>
        </w:rPr>
        <w:t>40 000</w:t>
      </w:r>
    </w:p>
    <w:p>
      <w:pPr>
        <w:pStyle w:val="Style37"/>
        <w:keepNext w:val="0"/>
        <w:keepLines w:val="0"/>
        <w:widowControl w:val="0"/>
        <w:shd w:val="clear" w:color="auto" w:fill="auto"/>
        <w:bidi w:val="0"/>
        <w:spacing w:before="0" w:after="240" w:line="240" w:lineRule="auto"/>
        <w:ind w:left="0" w:right="0" w:firstLine="380"/>
        <w:jc w:val="left"/>
        <w:rPr>
          <w:sz w:val="12"/>
          <w:szCs w:val="12"/>
        </w:rPr>
      </w:pPr>
      <w:r>
        <w:rPr>
          <w:rStyle w:val="CharStyle38"/>
          <w:b/>
          <w:bCs/>
          <w:color w:val="006AB4"/>
          <w:sz w:val="12"/>
          <w:szCs w:val="12"/>
        </w:rPr>
        <w:t>35 000</w:t>
      </w:r>
    </w:p>
    <w:p>
      <w:pPr>
        <w:pStyle w:val="Style37"/>
        <w:keepNext w:val="0"/>
        <w:keepLines w:val="0"/>
        <w:widowControl w:val="0"/>
        <w:shd w:val="clear" w:color="auto" w:fill="auto"/>
        <w:bidi w:val="0"/>
        <w:spacing w:before="0" w:after="240" w:line="240" w:lineRule="auto"/>
        <w:ind w:left="0" w:right="0" w:firstLine="380"/>
        <w:jc w:val="left"/>
        <w:rPr>
          <w:sz w:val="12"/>
          <w:szCs w:val="12"/>
        </w:rPr>
      </w:pPr>
      <w:r>
        <w:rPr>
          <w:rStyle w:val="CharStyle38"/>
          <w:b/>
          <w:bCs/>
          <w:color w:val="006AB4"/>
          <w:sz w:val="12"/>
          <w:szCs w:val="12"/>
        </w:rPr>
        <w:t>30 000</w:t>
      </w:r>
    </w:p>
    <w:p>
      <w:pPr>
        <w:pStyle w:val="Style37"/>
        <w:keepNext w:val="0"/>
        <w:keepLines w:val="0"/>
        <w:widowControl w:val="0"/>
        <w:shd w:val="clear" w:color="auto" w:fill="auto"/>
        <w:tabs>
          <w:tab w:pos="346" w:val="left"/>
        </w:tabs>
        <w:bidi w:val="0"/>
        <w:spacing w:before="0" w:after="40" w:line="240" w:lineRule="auto"/>
        <w:ind w:left="0" w:right="0" w:firstLine="0"/>
        <w:jc w:val="left"/>
        <w:rPr>
          <w:sz w:val="12"/>
          <w:szCs w:val="12"/>
        </w:rPr>
      </w:pPr>
      <w:r>
        <w:rPr>
          <w:rStyle w:val="CharStyle38"/>
          <w:b/>
          <w:bCs/>
          <w:color w:val="006AB4"/>
          <w:sz w:val="12"/>
          <w:szCs w:val="12"/>
        </w:rPr>
        <w:t>*</w:t>
        <w:tab/>
        <w:t>25 000</w:t>
      </w:r>
    </w:p>
    <w:p>
      <w:pPr>
        <w:pStyle w:val="Style37"/>
        <w:keepNext w:val="0"/>
        <w:keepLines w:val="0"/>
        <w:widowControl w:val="0"/>
        <w:shd w:val="clear" w:color="auto" w:fill="auto"/>
        <w:bidi w:val="0"/>
        <w:spacing w:before="0" w:after="0" w:line="240" w:lineRule="auto"/>
        <w:ind w:left="0" w:right="0" w:firstLine="0"/>
        <w:jc w:val="left"/>
        <w:rPr>
          <w:sz w:val="12"/>
          <w:szCs w:val="12"/>
        </w:rPr>
      </w:pPr>
      <w:r>
        <w:rPr>
          <w:rStyle w:val="CharStyle38"/>
          <w:b/>
          <w:bCs/>
          <w:color w:val="006AB4"/>
          <w:sz w:val="12"/>
          <w:szCs w:val="12"/>
        </w:rPr>
        <w:t>Ě</w:t>
      </w:r>
    </w:p>
    <w:p>
      <w:pPr>
        <w:pStyle w:val="Style37"/>
        <w:keepNext w:val="0"/>
        <w:keepLines w:val="0"/>
        <w:widowControl w:val="0"/>
        <w:shd w:val="clear" w:color="auto" w:fill="auto"/>
        <w:bidi w:val="0"/>
        <w:spacing w:before="0" w:after="0" w:line="240" w:lineRule="auto"/>
        <w:ind w:left="0" w:right="0" w:firstLine="0"/>
        <w:jc w:val="left"/>
        <w:rPr>
          <w:sz w:val="12"/>
          <w:szCs w:val="12"/>
        </w:rPr>
      </w:pPr>
      <w:r>
        <w:rPr>
          <w:rStyle w:val="CharStyle38"/>
          <w:b/>
          <w:bCs/>
          <w:i/>
          <w:iCs/>
          <w:color w:val="006AB4"/>
          <w:sz w:val="12"/>
          <w:szCs w:val="12"/>
        </w:rPr>
        <w:t>Z</w:t>
      </w:r>
      <w:r>
        <w:rPr>
          <w:rStyle w:val="CharStyle38"/>
          <w:b/>
          <w:bCs/>
          <w:color w:val="006AB4"/>
          <w:sz w:val="12"/>
          <w:szCs w:val="12"/>
        </w:rPr>
        <w:t xml:space="preserve"> 20 000</w:t>
      </w:r>
    </w:p>
    <w:p>
      <w:pPr>
        <w:pStyle w:val="Style37"/>
        <w:keepNext w:val="0"/>
        <w:keepLines w:val="0"/>
        <w:widowControl w:val="0"/>
        <w:shd w:val="clear" w:color="auto" w:fill="auto"/>
        <w:bidi w:val="0"/>
        <w:spacing w:before="0" w:after="160" w:line="180" w:lineRule="auto"/>
        <w:ind w:left="0" w:right="0" w:firstLine="0"/>
        <w:jc w:val="both"/>
        <w:rPr>
          <w:sz w:val="12"/>
          <w:szCs w:val="12"/>
        </w:rPr>
      </w:pPr>
      <w:r>
        <w:rPr>
          <w:rStyle w:val="CharStyle38"/>
          <w:b/>
          <w:bCs/>
          <w:color w:val="006AB4"/>
          <w:sz w:val="12"/>
          <w:szCs w:val="12"/>
        </w:rPr>
        <w:t>V</w:t>
      </w:r>
    </w:p>
    <w:p>
      <w:pPr>
        <w:pStyle w:val="Style37"/>
        <w:keepNext w:val="0"/>
        <w:keepLines w:val="0"/>
        <w:widowControl w:val="0"/>
        <w:shd w:val="clear" w:color="auto" w:fill="auto"/>
        <w:tabs>
          <w:tab w:pos="346" w:val="left"/>
        </w:tabs>
        <w:bidi w:val="0"/>
        <w:spacing w:before="0" w:after="0" w:line="240" w:lineRule="auto"/>
        <w:ind w:left="0" w:right="0" w:firstLine="0"/>
        <w:jc w:val="left"/>
        <w:rPr>
          <w:sz w:val="12"/>
          <w:szCs w:val="12"/>
        </w:rPr>
      </w:pPr>
      <w:r>
        <w:rPr>
          <w:rStyle w:val="CharStyle38"/>
          <w:b/>
          <w:bCs/>
          <w:color w:val="006AB4"/>
          <w:sz w:val="12"/>
          <w:szCs w:val="12"/>
        </w:rPr>
        <w:t>&gt;</w:t>
        <w:tab/>
        <w:t>15 000</w:t>
      </w:r>
    </w:p>
    <w:p>
      <w:pPr>
        <w:pStyle w:val="Style37"/>
        <w:keepNext w:val="0"/>
        <w:keepLines w:val="0"/>
        <w:widowControl w:val="0"/>
        <w:shd w:val="clear" w:color="auto" w:fill="auto"/>
        <w:bidi w:val="0"/>
        <w:spacing w:before="0" w:after="160" w:line="180" w:lineRule="auto"/>
        <w:ind w:left="0" w:right="0" w:firstLine="0"/>
        <w:jc w:val="left"/>
        <w:rPr>
          <w:sz w:val="12"/>
          <w:szCs w:val="12"/>
        </w:rPr>
      </w:pPr>
      <w:r>
        <w:rPr>
          <w:rStyle w:val="CharStyle38"/>
          <w:b/>
          <w:bCs/>
          <w:color w:val="006AB4"/>
          <w:sz w:val="12"/>
          <w:szCs w:val="12"/>
        </w:rPr>
        <w:t>c</w:t>
      </w:r>
    </w:p>
    <w:p>
      <w:pPr>
        <w:pStyle w:val="Style37"/>
        <w:keepNext w:val="0"/>
        <w:keepLines w:val="0"/>
        <w:widowControl w:val="0"/>
        <w:shd w:val="clear" w:color="auto" w:fill="auto"/>
        <w:bidi w:val="0"/>
        <w:spacing w:before="0" w:after="240" w:line="240" w:lineRule="auto"/>
        <w:ind w:left="0" w:right="0" w:firstLine="380"/>
        <w:jc w:val="left"/>
        <w:rPr>
          <w:sz w:val="12"/>
          <w:szCs w:val="12"/>
        </w:rPr>
      </w:pPr>
      <w:r>
        <w:rPr>
          <w:rStyle w:val="CharStyle38"/>
          <w:b/>
          <w:bCs/>
          <w:color w:val="006AB4"/>
          <w:sz w:val="12"/>
          <w:szCs w:val="12"/>
        </w:rPr>
        <w:t>10 000</w:t>
      </w:r>
    </w:p>
    <w:p>
      <w:pPr>
        <w:pStyle w:val="Style37"/>
        <w:keepNext w:val="0"/>
        <w:keepLines w:val="0"/>
        <w:widowControl w:val="0"/>
        <w:shd w:val="clear" w:color="auto" w:fill="auto"/>
        <w:bidi w:val="0"/>
        <w:spacing w:before="0" w:after="240" w:line="240" w:lineRule="auto"/>
        <w:ind w:left="0" w:right="0" w:firstLine="460"/>
        <w:jc w:val="left"/>
        <w:rPr>
          <w:sz w:val="12"/>
          <w:szCs w:val="12"/>
        </w:rPr>
      </w:pPr>
      <w:r>
        <w:rPr>
          <w:rStyle w:val="CharStyle38"/>
          <w:b/>
          <w:bCs/>
          <w:color w:val="006AB4"/>
          <w:sz w:val="12"/>
          <w:szCs w:val="12"/>
        </w:rPr>
        <w:t>5 000</w:t>
      </w:r>
    </w:p>
    <w:p>
      <w:pPr>
        <w:pStyle w:val="Style37"/>
        <w:keepNext w:val="0"/>
        <w:keepLines w:val="0"/>
        <w:widowControl w:val="0"/>
        <w:shd w:val="clear" w:color="auto" w:fill="auto"/>
        <w:bidi w:val="0"/>
        <w:spacing w:before="0" w:after="0" w:line="240" w:lineRule="auto"/>
        <w:ind w:left="0" w:right="0" w:firstLine="700"/>
        <w:jc w:val="left"/>
        <w:rPr>
          <w:sz w:val="12"/>
          <w:szCs w:val="12"/>
        </w:rPr>
        <w:sectPr>
          <w:footnotePr>
            <w:pos w:val="pageBottom"/>
            <w:numFmt w:val="decimal"/>
            <w:numRestart w:val="continuous"/>
          </w:footnotePr>
          <w:pgSz w:w="12142" w:h="17375"/>
          <w:pgMar w:top="1084" w:right="835" w:bottom="2270" w:left="835" w:header="0" w:footer="3" w:gutter="374"/>
          <w:cols w:space="720"/>
          <w:noEndnote/>
          <w:rtlGutter w:val="0"/>
          <w:docGrid w:linePitch="360"/>
        </w:sectPr>
      </w:pPr>
      <w:r>
        <w:rPr>
          <w:rStyle w:val="CharStyle38"/>
          <w:b/>
          <w:bCs/>
          <w:color w:val="006AB4"/>
          <w:sz w:val="12"/>
          <w:szCs w:val="12"/>
        </w:rPr>
        <w:t>0</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2142" w:h="17375"/>
          <w:pgMar w:top="752" w:right="0" w:bottom="752" w:left="0" w:header="0" w:footer="3" w:gutter="0"/>
          <w:cols w:space="720"/>
          <w:noEndnote/>
          <w:rtlGutter w:val="0"/>
          <w:docGrid w:linePitch="360"/>
        </w:sectPr>
      </w:pPr>
    </w:p>
    <w:p>
      <w:pPr>
        <w:pStyle w:val="Style75"/>
        <w:keepNext w:val="0"/>
        <w:keepLines w:val="0"/>
        <w:framePr w:w="1330" w:h="240" w:wrap="none" w:vAnchor="text" w:hAnchor="page" w:x="2040" w:y="21"/>
        <w:widowControl w:val="0"/>
        <w:shd w:val="clear" w:color="auto" w:fill="auto"/>
        <w:bidi w:val="0"/>
        <w:spacing w:before="0" w:after="0" w:line="240" w:lineRule="auto"/>
        <w:ind w:left="0" w:right="0" w:firstLine="0"/>
        <w:jc w:val="left"/>
      </w:pPr>
      <w:r>
        <w:rPr>
          <w:rStyle w:val="CharStyle76"/>
        </w:rPr>
        <w:t>Nová energetika</w:t>
      </w:r>
    </w:p>
    <w:p>
      <w:pPr>
        <w:pStyle w:val="Style75"/>
        <w:keepNext w:val="0"/>
        <w:keepLines w:val="0"/>
        <w:framePr w:w="1786" w:h="240" w:wrap="none" w:vAnchor="text" w:hAnchor="page" w:x="4709" w:y="21"/>
        <w:widowControl w:val="0"/>
        <w:shd w:val="clear" w:color="auto" w:fill="auto"/>
        <w:bidi w:val="0"/>
        <w:spacing w:before="0" w:after="0" w:line="240" w:lineRule="auto"/>
        <w:ind w:left="0" w:right="0" w:firstLine="0"/>
        <w:jc w:val="left"/>
      </w:pPr>
      <w:r>
        <w:rPr>
          <w:rStyle w:val="CharStyle76"/>
        </w:rPr>
        <w:t>Běžná obnova a rozvoj</w:t>
      </w:r>
    </w:p>
    <w:p>
      <w:pPr>
        <w:widowControl w:val="0"/>
        <w:spacing w:after="0" w:line="1" w:lineRule="exact"/>
      </w:pPr>
    </w:p>
    <w:p>
      <w:pPr>
        <w:widowControl w:val="0"/>
        <w:spacing w:line="1" w:lineRule="exact"/>
        <w:sectPr>
          <w:footnotePr>
            <w:pos w:val="pageBottom"/>
            <w:numFmt w:val="decimal"/>
            <w:numRestart w:val="continuous"/>
          </w:footnotePr>
          <w:type w:val="continuous"/>
          <w:pgSz w:w="12142" w:h="17375"/>
          <w:pgMar w:top="752" w:right="119" w:bottom="752" w:left="119" w:header="0" w:footer="3" w:gutter="562"/>
          <w:cols w:space="720"/>
          <w:noEndnote/>
          <w:rtlGutter/>
          <w:docGrid w:linePitch="360"/>
        </w:sectPr>
      </w:pPr>
    </w:p>
    <w:p>
      <w:pPr>
        <w:pStyle w:val="Style19"/>
        <w:keepNext w:val="0"/>
        <w:keepLines w:val="0"/>
        <w:widowControl w:val="0"/>
        <w:shd w:val="clear" w:color="auto" w:fill="auto"/>
        <w:bidi w:val="0"/>
        <w:spacing w:before="0"/>
        <w:ind w:left="0" w:right="0" w:firstLine="0"/>
        <w:jc w:val="left"/>
      </w:pPr>
      <w:r>
        <w:rPr>
          <w:rStyle w:val="CharStyle20"/>
        </w:rPr>
        <w:t>Kromě výše uvedených aspektů souvisejícími se zajištěním investic a provozu síťových odvětví je nutné počítat i s budoucími zvýšenými náklady na řízení sítí a v neposlední řadě i náklady na pokrytí ztrát v soustavách.</w:t>
      </w:r>
    </w:p>
    <w:p>
      <w:pPr>
        <w:pStyle w:val="Style19"/>
        <w:keepNext w:val="0"/>
        <w:keepLines w:val="0"/>
        <w:widowControl w:val="0"/>
        <w:shd w:val="clear" w:color="auto" w:fill="auto"/>
        <w:bidi w:val="0"/>
        <w:spacing w:before="0"/>
        <w:ind w:left="0" w:right="0" w:firstLine="0"/>
        <w:jc w:val="left"/>
      </w:pPr>
      <w:r>
        <w:rPr>
          <w:rStyle w:val="CharStyle20"/>
        </w:rPr>
        <w:t>Náklady na řízení sítě budou do budoucna ovlivňovány přechodem na decentrální energetiku a zapojením se do evropských platforem. Lze očekávat vyšší volatilitu cen silové elektřiny, která přímo ovlivňuje ceny služeb výkonové rovnováhy. Odhad nákladů respektuje změnu výrobní základny a s tím spojenou změnu zdrojových poměrů v poskytovaných službách, budoucí zapojení do společného nákupu služeb a další. Některé vlivy mají na velikost nákladů pozitivní charakter, některé negativní, např. očekávané zavedení kapacitního mechanismu v podmínkách České republiky.</w:t>
      </w:r>
    </w:p>
    <w:p>
      <w:pPr>
        <w:pStyle w:val="Style19"/>
        <w:keepNext w:val="0"/>
        <w:keepLines w:val="0"/>
        <w:widowControl w:val="0"/>
        <w:shd w:val="clear" w:color="auto" w:fill="auto"/>
        <w:bidi w:val="0"/>
        <w:spacing w:before="0"/>
        <w:ind w:left="0" w:right="0" w:firstLine="0"/>
        <w:jc w:val="left"/>
        <w:sectPr>
          <w:footnotePr>
            <w:pos w:val="pageBottom"/>
            <w:numFmt w:val="decimal"/>
            <w:numRestart w:val="continuous"/>
          </w:footnotePr>
          <w:pgSz w:w="12142" w:h="17375"/>
          <w:pgMar w:top="1300" w:right="896" w:bottom="1300" w:left="896" w:header="0" w:footer="3" w:gutter="3221"/>
          <w:cols w:space="720"/>
          <w:noEndnote/>
          <w:rtlGutter w:val="0"/>
          <w:docGrid w:linePitch="360"/>
        </w:sectPr>
      </w:pPr>
      <w:r>
        <w:rPr>
          <w:rStyle w:val="CharStyle20"/>
          <w:b/>
          <w:bCs/>
        </w:rPr>
        <w:t>Při zohlednění nezbytných investic do běžné obnovy a rozvoje soustavy včetně jejího přechodu na novou energetiku a nákladů na provozní opatření a řízení sítí na straně provozovatelů přenosové a distribučních soustav sítí lze očekávat, i přes využití dotačních titulů, postupný nárůst síťových poplatků pro konečné odběratele.</w:t>
      </w:r>
    </w:p>
    <w:p>
      <w:pPr>
        <w:pStyle w:val="Style15"/>
        <w:keepNext/>
        <w:keepLines/>
        <w:widowControl w:val="0"/>
        <w:numPr>
          <w:ilvl w:val="0"/>
          <w:numId w:val="51"/>
        </w:numPr>
        <w:shd w:val="clear" w:color="auto" w:fill="auto"/>
        <w:tabs>
          <w:tab w:pos="303" w:val="left"/>
        </w:tabs>
        <w:bidi w:val="0"/>
        <w:spacing w:before="0" w:after="960" w:line="240" w:lineRule="auto"/>
        <w:ind w:left="0" w:right="0" w:firstLine="0"/>
        <w:jc w:val="left"/>
        <w:rPr>
          <w:sz w:val="22"/>
          <w:szCs w:val="22"/>
        </w:rPr>
      </w:pPr>
      <w:bookmarkStart w:id="323" w:name="bookmark323"/>
      <w:r>
        <w:rPr>
          <w:rStyle w:val="CharStyle16"/>
          <w:rFonts w:ascii="Segoe UI" w:eastAsia="Segoe UI" w:hAnsi="Segoe UI" w:cs="Segoe UI"/>
          <w:b/>
          <w:bCs/>
          <w:sz w:val="22"/>
          <w:szCs w:val="22"/>
        </w:rPr>
        <w:t>Závěr</w:t>
      </w:r>
      <w:bookmarkEnd w:id="323"/>
    </w:p>
    <w:p>
      <w:pPr>
        <w:pStyle w:val="Style19"/>
        <w:keepNext w:val="0"/>
        <w:keepLines w:val="0"/>
        <w:widowControl w:val="0"/>
        <w:shd w:val="clear" w:color="auto" w:fill="auto"/>
        <w:bidi w:val="0"/>
        <w:spacing w:before="0" w:after="220"/>
        <w:ind w:left="0" w:right="0" w:firstLine="0"/>
        <w:jc w:val="left"/>
      </w:pPr>
      <w:r>
        <w:rPr>
          <w:rStyle w:val="CharStyle20"/>
        </w:rPr>
        <w:t xml:space="preserve">Hodnocení zdrojové přiměřenosti za rok 2022 předkládá v souladu s metodickými doporučeními ENTSO-E aktualizované výstupy hodnocení zdrojové přiměřenosti ES ČR. Kromě zavedeného střednědobého výhledu zdrojové přiměřenosti obsahuje rovněž dlouhodobější strategický výhled do roku 2040. </w:t>
      </w:r>
      <w:r>
        <w:rPr>
          <w:rStyle w:val="CharStyle20"/>
          <w:b/>
          <w:bCs/>
        </w:rPr>
        <w:t>Hodnocení vychází ze zdrojových dat ENTSO-E platných k březnu 2022 a českých dat k říjnu 2022, přičemž zahrnuje změny zejména v německé a francouzské strategii pro energetiku. Tyto změny a zveřejněné podmínky taxonomie a balíčku Fit for 55 vyvolají zvýšenou spotřebu vodíku (zejména z OZE), což ovlivní dostupné možnosti importu elektřiny ze zahraničí.</w:t>
      </w:r>
    </w:p>
    <w:p>
      <w:pPr>
        <w:pStyle w:val="Style19"/>
        <w:keepNext w:val="0"/>
        <w:keepLines w:val="0"/>
        <w:widowControl w:val="0"/>
        <w:shd w:val="clear" w:color="auto" w:fill="auto"/>
        <w:bidi w:val="0"/>
        <w:spacing w:before="0" w:after="220"/>
        <w:ind w:left="0" w:right="0" w:firstLine="0"/>
        <w:jc w:val="left"/>
      </w:pPr>
      <w:r>
        <w:rPr>
          <w:rStyle w:val="CharStyle20"/>
        </w:rPr>
        <w:t>Z provedených výpočtů a simulací podložených expertními nezávislými vstupy jednoznačně vyplývá, že zhodnocení zdrojové přiměřenosti podle zvoleného scénáře závisí především na těchto faktorech:</w:t>
      </w:r>
    </w:p>
    <w:p>
      <w:pPr>
        <w:pStyle w:val="Style19"/>
        <w:keepNext w:val="0"/>
        <w:keepLines w:val="0"/>
        <w:widowControl w:val="0"/>
        <w:shd w:val="clear" w:color="auto" w:fill="auto"/>
        <w:bidi w:val="0"/>
        <w:spacing w:before="0" w:after="220" w:line="240" w:lineRule="auto"/>
        <w:ind w:left="0" w:right="0" w:firstLine="0"/>
        <w:jc w:val="left"/>
        <w:rPr>
          <w:sz w:val="10"/>
          <w:szCs w:val="10"/>
        </w:rPr>
      </w:pPr>
      <w:r>
        <w:rPr>
          <w:rStyle w:val="CharStyle20"/>
          <w:color w:val="006AB4"/>
          <w:sz w:val="22"/>
          <w:szCs w:val="22"/>
        </w:rPr>
        <w:t xml:space="preserve">^ </w:t>
      </w:r>
      <w:r>
        <w:rPr>
          <w:rStyle w:val="CharStyle20"/>
        </w:rPr>
        <w:t>Vývoji cen paliv (především plynu) a emisních povolenek CO</w:t>
      </w:r>
      <w:r>
        <w:rPr>
          <w:rStyle w:val="CharStyle20"/>
          <w:sz w:val="10"/>
          <w:szCs w:val="10"/>
        </w:rPr>
        <w:t>2</w:t>
      </w:r>
    </w:p>
    <w:p>
      <w:pPr>
        <w:pStyle w:val="Style19"/>
        <w:keepNext w:val="0"/>
        <w:keepLines w:val="0"/>
        <w:widowControl w:val="0"/>
        <w:shd w:val="clear" w:color="auto" w:fill="auto"/>
        <w:bidi w:val="0"/>
        <w:spacing w:before="0" w:after="220" w:line="271" w:lineRule="auto"/>
        <w:ind w:left="240" w:right="0" w:hanging="240"/>
        <w:jc w:val="left"/>
      </w:pPr>
      <w:r>
        <w:rPr>
          <w:rStyle w:val="CharStyle20"/>
          <w:color w:val="006AB4"/>
          <w:sz w:val="22"/>
          <w:szCs w:val="22"/>
        </w:rPr>
        <w:t xml:space="preserve">^ </w:t>
      </w:r>
      <w:r>
        <w:rPr>
          <w:rStyle w:val="CharStyle20"/>
        </w:rPr>
        <w:t>Podílu OZE, zejména v Německu, a výši spotřeby se zohledněním vlivu vodíku a elektromobility</w:t>
      </w:r>
    </w:p>
    <w:p>
      <w:pPr>
        <w:pStyle w:val="Style19"/>
        <w:keepNext w:val="0"/>
        <w:keepLines w:val="0"/>
        <w:widowControl w:val="0"/>
        <w:shd w:val="clear" w:color="auto" w:fill="auto"/>
        <w:bidi w:val="0"/>
        <w:spacing w:before="0" w:after="220" w:line="271" w:lineRule="auto"/>
        <w:ind w:left="240" w:right="0" w:hanging="240"/>
        <w:jc w:val="left"/>
      </w:pPr>
      <w:r>
        <w:rPr>
          <w:rStyle w:val="CharStyle20"/>
          <w:color w:val="006AB4"/>
          <w:sz w:val="22"/>
          <w:szCs w:val="22"/>
        </w:rPr>
        <w:t xml:space="preserve">^ </w:t>
      </w:r>
      <w:r>
        <w:rPr>
          <w:rStyle w:val="CharStyle20"/>
        </w:rPr>
        <w:t>Dostupnosti přeshraničních přenosových kapacit při zajištění bezpečné míry dovozní závislosti</w:t>
      </w:r>
    </w:p>
    <w:p>
      <w:pPr>
        <w:pStyle w:val="Style19"/>
        <w:keepNext w:val="0"/>
        <w:keepLines w:val="0"/>
        <w:widowControl w:val="0"/>
        <w:shd w:val="clear" w:color="auto" w:fill="auto"/>
        <w:bidi w:val="0"/>
        <w:spacing w:before="0" w:after="280" w:line="240" w:lineRule="auto"/>
        <w:ind w:left="0" w:right="0" w:firstLine="0"/>
        <w:jc w:val="left"/>
      </w:pPr>
      <w:r>
        <w:rPr>
          <w:rStyle w:val="CharStyle20"/>
          <w:color w:val="006AB4"/>
          <w:sz w:val="22"/>
          <w:szCs w:val="22"/>
        </w:rPr>
        <w:t xml:space="preserve">^ </w:t>
      </w:r>
      <w:r>
        <w:rPr>
          <w:rStyle w:val="CharStyle20"/>
        </w:rPr>
        <w:t>Rozhodnutí o ukončení provozu uhelných zdrojů a jeho načasování</w:t>
      </w:r>
    </w:p>
    <w:p>
      <w:pPr>
        <w:pStyle w:val="Style19"/>
        <w:keepNext w:val="0"/>
        <w:keepLines w:val="0"/>
        <w:widowControl w:val="0"/>
        <w:shd w:val="clear" w:color="auto" w:fill="auto"/>
        <w:bidi w:val="0"/>
        <w:spacing w:before="0" w:after="220" w:line="271" w:lineRule="auto"/>
        <w:ind w:left="240" w:right="0" w:hanging="240"/>
        <w:jc w:val="left"/>
      </w:pPr>
      <w:r>
        <w:rPr>
          <w:rStyle w:val="CharStyle20"/>
          <w:color w:val="006AB4"/>
          <w:sz w:val="22"/>
          <w:szCs w:val="22"/>
        </w:rPr>
        <w:t xml:space="preserve">^ </w:t>
      </w:r>
      <w:r>
        <w:rPr>
          <w:rStyle w:val="CharStyle20"/>
        </w:rPr>
        <w:t>Existenci nových plynových zdrojů (tzv. dozdrojování), resp. včasné přípravě a realizaci nových plynových zdrojů</w:t>
      </w:r>
    </w:p>
    <w:p>
      <w:pPr>
        <w:pStyle w:val="Style19"/>
        <w:keepNext w:val="0"/>
        <w:keepLines w:val="0"/>
        <w:widowControl w:val="0"/>
        <w:shd w:val="clear" w:color="auto" w:fill="auto"/>
        <w:bidi w:val="0"/>
        <w:spacing w:before="0" w:after="220" w:line="240" w:lineRule="auto"/>
        <w:ind w:left="0" w:right="0" w:firstLine="0"/>
        <w:jc w:val="left"/>
      </w:pPr>
      <w:r>
        <w:rPr>
          <w:rStyle w:val="CharStyle20"/>
          <w:color w:val="006AB4"/>
          <w:sz w:val="22"/>
          <w:szCs w:val="22"/>
        </w:rPr>
        <w:t xml:space="preserve">^ </w:t>
      </w:r>
      <w:r>
        <w:rPr>
          <w:rStyle w:val="CharStyle20"/>
        </w:rPr>
        <w:t>Nárůst a struktura spotřeby s ohledem na míru elektrifikace</w:t>
      </w:r>
    </w:p>
    <w:p>
      <w:pPr>
        <w:pStyle w:val="Style19"/>
        <w:keepNext w:val="0"/>
        <w:keepLines w:val="0"/>
        <w:widowControl w:val="0"/>
        <w:shd w:val="clear" w:color="auto" w:fill="auto"/>
        <w:bidi w:val="0"/>
        <w:spacing w:before="0" w:after="340" w:line="240" w:lineRule="auto"/>
        <w:ind w:left="0" w:right="0" w:firstLine="0"/>
        <w:jc w:val="left"/>
      </w:pPr>
      <w:r>
        <w:rPr>
          <w:rStyle w:val="CharStyle20"/>
          <w:color w:val="006AB4"/>
          <w:sz w:val="22"/>
          <w:szCs w:val="22"/>
        </w:rPr>
        <w:t xml:space="preserve">^ </w:t>
      </w:r>
      <w:r>
        <w:rPr>
          <w:rStyle w:val="CharStyle20"/>
        </w:rPr>
        <w:t>Zprovoznění NJZ nejpozději do roku 2036</w:t>
      </w:r>
    </w:p>
    <w:p>
      <w:pPr>
        <w:pStyle w:val="Style19"/>
        <w:keepNext w:val="0"/>
        <w:keepLines w:val="0"/>
        <w:widowControl w:val="0"/>
        <w:shd w:val="clear" w:color="auto" w:fill="auto"/>
        <w:bidi w:val="0"/>
        <w:spacing w:before="0" w:after="220"/>
        <w:ind w:left="0" w:right="0" w:firstLine="0"/>
        <w:jc w:val="left"/>
      </w:pPr>
      <w:r>
        <w:rPr>
          <w:rStyle w:val="CharStyle20"/>
        </w:rPr>
        <w:t>Odchod od uhelné energetiky dříve než v roce 2038 si vyžádá zavedení kapacitních mechanismů pro podporu výstavby zdrojů se stabilním a regulovatelným výkonem. Nové stabilní zdroje zaručí bezpečnost dodávek elektřiny a zajištění SVR, a to i přes rychlý nárůst podílu OZE.</w:t>
      </w:r>
    </w:p>
    <w:p>
      <w:pPr>
        <w:pStyle w:val="Style19"/>
        <w:keepNext w:val="0"/>
        <w:keepLines w:val="0"/>
        <w:widowControl w:val="0"/>
        <w:shd w:val="clear" w:color="auto" w:fill="auto"/>
        <w:bidi w:val="0"/>
        <w:spacing w:before="0" w:after="220"/>
        <w:ind w:left="0" w:right="0" w:firstLine="0"/>
        <w:jc w:val="left"/>
      </w:pPr>
      <w:r>
        <w:rPr>
          <w:rStyle w:val="CharStyle20"/>
        </w:rPr>
        <w:t xml:space="preserve">Zejména z Progresivního a Dekarbonizačního scénáře MAF CZ dále vyplývá, že Česká republika bude od roku 2025 rizikově importní s předpokladem velké závislosti na dovozu elektřiny z přebytkových zemí (Francie, Německo). Zůstává přitom otázkou, zda bude elektrická energie z těchto zemí skutečně exportována nebo bude v případě přebytku využita v domácím průmyslu na výrobu vodíku. </w:t>
      </w:r>
      <w:r>
        <w:rPr>
          <w:rStyle w:val="CharStyle20"/>
          <w:b/>
          <w:bCs/>
        </w:rPr>
        <w:t xml:space="preserve">Po roce 2030 je pak indikováno další zhoršení situace, které by mohlo vést k vážným problémům s přiměřeností soustavy k jejichž řešení bude nezbytné přijat opatření například formou zavedení kapacitního mechanismu. </w:t>
      </w:r>
      <w:r>
        <w:rPr>
          <w:rStyle w:val="CharStyle20"/>
        </w:rPr>
        <w:t>S ohledem na ohrožení zdrojové přiměřenosti bude po roce 2040 třeba opětovně diskutovat o dalším prodloužení doby životnosti Jaderné elektrárny Dukovany nad horizont roku 2045.</w:t>
      </w:r>
    </w:p>
    <w:p>
      <w:pPr>
        <w:pStyle w:val="Style19"/>
        <w:keepNext w:val="0"/>
        <w:keepLines w:val="0"/>
        <w:widowControl w:val="0"/>
        <w:shd w:val="clear" w:color="auto" w:fill="auto"/>
        <w:bidi w:val="0"/>
        <w:spacing w:before="0" w:after="220" w:line="300" w:lineRule="auto"/>
        <w:ind w:left="0" w:right="0" w:firstLine="0"/>
        <w:jc w:val="left"/>
        <w:sectPr>
          <w:footnotePr>
            <w:pos w:val="pageBottom"/>
            <w:numFmt w:val="decimal"/>
            <w:numRestart w:val="continuous"/>
          </w:footnotePr>
          <w:pgSz w:w="12142" w:h="17375"/>
          <w:pgMar w:top="1151" w:right="824" w:bottom="1151" w:left="824" w:header="0" w:footer="3" w:gutter="3298"/>
          <w:cols w:space="720"/>
          <w:noEndnote/>
          <w:rtlGutter w:val="0"/>
          <w:docGrid w:linePitch="360"/>
        </w:sectPr>
      </w:pPr>
      <w:r>
        <w:rPr>
          <w:rStyle w:val="CharStyle20"/>
        </w:rPr>
        <w:t>Co se týče cen silové elektřiny, lze do budoucna očekávat její pohyb v přibližném rozsahu nad 100 EUR/MWh ročního průměru, s velkou volatilitou v rámci daného roku. Tyto ceny nezohledňují náklady Capex jednotlivých zdrojů a jsou pouze odrazem marginálních cen (variabilních nákladů), podle kterých jsou tyto ceny nasazovány. Intenzivnější využití OZE sice vede ke snižování ceny silové elektřiny,</w:t>
      </w:r>
    </w:p>
    <w:p>
      <w:pPr>
        <w:pStyle w:val="Style19"/>
        <w:keepNext w:val="0"/>
        <w:keepLines w:val="0"/>
        <w:widowControl w:val="0"/>
        <w:shd w:val="clear" w:color="auto" w:fill="auto"/>
        <w:bidi w:val="0"/>
        <w:spacing w:before="100" w:after="200" w:line="300" w:lineRule="auto"/>
        <w:ind w:left="2940" w:right="0" w:firstLine="0"/>
        <w:jc w:val="left"/>
      </w:pPr>
      <w:r>
        <w:rPr>
          <w:rStyle w:val="CharStyle20"/>
        </w:rPr>
        <w:t>nicméně bude docházet ke zvyšování nákladů na řízení soustavy (např. náklady na redispečink). S ohledem na přechod k moderní decentrální energetice lze očekávat postupný nárůst síťových poplatků. Současně může být součástí finální faktury pro zákazníka i část očekávané podpory POZE nebo podpora zdrojů v rámci kapacitního mechanismu.</w:t>
      </w:r>
    </w:p>
    <w:p>
      <w:pPr>
        <w:pStyle w:val="Style19"/>
        <w:keepNext w:val="0"/>
        <w:keepLines w:val="0"/>
        <w:widowControl w:val="0"/>
        <w:shd w:val="clear" w:color="auto" w:fill="auto"/>
        <w:bidi w:val="0"/>
        <w:spacing w:before="0" w:after="200"/>
        <w:ind w:left="2940" w:right="0" w:firstLine="0"/>
        <w:jc w:val="left"/>
      </w:pPr>
      <w:r>
        <w:rPr>
          <w:rStyle w:val="CharStyle20"/>
        </w:rPr>
        <w:t>Nejnákladnější složku po pokrytí spotřeby elektřiny ČR roce 2040 představují čisté importy (v roce 2035 v Dekarbonizačním scénáři dosahují 23 % spotřeby ČR s cenou 11,5 tisíc Kč/MWh). Vysoký tuzemský podíl OZE není schopný dostatečně uspokojit poptávku v zimních měsících a vybilancovat výkonovou potřebu. Žebříček nasazených zdrojů elektřiny se kvůli nedostatku inframarginálních zdrojů musí následně rozšířit o další zdroj v pořadí, a to konkrétně DSR, které v České republice neexistuje. Tím vzniká potřeba nasazení zahraničního DSR jako závěrného zdroje žebříčku, čímž se značně navýší výsledná cena importů. Vysoká nákladovost a podíl importů na spotřebě ČR tak indikují nejen nutnost urychleného dozdrojování tuzemského výrobního mixu, ale také potřebu rozvoje flexibility, DSR a decentrálních zdrojů v ČR</w:t>
      </w:r>
    </w:p>
    <w:p>
      <w:pPr>
        <w:pStyle w:val="Style19"/>
        <w:keepNext w:val="0"/>
        <w:keepLines w:val="0"/>
        <w:widowControl w:val="0"/>
        <w:shd w:val="clear" w:color="auto" w:fill="auto"/>
        <w:bidi w:val="0"/>
        <w:spacing w:before="0" w:after="200" w:line="300" w:lineRule="auto"/>
        <w:ind w:left="2940" w:right="0" w:firstLine="0"/>
        <w:jc w:val="left"/>
      </w:pPr>
      <w:r>
        <w:rPr>
          <w:rStyle w:val="CharStyle20"/>
        </w:rPr>
        <w:t>Na základě provedených výpočtů a analýz ČEPS dále doporučuje:</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Využívat hodnocení zdrojové přiměřenosti jako nedílnou součást strategických rozhodnutí státu, a to nejen v oblasti transformace energetiky</w:t>
      </w:r>
    </w:p>
    <w:p>
      <w:pPr>
        <w:pStyle w:val="Style19"/>
        <w:keepNext w:val="0"/>
        <w:keepLines w:val="0"/>
        <w:widowControl w:val="0"/>
        <w:shd w:val="clear" w:color="auto" w:fill="auto"/>
        <w:bidi w:val="0"/>
        <w:spacing w:before="0" w:after="200" w:line="288" w:lineRule="auto"/>
        <w:ind w:left="3160" w:right="0" w:hanging="220"/>
        <w:jc w:val="left"/>
      </w:pPr>
      <w:r>
        <w:rPr>
          <w:rStyle w:val="CharStyle20"/>
          <w:color w:val="006AB4"/>
          <w:sz w:val="22"/>
          <w:szCs w:val="22"/>
        </w:rPr>
        <w:t xml:space="preserve">^ </w:t>
      </w:r>
      <w:r>
        <w:rPr>
          <w:rStyle w:val="CharStyle20"/>
        </w:rPr>
        <w:t>Udržet míru soběstačnosti, která reflektuje základní potřeby státu (max. dovoz do 10 % spotřeby dle požadavku ASEK) vzhledem k nejasnému vývoji budoucích technologií a využívání dnešních vykazovaných přebytků výroby elektrické energie v jednotlivých zemích</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V souladu s metodikami ENTSO-E a ACER pravidelně aktualizovat hodnoty VOLL a normy spolehlivosti vzhledem k velké volatilitě energetického trhu</w:t>
      </w:r>
    </w:p>
    <w:p>
      <w:pPr>
        <w:pStyle w:val="Style19"/>
        <w:keepNext w:val="0"/>
        <w:keepLines w:val="0"/>
        <w:widowControl w:val="0"/>
        <w:shd w:val="clear" w:color="auto" w:fill="auto"/>
        <w:bidi w:val="0"/>
        <w:spacing w:before="0" w:after="260" w:line="240" w:lineRule="auto"/>
        <w:ind w:left="2940" w:right="0" w:firstLine="0"/>
        <w:jc w:val="left"/>
      </w:pPr>
      <w:r>
        <w:rPr>
          <w:rStyle w:val="CharStyle20"/>
          <w:color w:val="006AB4"/>
          <w:sz w:val="22"/>
          <w:szCs w:val="22"/>
        </w:rPr>
        <w:t xml:space="preserve">^ </w:t>
      </w:r>
      <w:r>
        <w:rPr>
          <w:rStyle w:val="CharStyle20"/>
        </w:rPr>
        <w:t>Zavést kapacitní mechanismy včetně úpravy české legislativy</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Zohlednit, že v dlouhodobém horizontu se Česká republika neobejde bez výstavby dalších nových jaderných zdrojů</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Koordinovat strategii pro elektroenergetiku s energetickou strategií ČR a ostatních členských zemí EU</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Navrhnout opatření pro další bezpečnou integraci intermitentních zdrojů v soustavě (např. akumulace, dostatečná transformační a přenosová kapacita)</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Za účelem zabezpečení potřebného objemu SVR technicky zajistit využití přeshraničního sdílení SVR v souladu s ustanoveními uvedenými v legislativě EU</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Pravidelně aktualizovat investiční plán ČEPS s cílem dalšího rozvoje přeshraničních kapacit pro zajištění přeshraničních výměn elektrické energie</w:t>
      </w:r>
    </w:p>
    <w:p>
      <w:pPr>
        <w:pStyle w:val="Style19"/>
        <w:keepNext w:val="0"/>
        <w:keepLines w:val="0"/>
        <w:widowControl w:val="0"/>
        <w:shd w:val="clear" w:color="auto" w:fill="auto"/>
        <w:bidi w:val="0"/>
        <w:spacing w:before="0" w:after="200" w:line="276" w:lineRule="auto"/>
        <w:ind w:left="3160" w:right="0" w:hanging="220"/>
        <w:jc w:val="left"/>
      </w:pPr>
      <w:r>
        <w:rPr>
          <w:rStyle w:val="CharStyle20"/>
          <w:color w:val="006AB4"/>
          <w:sz w:val="22"/>
          <w:szCs w:val="22"/>
        </w:rPr>
        <w:t xml:space="preserve">^ </w:t>
      </w:r>
      <w:r>
        <w:rPr>
          <w:rStyle w:val="CharStyle20"/>
        </w:rPr>
        <w:t>Dále prohlubovat spolupráci s provozovateli distribučních sítí při zavádění nových nástrojů pro řízení ES ČR v oblasti flexibility, DSR, decentrálních zdrojů, komunitní energetiky a digitalizace (mimo jiné formou EDC)</w:t>
      </w:r>
    </w:p>
    <w:p>
      <w:pPr>
        <w:pStyle w:val="Style19"/>
        <w:keepNext w:val="0"/>
        <w:keepLines w:val="0"/>
        <w:widowControl w:val="0"/>
        <w:shd w:val="clear" w:color="auto" w:fill="auto"/>
        <w:bidi w:val="0"/>
        <w:spacing w:before="0" w:after="200" w:line="276" w:lineRule="auto"/>
        <w:ind w:left="3160" w:right="0" w:hanging="220"/>
        <w:jc w:val="left"/>
      </w:pPr>
      <w:r>
        <w:rPr>
          <w:rStyle w:val="CharStyle20"/>
          <w:color w:val="006AB4"/>
          <w:sz w:val="22"/>
          <w:szCs w:val="22"/>
        </w:rPr>
        <w:t xml:space="preserve">^ </w:t>
      </w:r>
      <w:r>
        <w:rPr>
          <w:rStyle w:val="CharStyle20"/>
        </w:rPr>
        <w:t>V rámci cenové regulace a tarifikace plně zohlednit investiční i provozní náklady související s rozvojem a obnovou sítí, zvláště s ohledem na nové trendy v elektroenergetice a zákonné povinnosti provozovatelů soustav</w:t>
      </w:r>
    </w:p>
    <w:p>
      <w:pPr>
        <w:pStyle w:val="Style19"/>
        <w:keepNext w:val="0"/>
        <w:keepLines w:val="0"/>
        <w:widowControl w:val="0"/>
        <w:shd w:val="clear" w:color="auto" w:fill="auto"/>
        <w:bidi w:val="0"/>
        <w:spacing w:before="0" w:after="200" w:line="271" w:lineRule="auto"/>
        <w:ind w:left="3160" w:right="0" w:hanging="220"/>
        <w:jc w:val="left"/>
      </w:pPr>
      <w:r>
        <w:rPr>
          <w:rStyle w:val="CharStyle20"/>
          <w:color w:val="006AB4"/>
          <w:sz w:val="22"/>
          <w:szCs w:val="22"/>
        </w:rPr>
        <w:t xml:space="preserve">^ </w:t>
      </w:r>
      <w:r>
        <w:rPr>
          <w:rStyle w:val="CharStyle20"/>
        </w:rPr>
        <w:t>Pro zajištění přechodu k nízkoemisní energetice a udržení stability dodávek elektrické energie koordinovat 12 klíčových oblastí (v příloze IV.)</w:t>
      </w:r>
      <w:r>
        <w:br w:type="page"/>
      </w:r>
    </w:p>
    <w:p>
      <w:pPr>
        <w:pStyle w:val="Style15"/>
        <w:keepNext/>
        <w:keepLines/>
        <w:widowControl w:val="0"/>
        <w:numPr>
          <w:ilvl w:val="0"/>
          <w:numId w:val="51"/>
        </w:numPr>
        <w:shd w:val="clear" w:color="auto" w:fill="auto"/>
        <w:tabs>
          <w:tab w:pos="523" w:val="left"/>
        </w:tabs>
        <w:bidi w:val="0"/>
        <w:spacing w:before="0" w:after="700" w:line="240" w:lineRule="auto"/>
        <w:ind w:left="0" w:right="0" w:firstLine="160"/>
        <w:jc w:val="left"/>
        <w:rPr>
          <w:sz w:val="22"/>
          <w:szCs w:val="22"/>
        </w:rPr>
      </w:pPr>
      <w:bookmarkStart w:id="325" w:name="bookmark325"/>
      <w:r>
        <w:rPr>
          <w:rStyle w:val="CharStyle16"/>
          <w:rFonts w:ascii="Segoe UI" w:eastAsia="Segoe UI" w:hAnsi="Segoe UI" w:cs="Segoe UI"/>
          <w:b/>
          <w:bCs/>
          <w:sz w:val="22"/>
          <w:szCs w:val="22"/>
        </w:rPr>
        <w:t>Příloha I. - Seznam zkratek</w:t>
      </w:r>
      <w:bookmarkEnd w:id="325"/>
    </w:p>
    <w:tbl>
      <w:tblPr>
        <w:tblOverlap w:val="never"/>
        <w:jc w:val="center"/>
        <w:tblLayout w:type="fixed"/>
      </w:tblPr>
      <w:tblGrid>
        <w:gridCol w:w="1094"/>
        <w:gridCol w:w="3955"/>
        <w:gridCol w:w="1210"/>
        <w:gridCol w:w="3845"/>
      </w:tblGrid>
      <w:tr>
        <w:trPr>
          <w:trHeight w:val="1037" w:hRule="exact"/>
        </w:trPr>
        <w:tc>
          <w:tcPr>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ACER</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Agency for the Cooperation of Energy Regulators, Agentura pro spolupráci energetických regulačních orgánů</w:t>
            </w:r>
          </w:p>
        </w:tc>
        <w:tc>
          <w:tcPr>
            <w:tcBorders/>
            <w:shd w:val="clear" w:color="auto" w:fill="auto"/>
            <w:vAlign w:val="center"/>
          </w:tcPr>
          <w:p>
            <w:pPr>
              <w:pStyle w:val="Style5"/>
              <w:keepNext w:val="0"/>
              <w:keepLines w:val="0"/>
              <w:widowControl w:val="0"/>
              <w:shd w:val="clear" w:color="auto" w:fill="auto"/>
              <w:bidi w:val="0"/>
              <w:spacing w:before="0" w:after="40" w:line="240" w:lineRule="auto"/>
              <w:ind w:left="0" w:right="0" w:firstLine="280"/>
              <w:jc w:val="both"/>
            </w:pPr>
            <w:r>
              <w:rPr>
                <w:rStyle w:val="CharStyle6"/>
                <w:b/>
                <w:bCs/>
                <w:color w:val="006AB4"/>
              </w:rPr>
              <w:t>EEN</w:t>
            </w:r>
          </w:p>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EENS</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Elektroenergetická náročnost Expected Energy Not Served; Odhad nedodané elektřiny</w:t>
            </w:r>
          </w:p>
        </w:tc>
      </w:tr>
      <w:tr>
        <w:trPr>
          <w:trHeight w:val="25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ADSEND</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Automatizovaný Digitalizovaný Sběr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EK</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Evropská komise</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Energetických Dat</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Elektromobilita</w:t>
            </w:r>
          </w:p>
        </w:tc>
      </w:tr>
      <w:tr>
        <w:trPr>
          <w:trHeight w:val="52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AE</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Alkaline Electrolysers; Alkalické elektrolyzéry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ENTSO-E</w:t>
            </w:r>
          </w:p>
        </w:tc>
        <w:tc>
          <w:tcPr>
            <w:tcBorders/>
            <w:shd w:val="clear" w:color="auto" w:fill="auto"/>
            <w:vAlign w:val="bottom"/>
          </w:tcPr>
          <w:p>
            <w:pPr>
              <w:pStyle w:val="Style5"/>
              <w:keepNext w:val="0"/>
              <w:keepLines w:val="0"/>
              <w:widowControl w:val="0"/>
              <w:shd w:val="clear" w:color="auto" w:fill="auto"/>
              <w:bidi w:val="0"/>
              <w:spacing w:before="0" w:after="0" w:line="307" w:lineRule="auto"/>
              <w:ind w:left="200" w:right="0" w:firstLine="0"/>
              <w:jc w:val="left"/>
            </w:pPr>
            <w:r>
              <w:rPr>
                <w:rStyle w:val="CharStyle6"/>
              </w:rPr>
              <w:t>European Network of Transmission System Operators for Electricity, Evropská</w:t>
            </w:r>
          </w:p>
        </w:tc>
      </w:tr>
      <w:tr>
        <w:trPr>
          <w:trHeight w:val="50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AFC</w:t>
            </w:r>
          </w:p>
        </w:tc>
        <w:tc>
          <w:tcPr>
            <w:tcBorders/>
            <w:shd w:val="clear" w:color="auto" w:fill="auto"/>
            <w:vAlign w:val="top"/>
          </w:tcPr>
          <w:p>
            <w:pPr>
              <w:pStyle w:val="Style5"/>
              <w:keepNext w:val="0"/>
              <w:keepLines w:val="0"/>
              <w:widowControl w:val="0"/>
              <w:shd w:val="clear" w:color="auto" w:fill="auto"/>
              <w:bidi w:val="0"/>
              <w:spacing w:before="0" w:after="0" w:line="300" w:lineRule="auto"/>
              <w:ind w:left="200" w:right="0" w:firstLine="0"/>
              <w:jc w:val="left"/>
            </w:pPr>
            <w:r>
              <w:rPr>
                <w:rStyle w:val="CharStyle6"/>
              </w:rPr>
              <w:t>Alkaline Fuel Cell; Alkalický palivový článek</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300" w:lineRule="auto"/>
              <w:ind w:left="200" w:right="0" w:firstLine="0"/>
              <w:jc w:val="left"/>
            </w:pPr>
            <w:r>
              <w:rPr>
                <w:rStyle w:val="CharStyle6"/>
              </w:rPr>
              <w:t>síť provozovatelů přenosových soustav pro elektřinu</w:t>
            </w:r>
          </w:p>
        </w:tc>
      </w:tr>
      <w:tr>
        <w:trPr>
          <w:trHeight w:val="792"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aFRR</w:t>
            </w:r>
          </w:p>
        </w:tc>
        <w:tc>
          <w:tcPr>
            <w:tcBorders/>
            <w:shd w:val="clear" w:color="auto" w:fill="auto"/>
            <w:vAlign w:val="bottom"/>
          </w:tcPr>
          <w:p>
            <w:pPr>
              <w:pStyle w:val="Style5"/>
              <w:keepNext w:val="0"/>
              <w:keepLines w:val="0"/>
              <w:widowControl w:val="0"/>
              <w:shd w:val="clear" w:color="auto" w:fill="auto"/>
              <w:bidi w:val="0"/>
              <w:spacing w:before="0" w:after="0"/>
              <w:ind w:left="200" w:right="0" w:firstLine="0"/>
              <w:jc w:val="left"/>
            </w:pPr>
            <w:r>
              <w:rPr>
                <w:rStyle w:val="CharStyle6"/>
              </w:rPr>
              <w:t>Automatic Frequency Restoration Reserve; Zálohy pro regulaci výkonové rovnováhy s automatickou aktivací</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ENTSOG</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European Network of Transmission System Operators for Gas, Evropská síť provozovatelů přepravních soustav pro</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AMM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00" w:right="0" w:firstLine="0"/>
              <w:jc w:val="left"/>
            </w:pPr>
            <w:r>
              <w:rPr>
                <w:rStyle w:val="CharStyle6"/>
              </w:rPr>
              <w:t>Automated Meter Management; Dálkové</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plyn</w:t>
            </w:r>
          </w:p>
        </w:tc>
      </w:tr>
      <w:tr>
        <w:trPr>
          <w:trHeight w:val="518" w:hRule="exact"/>
        </w:trPr>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zpracování odečtů dat elektroměrů a jejich řízení</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ERAA</w:t>
            </w:r>
          </w:p>
        </w:tc>
        <w:tc>
          <w:tcPr>
            <w:tcBorders/>
            <w:shd w:val="clear" w:color="auto" w:fill="auto"/>
            <w:vAlign w:val="bottom"/>
          </w:tcPr>
          <w:p>
            <w:pPr>
              <w:pStyle w:val="Style5"/>
              <w:keepNext w:val="0"/>
              <w:keepLines w:val="0"/>
              <w:widowControl w:val="0"/>
              <w:shd w:val="clear" w:color="auto" w:fill="auto"/>
              <w:bidi w:val="0"/>
              <w:spacing w:before="0" w:after="40" w:line="240" w:lineRule="auto"/>
              <w:ind w:left="0" w:right="0" w:firstLine="200"/>
              <w:jc w:val="left"/>
            </w:pPr>
            <w:r>
              <w:rPr>
                <w:rStyle w:val="CharStyle6"/>
              </w:rPr>
              <w:t>European Resource Adequacy</w:t>
            </w:r>
          </w:p>
          <w:p>
            <w:pPr>
              <w:pStyle w:val="Style5"/>
              <w:keepNext w:val="0"/>
              <w:keepLines w:val="0"/>
              <w:widowControl w:val="0"/>
              <w:shd w:val="clear" w:color="auto" w:fill="auto"/>
              <w:bidi w:val="0"/>
              <w:spacing w:before="0" w:after="0" w:line="240" w:lineRule="auto"/>
              <w:ind w:left="0" w:right="0" w:firstLine="200"/>
              <w:jc w:val="left"/>
            </w:pPr>
            <w:r>
              <w:rPr>
                <w:rStyle w:val="CharStyle6"/>
              </w:rPr>
              <w:t>Assessment, Evropské posouzení</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ASEK</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Aktualizace státní energetické koncepce</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zdrojové přiměřenosti</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ATR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Autothermal Reforming; Parní reforming</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ERÚ</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Energetický regulační úřad ČR</w:t>
            </w:r>
          </w:p>
        </w:tc>
      </w:tr>
      <w:tr>
        <w:trPr>
          <w:trHeight w:val="250"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AV ČR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Akademie věd ČR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Elektrizační soustava</w:t>
            </w:r>
          </w:p>
        </w:tc>
      </w:tr>
      <w:tr>
        <w:trPr>
          <w:trHeight w:val="27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B2B</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Business-to-business; Segment</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EU</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European Union; Evropská unie</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velkoobchodu</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EU ETS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EU Emissions Trading System, Systém pro</w:t>
            </w:r>
          </w:p>
        </w:tc>
      </w:tr>
      <w:tr>
        <w:trPr>
          <w:trHeight w:val="25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B2C</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Business-to-customer; Segment</w:t>
            </w:r>
          </w:p>
        </w:tc>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obchodování s emisními povolenkami v EU</w:t>
            </w:r>
          </w:p>
        </w:tc>
      </w:tr>
      <w:tr>
        <w:trPr>
          <w:trHeight w:val="254"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maloobchodu</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EV</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Electric Vehicles; Elektrická vozidla</w:t>
            </w:r>
          </w:p>
        </w:tc>
      </w:tr>
      <w:tr>
        <w:trPr>
          <w:trHeight w:val="52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BEV</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Battery Electric Vehicle; Beteriová elektrická vozidla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EVA</w:t>
            </w:r>
          </w:p>
        </w:tc>
        <w:tc>
          <w:tcPr>
            <w:tcBorders/>
            <w:shd w:val="clear" w:color="auto" w:fill="auto"/>
            <w:vAlign w:val="bottom"/>
          </w:tcPr>
          <w:p>
            <w:pPr>
              <w:pStyle w:val="Style5"/>
              <w:keepNext w:val="0"/>
              <w:keepLines w:val="0"/>
              <w:widowControl w:val="0"/>
              <w:shd w:val="clear" w:color="auto" w:fill="auto"/>
              <w:bidi w:val="0"/>
              <w:spacing w:before="0" w:after="40" w:line="240" w:lineRule="auto"/>
              <w:ind w:left="0" w:right="0" w:firstLine="200"/>
              <w:jc w:val="left"/>
            </w:pPr>
            <w:r>
              <w:rPr>
                <w:rStyle w:val="CharStyle6"/>
              </w:rPr>
              <w:t>Economic Viability Assessment;</w:t>
            </w:r>
          </w:p>
          <w:p>
            <w:pPr>
              <w:pStyle w:val="Style5"/>
              <w:keepNext w:val="0"/>
              <w:keepLines w:val="0"/>
              <w:widowControl w:val="0"/>
              <w:shd w:val="clear" w:color="auto" w:fill="auto"/>
              <w:bidi w:val="0"/>
              <w:spacing w:before="0" w:after="0" w:line="240" w:lineRule="auto"/>
              <w:ind w:left="0" w:right="0" w:firstLine="200"/>
              <w:jc w:val="left"/>
            </w:pPr>
            <w:r>
              <w:rPr>
                <w:rStyle w:val="CharStyle6"/>
              </w:rPr>
              <w:t>Posouzení ekonomické životaschopnosti</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BPS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00" w:right="0" w:firstLine="0"/>
              <w:jc w:val="left"/>
            </w:pPr>
            <w:r>
              <w:rPr>
                <w:rStyle w:val="CharStyle6"/>
              </w:rPr>
              <w:t>Bioplynové stanice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FB</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Flow-based kalkulace přeshraničních</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CAPEX</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00" w:right="0" w:firstLine="0"/>
              <w:jc w:val="left"/>
            </w:pPr>
            <w:r>
              <w:rPr>
                <w:rStyle w:val="CharStyle6"/>
              </w:rPr>
              <w:t>Capital Expenditure; Kapitálové náklady</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toků</w:t>
            </w:r>
          </w:p>
        </w:tc>
      </w:tr>
      <w:tr>
        <w:trPr>
          <w:trHeight w:val="51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CCGT</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Combined Cycle Gas Turbine, Plynová turbína s kombinovaným cyklem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FCR</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Frequency Containment Reserve; Automatická regulace frekvence</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CCS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Carbon Capture and Storage;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FRN</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Fixní roční náklady</w:t>
            </w:r>
          </w:p>
        </w:tc>
      </w:tr>
      <w:tr>
        <w:trPr>
          <w:trHeight w:val="264"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Zachytávání a ukládání oxidu uhličitého</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FRR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Frequency Restoration Reserve; Zálohy</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CEF</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Connecting Europe Facility, Nástroj pro</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pro regulaci výkonové rovnováhy</w:t>
            </w:r>
          </w:p>
        </w:tc>
      </w:tr>
      <w:tr>
        <w:trPr>
          <w:trHeight w:val="254"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propojení Evropy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FVE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Fotovoltaické elektrárny</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ČEPS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Provozovatel přenosové soustavy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HDP</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Hrubý domácí produkt</w:t>
            </w:r>
          </w:p>
        </w:tc>
      </w:tr>
      <w:tr>
        <w:trPr>
          <w:trHeight w:val="250"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ČEPS, a.s.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HPH</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Hrubá přidaná hodnota</w:t>
            </w:r>
          </w:p>
        </w:tc>
      </w:tr>
      <w:tr>
        <w:trPr>
          <w:trHeight w:val="269"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rPr>
                <w:sz w:val="8"/>
                <w:szCs w:val="8"/>
              </w:rPr>
            </w:pPr>
            <w:r>
              <w:rPr>
                <w:rStyle w:val="CharStyle6"/>
                <w:b/>
                <w:bCs/>
                <w:color w:val="006AB4"/>
                <w:sz w:val="8"/>
                <w:szCs w:val="8"/>
                <w:vertAlign w:val="superscript"/>
              </w:rPr>
              <w:t>CO</w:t>
            </w:r>
            <w:r>
              <w:rPr>
                <w:rStyle w:val="CharStyle6"/>
                <w:b/>
                <w:bCs/>
                <w:color w:val="006AB4"/>
                <w:sz w:val="8"/>
                <w:szCs w:val="8"/>
              </w:rPr>
              <w:t>2</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Oxid uhličitý</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HU</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Hnědé uhlí</w:t>
            </w:r>
          </w:p>
        </w:tc>
      </w:tr>
      <w:tr>
        <w:trPr>
          <w:trHeight w:val="523"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CONE</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Cost of New Entry; Náklady na vstup nového subjektu</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ICE</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Internal Combustion Engine; Motor s vnitřním spalováním</w:t>
            </w:r>
          </w:p>
        </w:tc>
      </w:tr>
      <w:tr>
        <w:trPr>
          <w:trHeight w:val="250"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CORP</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200" w:right="0" w:firstLine="0"/>
              <w:jc w:val="left"/>
            </w:pPr>
            <w:r>
              <w:rPr>
                <w:rStyle w:val="CharStyle6"/>
              </w:rPr>
              <w:t>Cost of Renewal or Prolongation,</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IRENA</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200" w:right="0" w:firstLine="0"/>
              <w:jc w:val="left"/>
            </w:pPr>
            <w:r>
              <w:rPr>
                <w:rStyle w:val="CharStyle6"/>
              </w:rPr>
              <w:t>International Renewable Agency</w:t>
            </w:r>
          </w:p>
        </w:tc>
      </w:tr>
      <w:tr>
        <w:trPr>
          <w:trHeight w:val="26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Náklady na obnovu nebo prodloužení</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JE</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Jaderné elektrárny</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životnosti technologie</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rPr>
                <w:sz w:val="10"/>
                <w:szCs w:val="10"/>
              </w:rPr>
            </w:pPr>
            <w:r>
              <w:rPr>
                <w:rStyle w:val="CharStyle6"/>
                <w:b/>
                <w:bCs/>
                <w:color w:val="006AB4"/>
                <w:sz w:val="8"/>
                <w:szCs w:val="8"/>
                <w:vertAlign w:val="superscript"/>
              </w:rPr>
              <w:t>K</w:t>
            </w:r>
            <w:r>
              <w:rPr>
                <w:rStyle w:val="CharStyle6"/>
                <w:b/>
                <w:bCs/>
                <w:color w:val="006AB4"/>
                <w:sz w:val="8"/>
                <w:szCs w:val="8"/>
              </w:rPr>
              <w:t xml:space="preserve"> </w:t>
            </w:r>
            <w:r>
              <w:rPr>
                <w:rStyle w:val="CharStyle6"/>
                <w:i/>
                <w:iCs/>
                <w:color w:val="006AB4"/>
                <w:sz w:val="10"/>
                <w:szCs w:val="10"/>
              </w:rPr>
              <w:t>d</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Koeficient pro de-rating</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ČR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Česká republika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KGJ</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Kogenerační jednotky</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ČSÚ</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Český statistický úřad</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KVET</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Kombinovaná výroba elektřiny a tepla</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CZ</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Česká republika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LOLE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Loss of Load Expectation; Předpokládaná</w:t>
            </w:r>
          </w:p>
        </w:tc>
      </w:tr>
      <w:tr>
        <w:trPr>
          <w:trHeight w:val="250"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CZT</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Centrální zásobování teplem</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ztráta zatížení</w:t>
            </w:r>
          </w:p>
        </w:tc>
      </w:tr>
      <w:tr>
        <w:trPr>
          <w:trHeight w:val="26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DMFC</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Direct Methanol Fuel Cell; Palivový článek</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rPr>
                <w:sz w:val="11"/>
                <w:szCs w:val="11"/>
              </w:rPr>
            </w:pPr>
            <w:r>
              <w:rPr>
                <w:rStyle w:val="CharStyle6"/>
                <w:b/>
                <w:bCs/>
                <w:smallCaps/>
                <w:color w:val="006AB4"/>
                <w:sz w:val="11"/>
                <w:szCs w:val="11"/>
                <w:vertAlign w:val="superscript"/>
              </w:rPr>
              <w:t>LOLE</w:t>
            </w:r>
            <w:r>
              <w:rPr>
                <w:rStyle w:val="CharStyle6"/>
                <w:b/>
                <w:bCs/>
                <w:smallCaps/>
                <w:color w:val="006AB4"/>
                <w:sz w:val="11"/>
                <w:szCs w:val="11"/>
              </w:rPr>
              <w:t>ns</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Norma spolehlivosti LOLE</w:t>
            </w:r>
          </w:p>
        </w:tc>
      </w:tr>
      <w:tr>
        <w:trPr>
          <w:trHeight w:val="264" w:hRule="exact"/>
        </w:trPr>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s přímým použitím metanolu</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rPr>
                <w:sz w:val="8"/>
                <w:szCs w:val="8"/>
              </w:rPr>
            </w:pPr>
            <w:r>
              <w:rPr>
                <w:rStyle w:val="CharStyle6"/>
                <w:b/>
                <w:bCs/>
                <w:color w:val="006AB4"/>
                <w:sz w:val="8"/>
                <w:szCs w:val="8"/>
                <w:vertAlign w:val="superscript"/>
              </w:rPr>
              <w:t>LOLE</w:t>
            </w:r>
            <w:r>
              <w:rPr>
                <w:rStyle w:val="CharStyle6"/>
                <w:b/>
                <w:bCs/>
                <w:color w:val="006AB4"/>
                <w:sz w:val="8"/>
                <w:szCs w:val="8"/>
              </w:rPr>
              <w:t>thr</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00"/>
              <w:jc w:val="left"/>
            </w:pPr>
            <w:r>
              <w:rPr>
                <w:rStyle w:val="CharStyle6"/>
              </w:rPr>
              <w:t>Loss of Load Expectation threshold;</w:t>
            </w:r>
          </w:p>
        </w:tc>
      </w:tr>
      <w:tr>
        <w:trPr>
          <w:trHeight w:val="250"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DS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Distribuční soustava</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Prahová hodnota LOLE</w:t>
            </w:r>
          </w:p>
        </w:tc>
      </w:tr>
      <w:tr>
        <w:trPr>
          <w:trHeight w:val="52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DSR</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Demand Side Response, Odezva strany poptávky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LUEV</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Light Utility Electric Vehicles; Lehká užitková elektrická vozidla</w:t>
            </w:r>
          </w:p>
        </w:tc>
      </w:tr>
      <w:tr>
        <w:trPr>
          <w:trHeight w:val="51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EAC</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00" w:right="0" w:firstLine="0"/>
              <w:jc w:val="left"/>
            </w:pPr>
            <w:r>
              <w:rPr>
                <w:rStyle w:val="CharStyle6"/>
              </w:rPr>
              <w:t>Equivalent Annual Cost; Ekvivalentní roční náklady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both"/>
            </w:pPr>
            <w:r>
              <w:rPr>
                <w:rStyle w:val="CharStyle6"/>
                <w:b/>
                <w:bCs/>
                <w:color w:val="006AB4"/>
              </w:rPr>
              <w:t>LUPHEV</w:t>
            </w:r>
          </w:p>
        </w:tc>
        <w:tc>
          <w:tcPr>
            <w:tcBorders/>
            <w:shd w:val="clear" w:color="auto" w:fill="auto"/>
            <w:vAlign w:val="bottom"/>
          </w:tcPr>
          <w:p>
            <w:pPr>
              <w:pStyle w:val="Style5"/>
              <w:keepNext w:val="0"/>
              <w:keepLines w:val="0"/>
              <w:widowControl w:val="0"/>
              <w:shd w:val="clear" w:color="auto" w:fill="auto"/>
              <w:bidi w:val="0"/>
              <w:spacing w:before="0" w:after="40" w:line="240" w:lineRule="auto"/>
              <w:ind w:left="0" w:right="0" w:firstLine="200"/>
              <w:jc w:val="left"/>
            </w:pPr>
            <w:r>
              <w:rPr>
                <w:rStyle w:val="CharStyle6"/>
              </w:rPr>
              <w:t>Light Utility Plug-in Hybrid Electric</w:t>
            </w:r>
          </w:p>
          <w:p>
            <w:pPr>
              <w:pStyle w:val="Style5"/>
              <w:keepNext w:val="0"/>
              <w:keepLines w:val="0"/>
              <w:widowControl w:val="0"/>
              <w:shd w:val="clear" w:color="auto" w:fill="auto"/>
              <w:bidi w:val="0"/>
              <w:spacing w:before="0" w:after="0" w:line="240" w:lineRule="auto"/>
              <w:ind w:left="0" w:right="0" w:firstLine="200"/>
              <w:jc w:val="left"/>
            </w:pPr>
            <w:r>
              <w:rPr>
                <w:rStyle w:val="CharStyle6"/>
              </w:rPr>
              <w:t>Vehicles; Lehká užitková plug-in hybridní</w:t>
            </w:r>
          </w:p>
        </w:tc>
      </w:tr>
      <w:tr>
        <w:trPr>
          <w:trHeight w:val="50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both"/>
            </w:pPr>
            <w:r>
              <w:rPr>
                <w:rStyle w:val="CharStyle6"/>
                <w:b/>
                <w:bCs/>
                <w:color w:val="006AB4"/>
              </w:rPr>
              <w:t>EDC</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00" w:right="0" w:firstLine="0"/>
              <w:jc w:val="left"/>
            </w:pPr>
            <w:r>
              <w:rPr>
                <w:rStyle w:val="CharStyle6"/>
              </w:rPr>
              <w:t>Elektroenergetická datová centrála</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00"/>
              <w:jc w:val="left"/>
            </w:pPr>
            <w:r>
              <w:rPr>
                <w:rStyle w:val="CharStyle6"/>
              </w:rPr>
              <w:t>elektrická vozidla</w:t>
            </w:r>
          </w:p>
        </w:tc>
      </w:tr>
    </w:tbl>
    <w:p>
      <w:pPr>
        <w:spacing w:lineRule="exact" w:line="1"/>
        <w:rPr>
          <w:sz w:val="2"/>
          <w:szCs w:val="2"/>
        </w:rPr>
      </w:pPr>
      <w:r>
        <w:br w:type="page"/>
      </w:r>
    </w:p>
    <w:tbl>
      <w:tblPr>
        <w:tblOverlap w:val="never"/>
        <w:jc w:val="center"/>
        <w:tblLayout w:type="fixed"/>
      </w:tblPr>
      <w:tblGrid>
        <w:gridCol w:w="1133"/>
        <w:gridCol w:w="3902"/>
        <w:gridCol w:w="1147"/>
        <w:gridCol w:w="3917"/>
      </w:tblGrid>
      <w:tr>
        <w:trPr>
          <w:trHeight w:val="758" w:hRule="exact"/>
        </w:trPr>
        <w:tc>
          <w:tcPr>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LUV</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160" w:right="0" w:firstLine="0"/>
              <w:jc w:val="left"/>
            </w:pPr>
            <w:r>
              <w:rPr>
                <w:rStyle w:val="CharStyle6"/>
              </w:rPr>
              <w:t>Light Utility Vehicles; Lehká užitková vozidla</w:t>
            </w:r>
          </w:p>
        </w:tc>
        <w:tc>
          <w:tcPr>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SCOP</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80" w:right="0" w:firstLine="0"/>
              <w:jc w:val="left"/>
            </w:pPr>
            <w:r>
              <w:rPr>
                <w:rStyle w:val="CharStyle6"/>
              </w:rPr>
              <w:t>Seasonal Coefficient of Performance, Sezónní topný faktor</w:t>
            </w:r>
          </w:p>
        </w:tc>
      </w:tr>
      <w:tr>
        <w:trPr>
          <w:trHeight w:val="27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MAF</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160" w:right="0" w:firstLine="0"/>
              <w:jc w:val="left"/>
            </w:pPr>
            <w:r>
              <w:rPr>
                <w:rStyle w:val="CharStyle6"/>
              </w:rPr>
              <w:t>Mid-term Adequacy Forecast,</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SEK</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rPr>
              <w:t>Státní energetická koncepce</w:t>
            </w:r>
          </w:p>
        </w:tc>
      </w:tr>
      <w:tr>
        <w:trPr>
          <w:trHeight w:val="523"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307" w:lineRule="auto"/>
              <w:ind w:left="160" w:right="0" w:firstLine="0"/>
              <w:jc w:val="left"/>
            </w:pPr>
            <w:r>
              <w:rPr>
                <w:rStyle w:val="CharStyle6"/>
              </w:rPr>
              <w:t>Střednědobé hodnocení zdrojové přiměřenosti</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SMR</w:t>
            </w:r>
          </w:p>
        </w:tc>
        <w:tc>
          <w:tcPr>
            <w:tcBorders/>
            <w:shd w:val="clear" w:color="auto" w:fill="auto"/>
            <w:vAlign w:val="top"/>
          </w:tcPr>
          <w:p>
            <w:pPr>
              <w:pStyle w:val="Style5"/>
              <w:keepNext w:val="0"/>
              <w:keepLines w:val="0"/>
              <w:widowControl w:val="0"/>
              <w:shd w:val="clear" w:color="auto" w:fill="auto"/>
              <w:bidi w:val="0"/>
              <w:spacing w:before="0" w:after="0" w:line="300" w:lineRule="auto"/>
              <w:ind w:left="280" w:right="0" w:firstLine="0"/>
              <w:jc w:val="left"/>
            </w:pPr>
            <w:r>
              <w:rPr>
                <w:rStyle w:val="CharStyle6"/>
              </w:rPr>
              <w:t>Small Modular Reactor; Malý modulární reaktor</w:t>
            </w:r>
          </w:p>
        </w:tc>
      </w:tr>
      <w:tr>
        <w:trPr>
          <w:trHeight w:val="51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MCFC</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160" w:right="0" w:firstLine="0"/>
              <w:jc w:val="left"/>
            </w:pPr>
            <w:r>
              <w:rPr>
                <w:rStyle w:val="CharStyle6"/>
              </w:rPr>
              <w:t>Molten Carbonate Fuel Cell; Palivové články s roztaveným uhličitanem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SO GL</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80" w:right="0" w:firstLine="0"/>
              <w:jc w:val="left"/>
            </w:pPr>
            <w:r>
              <w:rPr>
                <w:rStyle w:val="CharStyle6"/>
              </w:rPr>
              <w:t>System Operation Guideline; Rámcový pokyn pro provoz elektroenergetických</w:t>
            </w:r>
          </w:p>
        </w:tc>
      </w:tr>
      <w:tr>
        <w:trPr>
          <w:trHeight w:val="25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mFRR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Manual Frequency Restoration Reserve;</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280" w:right="0" w:firstLine="0"/>
              <w:jc w:val="left"/>
            </w:pPr>
            <w:r>
              <w:rPr>
                <w:rStyle w:val="CharStyle6"/>
              </w:rPr>
              <w:t>přenosových soustav</w:t>
            </w:r>
          </w:p>
        </w:tc>
      </w:tr>
      <w:tr>
        <w:trPr>
          <w:trHeight w:val="518"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300" w:lineRule="auto"/>
              <w:ind w:left="160" w:right="0" w:firstLine="0"/>
              <w:jc w:val="left"/>
            </w:pPr>
            <w:r>
              <w:rPr>
                <w:rStyle w:val="CharStyle6"/>
              </w:rPr>
              <w:t>Zálohy pro regulaci výkonové rovnováhy s manuální aktivací</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SOFC</w:t>
            </w:r>
          </w:p>
        </w:tc>
        <w:tc>
          <w:tcPr>
            <w:tcBorders/>
            <w:shd w:val="clear" w:color="auto" w:fill="auto"/>
            <w:vAlign w:val="top"/>
          </w:tcPr>
          <w:p>
            <w:pPr>
              <w:pStyle w:val="Style5"/>
              <w:keepNext w:val="0"/>
              <w:keepLines w:val="0"/>
              <w:widowControl w:val="0"/>
              <w:shd w:val="clear" w:color="auto" w:fill="auto"/>
              <w:bidi w:val="0"/>
              <w:spacing w:before="0" w:after="0" w:line="300" w:lineRule="auto"/>
              <w:ind w:left="280" w:right="0" w:firstLine="0"/>
              <w:jc w:val="left"/>
            </w:pPr>
            <w:r>
              <w:rPr>
                <w:rStyle w:val="CharStyle6"/>
              </w:rPr>
              <w:t>Solid Oxide Fuel Cell; Palivové články s tuhými oxidy</w:t>
            </w:r>
          </w:p>
        </w:tc>
      </w:tr>
      <w:tr>
        <w:trPr>
          <w:trHeight w:val="250"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MO</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Maloobchod</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STC</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80" w:right="0" w:firstLine="0"/>
              <w:jc w:val="left"/>
            </w:pPr>
            <w:r>
              <w:rPr>
                <w:rStyle w:val="CharStyle6"/>
              </w:rPr>
              <w:t>Simulovaná tržní cena</w:t>
            </w:r>
          </w:p>
        </w:tc>
      </w:tr>
      <w:tr>
        <w:trPr>
          <w:trHeight w:val="27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MPO</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160" w:right="0" w:firstLine="0"/>
              <w:jc w:val="left"/>
            </w:pPr>
            <w:r>
              <w:rPr>
                <w:rStyle w:val="CharStyle6"/>
              </w:rPr>
              <w:t>Ministerstvo průmyslu a obchodu ČR</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SVR</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280" w:right="0" w:firstLine="0"/>
              <w:jc w:val="left"/>
            </w:pPr>
            <w:r>
              <w:rPr>
                <w:rStyle w:val="CharStyle6"/>
              </w:rPr>
              <w:t>Služby výkonové rovnováhy</w:t>
            </w:r>
          </w:p>
        </w:tc>
      </w:tr>
      <w:tr>
        <w:trPr>
          <w:trHeight w:val="259"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MTT</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160" w:right="0" w:firstLine="0"/>
              <w:jc w:val="left"/>
            </w:pPr>
            <w:r>
              <w:rPr>
                <w:rStyle w:val="CharStyle6"/>
              </w:rPr>
              <w:t>Měrný tuzemský totex</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TAP</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rPr>
              <w:t>Tuhá alternativní paliva</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MVE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Malé vodní elektrárny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TČ</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Tepelná čerpadla</w:t>
            </w:r>
          </w:p>
        </w:tc>
      </w:tr>
      <w:tr>
        <w:trPr>
          <w:trHeight w:val="25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NAP CM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Národní akční plán čisté mobility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TKO</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Tuhý komunální odpad</w:t>
            </w:r>
          </w:p>
        </w:tc>
      </w:tr>
      <w:tr>
        <w:trPr>
          <w:trHeight w:val="26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NEKP</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Národní energeticko-klimatický plán</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TNS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Tuzemská netto spotřeba</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NET4GAS</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Provozovatel soustavy pro přepravu</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Totex</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Total Expenditures; Celkové náklady</w:t>
            </w:r>
          </w:p>
        </w:tc>
      </w:tr>
      <w:tr>
        <w:trPr>
          <w:trHeight w:val="250" w:hRule="exact"/>
        </w:trPr>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160" w:right="0" w:firstLine="0"/>
              <w:jc w:val="left"/>
            </w:pPr>
            <w:r>
              <w:rPr>
                <w:rStyle w:val="CharStyle6"/>
              </w:rPr>
              <w:t>zemního plynu NET4GAS, s.r.o.</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TTF</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rPr>
              <w:t>Title Transfer Facility; Virtuální obchodní</w:t>
            </w:r>
          </w:p>
        </w:tc>
      </w:tr>
      <w:tr>
        <w:trPr>
          <w:trHeight w:val="274" w:hRule="exact"/>
        </w:trPr>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NJZ</w:t>
            </w:r>
          </w:p>
        </w:tc>
        <w:tc>
          <w:tcPr>
            <w:tcBorders/>
            <w:shd w:val="clear" w:color="auto" w:fill="auto"/>
            <w:vAlign w:val="bottom"/>
          </w:tcPr>
          <w:p>
            <w:pPr>
              <w:pStyle w:val="Style5"/>
              <w:keepNext w:val="0"/>
              <w:keepLines w:val="0"/>
              <w:widowControl w:val="0"/>
              <w:shd w:val="clear" w:color="auto" w:fill="auto"/>
              <w:bidi w:val="0"/>
              <w:spacing w:before="0" w:after="0" w:line="240" w:lineRule="auto"/>
              <w:ind w:left="160" w:right="0" w:firstLine="0"/>
              <w:jc w:val="left"/>
            </w:pPr>
            <w:r>
              <w:rPr>
                <w:rStyle w:val="CharStyle6"/>
              </w:rPr>
              <w:t>Nový jaderný zdroj</w:t>
            </w:r>
          </w:p>
        </w:tc>
        <w:tc>
          <w:tcPr>
            <w:tcBorders/>
            <w:shd w:val="clear" w:color="auto" w:fill="auto"/>
            <w:vAlign w:val="top"/>
          </w:tcPr>
          <w:p>
            <w:pPr>
              <w:widowControl w:val="0"/>
              <w:rPr>
                <w:sz w:val="10"/>
                <w:szCs w:val="10"/>
              </w:rPr>
            </w:pPr>
          </w:p>
        </w:tc>
        <w:tc>
          <w:tcPr>
            <w:tcBorders/>
            <w:shd w:val="clear" w:color="auto" w:fill="auto"/>
            <w:vAlign w:val="bottom"/>
          </w:tcPr>
          <w:p>
            <w:pPr>
              <w:pStyle w:val="Style5"/>
              <w:keepNext w:val="0"/>
              <w:keepLines w:val="0"/>
              <w:widowControl w:val="0"/>
              <w:shd w:val="clear" w:color="auto" w:fill="auto"/>
              <w:bidi w:val="0"/>
              <w:spacing w:before="0" w:after="0" w:line="240" w:lineRule="auto"/>
              <w:ind w:left="0" w:right="0" w:firstLine="280"/>
              <w:jc w:val="left"/>
            </w:pPr>
            <w:r>
              <w:rPr>
                <w:rStyle w:val="CharStyle6"/>
              </w:rPr>
              <w:t>bod pro zemní plyn v Nizozemsku</w:t>
            </w:r>
          </w:p>
        </w:tc>
      </w:tr>
      <w:tr>
        <w:trPr>
          <w:trHeight w:val="518"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NTC</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160" w:right="0" w:firstLine="0"/>
              <w:jc w:val="left"/>
            </w:pPr>
            <w:r>
              <w:rPr>
                <w:rStyle w:val="CharStyle6"/>
              </w:rPr>
              <w:t>Net Transfer Capacity; Čistá přenosová kapacita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TYNDP</w:t>
            </w:r>
          </w:p>
        </w:tc>
        <w:tc>
          <w:tcPr>
            <w:tcBorders/>
            <w:shd w:val="clear" w:color="auto" w:fill="auto"/>
            <w:vAlign w:val="bottom"/>
          </w:tcPr>
          <w:p>
            <w:pPr>
              <w:pStyle w:val="Style5"/>
              <w:keepNext w:val="0"/>
              <w:keepLines w:val="0"/>
              <w:widowControl w:val="0"/>
              <w:shd w:val="clear" w:color="auto" w:fill="auto"/>
              <w:bidi w:val="0"/>
              <w:spacing w:before="0" w:after="0" w:line="300" w:lineRule="auto"/>
              <w:ind w:left="280" w:right="0" w:firstLine="0"/>
              <w:jc w:val="left"/>
            </w:pPr>
            <w:r>
              <w:rPr>
                <w:rStyle w:val="CharStyle6"/>
              </w:rPr>
              <w:t>Ten Year Network Development Plan, Desetiletý plán rozvoje sítí</w:t>
            </w:r>
          </w:p>
        </w:tc>
      </w:tr>
      <w:tr>
        <w:trPr>
          <w:trHeight w:val="259"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OA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160" w:right="0" w:firstLine="0"/>
              <w:jc w:val="left"/>
            </w:pPr>
            <w:r>
              <w:rPr>
                <w:rStyle w:val="CharStyle6"/>
              </w:rPr>
              <w:t>Osobní automobily</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VE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280" w:right="0" w:firstLine="0"/>
              <w:jc w:val="left"/>
            </w:pPr>
            <w:r>
              <w:rPr>
                <w:rStyle w:val="CharStyle6"/>
              </w:rPr>
              <w:t>Vodní elektrárny</w:t>
            </w:r>
          </w:p>
        </w:tc>
      </w:tr>
      <w:tr>
        <w:trPr>
          <w:trHeight w:val="25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OCGT</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rPr>
              <w:t>Open Cycle Gas Turbine, Plynová turbína</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VO</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Velkoobchod</w:t>
            </w:r>
          </w:p>
        </w:tc>
      </w:tr>
      <w:tr>
        <w:trPr>
          <w:trHeight w:val="264"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rPr>
              <w:t>s otevřeným cyklem</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VOLL</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Value of Lost Load; Hodnota</w:t>
            </w:r>
          </w:p>
        </w:tc>
      </w:tr>
      <w:tr>
        <w:trPr>
          <w:trHeight w:val="25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ODDR</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rPr>
              <w:t>Očekávaná dlouhodobá rovnováha</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nepokrytého zatížení</w:t>
            </w:r>
          </w:p>
        </w:tc>
      </w:tr>
      <w:tr>
        <w:trPr>
          <w:trHeight w:val="274" w:hRule="exact"/>
        </w:trPr>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b/>
                <w:bCs/>
                <w:color w:val="006AB4"/>
              </w:rPr>
              <w:t>OPTAK</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rPr>
              <w:t>Operační program Technologie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VTE</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Větrné elektrárny</w:t>
            </w:r>
          </w:p>
        </w:tc>
      </w:tr>
      <w:tr>
        <w:trPr>
          <w:trHeight w:val="254" w:hRule="exact"/>
        </w:trPr>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160"/>
              <w:jc w:val="left"/>
            </w:pPr>
            <w:r>
              <w:rPr>
                <w:rStyle w:val="CharStyle6"/>
              </w:rPr>
              <w:t>a aplikace pro konkurenceschopnost</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b/>
                <w:bCs/>
                <w:color w:val="006AB4"/>
              </w:rPr>
              <w:t>WACC</w:t>
            </w: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Weighted Average Cost of Capital;</w:t>
            </w:r>
          </w:p>
        </w:tc>
      </w:tr>
      <w:tr>
        <w:trPr>
          <w:trHeight w:val="6739" w:hRule="exact"/>
        </w:trPr>
        <w:tc>
          <w:tcPr>
            <w:tcBorders/>
            <w:shd w:val="clear" w:color="auto" w:fill="auto"/>
            <w:vAlign w:val="top"/>
          </w:tcPr>
          <w:p>
            <w:pPr>
              <w:pStyle w:val="Style5"/>
              <w:keepNext w:val="0"/>
              <w:keepLines w:val="0"/>
              <w:widowControl w:val="0"/>
              <w:shd w:val="clear" w:color="auto" w:fill="auto"/>
              <w:bidi w:val="0"/>
              <w:spacing w:before="0" w:line="300" w:lineRule="auto"/>
              <w:ind w:left="160" w:right="0" w:firstLine="0"/>
              <w:jc w:val="both"/>
            </w:pPr>
            <w:r>
              <w:rPr>
                <w:rStyle w:val="CharStyle6"/>
                <w:b/>
                <w:bCs/>
                <w:color w:val="006AB4"/>
              </w:rPr>
              <w:t>OPŽP OPEX OZE PAFC</w:t>
            </w:r>
          </w:p>
          <w:p>
            <w:pPr>
              <w:pStyle w:val="Style5"/>
              <w:keepNext w:val="0"/>
              <w:keepLines w:val="0"/>
              <w:widowControl w:val="0"/>
              <w:shd w:val="clear" w:color="auto" w:fill="auto"/>
              <w:bidi w:val="0"/>
              <w:spacing w:before="0" w:line="300" w:lineRule="auto"/>
              <w:ind w:left="160" w:right="0" w:firstLine="0"/>
              <w:jc w:val="left"/>
            </w:pPr>
            <w:r>
              <w:rPr>
                <w:rStyle w:val="CharStyle6"/>
                <w:b/>
                <w:bCs/>
                <w:color w:val="006AB4"/>
              </w:rPr>
              <w:t>PCI</w:t>
            </w:r>
          </w:p>
          <w:p>
            <w:pPr>
              <w:pStyle w:val="Style5"/>
              <w:keepNext w:val="0"/>
              <w:keepLines w:val="0"/>
              <w:widowControl w:val="0"/>
              <w:shd w:val="clear" w:color="auto" w:fill="auto"/>
              <w:bidi w:val="0"/>
              <w:spacing w:before="0" w:line="300" w:lineRule="auto"/>
              <w:ind w:left="160" w:right="0" w:firstLine="0"/>
              <w:jc w:val="left"/>
            </w:pPr>
            <w:r>
              <w:rPr>
                <w:rStyle w:val="CharStyle6"/>
                <w:b/>
                <w:bCs/>
                <w:color w:val="006AB4"/>
              </w:rPr>
              <w:t>PDS PECD</w:t>
            </w:r>
          </w:p>
          <w:p>
            <w:pPr>
              <w:pStyle w:val="Style5"/>
              <w:keepNext w:val="0"/>
              <w:keepLines w:val="0"/>
              <w:widowControl w:val="0"/>
              <w:shd w:val="clear" w:color="auto" w:fill="auto"/>
              <w:bidi w:val="0"/>
              <w:spacing w:before="0" w:line="300" w:lineRule="auto"/>
              <w:ind w:left="160" w:right="0" w:firstLine="0"/>
              <w:jc w:val="left"/>
            </w:pPr>
            <w:r>
              <w:rPr>
                <w:rStyle w:val="CharStyle6"/>
                <w:b/>
                <w:bCs/>
                <w:color w:val="006AB4"/>
              </w:rPr>
              <w:t>PEMFC</w:t>
            </w:r>
          </w:p>
          <w:p>
            <w:pPr>
              <w:pStyle w:val="Style5"/>
              <w:keepNext w:val="0"/>
              <w:keepLines w:val="0"/>
              <w:widowControl w:val="0"/>
              <w:shd w:val="clear" w:color="auto" w:fill="auto"/>
              <w:bidi w:val="0"/>
              <w:spacing w:before="0" w:after="500" w:line="300" w:lineRule="auto"/>
              <w:ind w:left="160" w:right="0" w:firstLine="0"/>
              <w:jc w:val="left"/>
            </w:pPr>
            <w:r>
              <w:rPr>
                <w:rStyle w:val="CharStyle6"/>
                <w:b/>
                <w:bCs/>
                <w:color w:val="006AB4"/>
              </w:rPr>
              <w:t>PEMMDB</w:t>
            </w:r>
          </w:p>
          <w:p>
            <w:pPr>
              <w:pStyle w:val="Style5"/>
              <w:keepNext w:val="0"/>
              <w:keepLines w:val="0"/>
              <w:widowControl w:val="0"/>
              <w:shd w:val="clear" w:color="auto" w:fill="auto"/>
              <w:bidi w:val="0"/>
              <w:spacing w:before="0" w:line="300" w:lineRule="auto"/>
              <w:ind w:left="160" w:right="0" w:firstLine="0"/>
              <w:jc w:val="left"/>
            </w:pPr>
            <w:r>
              <w:rPr>
                <w:rStyle w:val="CharStyle6"/>
                <w:b/>
                <w:bCs/>
                <w:color w:val="006AB4"/>
              </w:rPr>
              <w:t>PHEV</w:t>
            </w:r>
          </w:p>
          <w:p>
            <w:pPr>
              <w:pStyle w:val="Style5"/>
              <w:keepNext w:val="0"/>
              <w:keepLines w:val="0"/>
              <w:widowControl w:val="0"/>
              <w:shd w:val="clear" w:color="auto" w:fill="auto"/>
              <w:bidi w:val="0"/>
              <w:spacing w:before="0" w:after="0" w:line="300" w:lineRule="auto"/>
              <w:ind w:left="160" w:right="0" w:firstLine="0"/>
              <w:jc w:val="left"/>
            </w:pPr>
            <w:r>
              <w:rPr>
                <w:rStyle w:val="CharStyle6"/>
                <w:b/>
                <w:bCs/>
                <w:color w:val="006AB4"/>
              </w:rPr>
              <w:t>POX POZE</w:t>
            </w:r>
          </w:p>
          <w:p>
            <w:pPr>
              <w:pStyle w:val="Style5"/>
              <w:keepNext w:val="0"/>
              <w:keepLines w:val="0"/>
              <w:widowControl w:val="0"/>
              <w:shd w:val="clear" w:color="auto" w:fill="auto"/>
              <w:bidi w:val="0"/>
              <w:spacing w:before="0" w:after="0" w:line="300" w:lineRule="auto"/>
              <w:ind w:left="160" w:right="0" w:firstLine="0"/>
              <w:jc w:val="both"/>
            </w:pPr>
            <w:r>
              <w:rPr>
                <w:rStyle w:val="CharStyle6"/>
                <w:b/>
                <w:bCs/>
                <w:color w:val="006AB4"/>
              </w:rPr>
              <w:t>PpS PPS PS PVE</w:t>
            </w:r>
          </w:p>
          <w:p>
            <w:pPr>
              <w:pStyle w:val="Style5"/>
              <w:keepNext w:val="0"/>
              <w:keepLines w:val="0"/>
              <w:widowControl w:val="0"/>
              <w:shd w:val="clear" w:color="auto" w:fill="auto"/>
              <w:bidi w:val="0"/>
              <w:spacing w:before="0" w:line="300" w:lineRule="auto"/>
              <w:ind w:left="0" w:right="0" w:firstLine="160"/>
              <w:jc w:val="left"/>
            </w:pPr>
            <w:r>
              <w:rPr>
                <w:rStyle w:val="CharStyle6"/>
                <w:b/>
                <w:bCs/>
                <w:color w:val="006AB4"/>
              </w:rPr>
              <w:t>RES</w:t>
            </w:r>
          </w:p>
        </w:tc>
        <w:tc>
          <w:tcPr>
            <w:tcBorders/>
            <w:shd w:val="clear" w:color="auto" w:fill="auto"/>
            <w:vAlign w:val="top"/>
          </w:tcPr>
          <w:p>
            <w:pPr>
              <w:pStyle w:val="Style5"/>
              <w:keepNext w:val="0"/>
              <w:keepLines w:val="0"/>
              <w:widowControl w:val="0"/>
              <w:shd w:val="clear" w:color="auto" w:fill="auto"/>
              <w:bidi w:val="0"/>
              <w:spacing w:before="0" w:after="0"/>
              <w:ind w:left="160" w:right="0" w:firstLine="0"/>
              <w:jc w:val="left"/>
            </w:pPr>
            <w:r>
              <w:rPr>
                <w:rStyle w:val="CharStyle6"/>
              </w:rPr>
              <w:t>Operační program Životní prostředí Operating Expense; Provozní náklady Obnovitelné zdroje energie</w:t>
            </w:r>
          </w:p>
          <w:p>
            <w:pPr>
              <w:pStyle w:val="Style5"/>
              <w:keepNext w:val="0"/>
              <w:keepLines w:val="0"/>
              <w:widowControl w:val="0"/>
              <w:shd w:val="clear" w:color="auto" w:fill="auto"/>
              <w:bidi w:val="0"/>
              <w:spacing w:before="0" w:after="0"/>
              <w:ind w:left="160" w:right="0" w:firstLine="0"/>
              <w:jc w:val="left"/>
            </w:pPr>
            <w:r>
              <w:rPr>
                <w:rStyle w:val="CharStyle6"/>
              </w:rPr>
              <w:t>Phosphoric Acid Fuel Cell; Palivové články s kyselinou fosforečnou</w:t>
            </w:r>
          </w:p>
          <w:p>
            <w:pPr>
              <w:pStyle w:val="Style5"/>
              <w:keepNext w:val="0"/>
              <w:keepLines w:val="0"/>
              <w:widowControl w:val="0"/>
              <w:shd w:val="clear" w:color="auto" w:fill="auto"/>
              <w:bidi w:val="0"/>
              <w:spacing w:before="0" w:after="0"/>
              <w:ind w:left="160" w:right="0" w:firstLine="0"/>
              <w:jc w:val="left"/>
            </w:pPr>
            <w:r>
              <w:rPr>
                <w:rStyle w:val="CharStyle6"/>
              </w:rPr>
              <w:t>Projects of Common Interest; Projekty společného zájmu</w:t>
            </w:r>
          </w:p>
          <w:p>
            <w:pPr>
              <w:pStyle w:val="Style5"/>
              <w:keepNext w:val="0"/>
              <w:keepLines w:val="0"/>
              <w:widowControl w:val="0"/>
              <w:shd w:val="clear" w:color="auto" w:fill="auto"/>
              <w:bidi w:val="0"/>
              <w:spacing w:before="0" w:after="0"/>
              <w:ind w:left="160" w:right="0" w:firstLine="0"/>
              <w:jc w:val="left"/>
            </w:pPr>
            <w:r>
              <w:rPr>
                <w:rStyle w:val="CharStyle6"/>
              </w:rPr>
              <w:t>Provozovatel distribuční soustavy Pan-European Climate Database;</w:t>
            </w:r>
          </w:p>
          <w:p>
            <w:pPr>
              <w:pStyle w:val="Style5"/>
              <w:keepNext w:val="0"/>
              <w:keepLines w:val="0"/>
              <w:widowControl w:val="0"/>
              <w:shd w:val="clear" w:color="auto" w:fill="auto"/>
              <w:bidi w:val="0"/>
              <w:spacing w:before="0" w:after="0"/>
              <w:ind w:left="160" w:right="0" w:firstLine="0"/>
              <w:jc w:val="left"/>
            </w:pPr>
            <w:r>
              <w:rPr>
                <w:rStyle w:val="CharStyle6"/>
              </w:rPr>
              <w:t>Evropská klimatická databáze Proton-Exchange Membrane Fuel Cell; Palivový článek s polymerní membránou Pan-European Market Modelling Database; Evropská databáze pro modelování trhů</w:t>
            </w:r>
          </w:p>
          <w:p>
            <w:pPr>
              <w:pStyle w:val="Style5"/>
              <w:keepNext w:val="0"/>
              <w:keepLines w:val="0"/>
              <w:widowControl w:val="0"/>
              <w:shd w:val="clear" w:color="auto" w:fill="auto"/>
              <w:bidi w:val="0"/>
              <w:spacing w:before="0" w:after="0"/>
              <w:ind w:left="160" w:right="0" w:firstLine="0"/>
              <w:jc w:val="left"/>
            </w:pPr>
            <w:r>
              <w:rPr>
                <w:rStyle w:val="CharStyle6"/>
              </w:rPr>
              <w:t>Plug-in Hybrid Electric Vehicle, Plug-in hybridní elektrická vozidla</w:t>
            </w:r>
          </w:p>
          <w:p>
            <w:pPr>
              <w:pStyle w:val="Style5"/>
              <w:keepNext w:val="0"/>
              <w:keepLines w:val="0"/>
              <w:widowControl w:val="0"/>
              <w:shd w:val="clear" w:color="auto" w:fill="auto"/>
              <w:bidi w:val="0"/>
              <w:spacing w:before="0" w:after="0"/>
              <w:ind w:left="160" w:right="0" w:firstLine="0"/>
              <w:jc w:val="left"/>
            </w:pPr>
            <w:r>
              <w:rPr>
                <w:rStyle w:val="CharStyle6"/>
              </w:rPr>
              <w:t>Partial Oxidation; Parciální oxidace Podporované zdroje energie</w:t>
            </w:r>
          </w:p>
          <w:p>
            <w:pPr>
              <w:pStyle w:val="Style5"/>
              <w:keepNext w:val="0"/>
              <w:keepLines w:val="0"/>
              <w:widowControl w:val="0"/>
              <w:shd w:val="clear" w:color="auto" w:fill="auto"/>
              <w:bidi w:val="0"/>
              <w:spacing w:before="0" w:after="0"/>
              <w:ind w:left="160" w:right="0" w:firstLine="0"/>
              <w:jc w:val="left"/>
            </w:pPr>
            <w:r>
              <w:rPr>
                <w:rStyle w:val="CharStyle6"/>
              </w:rPr>
              <w:t>Podpůrné služby</w:t>
            </w:r>
          </w:p>
          <w:p>
            <w:pPr>
              <w:pStyle w:val="Style5"/>
              <w:keepNext w:val="0"/>
              <w:keepLines w:val="0"/>
              <w:widowControl w:val="0"/>
              <w:shd w:val="clear" w:color="auto" w:fill="auto"/>
              <w:bidi w:val="0"/>
              <w:spacing w:before="0" w:after="0"/>
              <w:ind w:left="160" w:right="0" w:firstLine="0"/>
              <w:jc w:val="left"/>
            </w:pPr>
            <w:r>
              <w:rPr>
                <w:rStyle w:val="CharStyle6"/>
              </w:rPr>
              <w:t>Provozovatel přenosové soustavy Přenosová soustava</w:t>
            </w:r>
          </w:p>
          <w:p>
            <w:pPr>
              <w:pStyle w:val="Style5"/>
              <w:keepNext w:val="0"/>
              <w:keepLines w:val="0"/>
              <w:widowControl w:val="0"/>
              <w:shd w:val="clear" w:color="auto" w:fill="auto"/>
              <w:bidi w:val="0"/>
              <w:spacing w:before="0" w:after="0"/>
              <w:ind w:left="160" w:right="0" w:firstLine="0"/>
              <w:jc w:val="left"/>
            </w:pPr>
            <w:r>
              <w:rPr>
                <w:rStyle w:val="CharStyle6"/>
              </w:rPr>
              <w:t>Přečerpávací vodní elektrárny</w:t>
            </w:r>
          </w:p>
          <w:p>
            <w:pPr>
              <w:pStyle w:val="Style5"/>
              <w:keepNext w:val="0"/>
              <w:keepLines w:val="0"/>
              <w:widowControl w:val="0"/>
              <w:shd w:val="clear" w:color="auto" w:fill="auto"/>
              <w:bidi w:val="0"/>
              <w:spacing w:before="0" w:after="0"/>
              <w:ind w:left="160" w:right="0" w:firstLine="0"/>
              <w:jc w:val="left"/>
            </w:pPr>
            <w:r>
              <w:rPr>
                <w:rStyle w:val="CharStyle6"/>
              </w:rPr>
              <w:t>Renewable Energy Sources; Obnovitelné zdroje energie</w:t>
            </w:r>
          </w:p>
        </w:tc>
        <w:tc>
          <w:tcPr>
            <w:tcBorders/>
            <w:shd w:val="clear" w:color="auto" w:fill="auto"/>
            <w:vAlign w:val="top"/>
          </w:tcPr>
          <w:p>
            <w:pPr>
              <w:widowControl w:val="0"/>
              <w:rPr>
                <w:sz w:val="10"/>
                <w:szCs w:val="10"/>
              </w:rPr>
            </w:pPr>
          </w:p>
        </w:tc>
        <w:tc>
          <w:tcPr>
            <w:tcBorders/>
            <w:shd w:val="clear" w:color="auto" w:fill="auto"/>
            <w:vAlign w:val="top"/>
          </w:tcPr>
          <w:p>
            <w:pPr>
              <w:pStyle w:val="Style5"/>
              <w:keepNext w:val="0"/>
              <w:keepLines w:val="0"/>
              <w:widowControl w:val="0"/>
              <w:shd w:val="clear" w:color="auto" w:fill="auto"/>
              <w:bidi w:val="0"/>
              <w:spacing w:before="0" w:after="0" w:line="240" w:lineRule="auto"/>
              <w:ind w:left="0" w:right="0" w:firstLine="280"/>
              <w:jc w:val="left"/>
            </w:pPr>
            <w:r>
              <w:rPr>
                <w:rStyle w:val="CharStyle6"/>
              </w:rPr>
              <w:t>Vážený průměr nákladů kapitálu</w:t>
            </w:r>
          </w:p>
        </w:tc>
      </w:tr>
    </w:tbl>
    <w:p>
      <w:pPr>
        <w:sectPr>
          <w:footnotePr>
            <w:pos w:val="pageBottom"/>
            <w:numFmt w:val="decimal"/>
            <w:numRestart w:val="continuous"/>
          </w:footnotePr>
          <w:pgSz w:w="12142" w:h="17375"/>
          <w:pgMar w:top="1151" w:right="738" w:bottom="1286" w:left="738" w:header="0" w:footer="3" w:gutter="563"/>
          <w:cols w:space="720"/>
          <w:noEndnote/>
          <w:rtlGutter w:val="0"/>
          <w:docGrid w:linePitch="360"/>
        </w:sectPr>
      </w:pPr>
    </w:p>
    <w:tbl>
      <w:tblPr>
        <w:tblOverlap w:val="never"/>
        <w:jc w:val="left"/>
        <w:tblLayout w:type="fixed"/>
      </w:tblPr>
      <w:tblGrid>
        <w:gridCol w:w="2467"/>
        <w:gridCol w:w="2616"/>
        <w:gridCol w:w="2467"/>
      </w:tblGrid>
      <w:tr>
        <w:trPr>
          <w:trHeight w:val="787" w:hRule="exact"/>
        </w:trPr>
        <w:tc>
          <w:tcPr>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200"/>
              <w:jc w:val="both"/>
              <w:rPr>
                <w:sz w:val="11"/>
                <w:szCs w:val="11"/>
              </w:rPr>
            </w:pPr>
            <w:r>
              <w:rPr>
                <w:rStyle w:val="CharStyle6"/>
                <w:color w:val="006AB4"/>
                <w:sz w:val="11"/>
                <w:szCs w:val="11"/>
              </w:rPr>
              <w:t>HODNOCENÍ ZDROJOVÉ PŘIMĚ</w:t>
            </w:r>
          </w:p>
        </w:tc>
        <w:tc>
          <w:tcPr>
            <w:tcBorders>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left"/>
              <w:rPr>
                <w:sz w:val="11"/>
                <w:szCs w:val="11"/>
              </w:rPr>
            </w:pPr>
            <w:r>
              <w:rPr>
                <w:rStyle w:val="CharStyle6"/>
                <w:color w:val="006AB4"/>
                <w:sz w:val="11"/>
                <w:szCs w:val="11"/>
              </w:rPr>
              <w:t>ŘENOSTI ES ČR DO ROKU 2040 (MAF</w:t>
            </w:r>
          </w:p>
        </w:tc>
        <w:tc>
          <w:tcPr>
            <w:tcBorders>
              <w:left w:val="single" w:sz="4"/>
            </w:tcBorders>
            <w:shd w:val="clear" w:color="auto" w:fill="auto"/>
            <w:vAlign w:val="center"/>
          </w:tcPr>
          <w:p>
            <w:pPr>
              <w:pStyle w:val="Style5"/>
              <w:keepNext w:val="0"/>
              <w:keepLines w:val="0"/>
              <w:widowControl w:val="0"/>
              <w:shd w:val="clear" w:color="auto" w:fill="auto"/>
              <w:bidi w:val="0"/>
              <w:spacing w:before="0" w:after="0" w:line="240" w:lineRule="auto"/>
              <w:ind w:left="0" w:right="0" w:firstLine="0"/>
              <w:jc w:val="both"/>
              <w:rPr>
                <w:sz w:val="11"/>
                <w:szCs w:val="11"/>
              </w:rPr>
            </w:pPr>
            <w:r>
              <w:rPr>
                <w:rStyle w:val="CharStyle6"/>
                <w:color w:val="006AB4"/>
                <w:sz w:val="11"/>
                <w:szCs w:val="11"/>
              </w:rPr>
              <w:t>CZ)</w:t>
            </w:r>
          </w:p>
        </w:tc>
      </w:tr>
    </w:tbl>
    <w:p>
      <w:pPr>
        <w:pStyle w:val="Style15"/>
        <w:keepNext/>
        <w:keepLines/>
        <w:widowControl w:val="0"/>
        <w:numPr>
          <w:ilvl w:val="0"/>
          <w:numId w:val="51"/>
        </w:numPr>
        <w:shd w:val="clear" w:color="auto" w:fill="auto"/>
        <w:tabs>
          <w:tab w:pos="483" w:val="left"/>
        </w:tabs>
        <w:bidi w:val="0"/>
        <w:spacing w:before="0" w:after="960" w:line="240" w:lineRule="auto"/>
        <w:ind w:left="0" w:right="0" w:firstLine="0"/>
        <w:jc w:val="left"/>
        <w:rPr>
          <w:sz w:val="22"/>
          <w:szCs w:val="22"/>
        </w:rPr>
      </w:pPr>
      <w:bookmarkStart w:id="327" w:name="bookmark327"/>
      <w:r>
        <w:rPr>
          <w:rStyle w:val="CharStyle16"/>
          <w:rFonts w:ascii="Segoe UI" w:eastAsia="Segoe UI" w:hAnsi="Segoe UI" w:cs="Segoe UI"/>
          <w:b/>
          <w:bCs/>
          <w:sz w:val="22"/>
          <w:szCs w:val="22"/>
        </w:rPr>
        <w:t>Příloha II. - Seznam obrázků</w:t>
      </w:r>
      <w:bookmarkEnd w:id="327"/>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r>
        <w:fldChar w:fldCharType="begin"/>
        <w:instrText xml:space="preserve"> TOC \o "1-5" \h \z </w:instrText>
        <w:fldChar w:fldCharType="separate"/>
      </w:r>
      <w:hyperlink w:anchor="bookmark8" w:tooltip="Current Document">
        <w:r>
          <w:rPr>
            <w:rStyle w:val="CharStyle13"/>
          </w:rPr>
          <w:t>Obr. 2.1</w:t>
          <w:tab/>
          <w:t>Hodnota VOLL a) pro jednotlivé sektory ekonomiky, b) pro ČR</w:t>
          <w:tab/>
        </w:r>
        <w:r>
          <w:rPr>
            <w:rStyle w:val="CharStyle13"/>
            <w:b/>
            <w:bCs/>
          </w:rPr>
          <w:t>9</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8" w:tooltip="Current Document">
        <w:r>
          <w:rPr>
            <w:rStyle w:val="CharStyle13"/>
          </w:rPr>
          <w:t>Obr. 3.1</w:t>
          <w:tab/>
          <w:t>Princip hodnocení zdrojové přiměřenosti</w:t>
          <w:tab/>
        </w:r>
        <w:r>
          <w:rPr>
            <w:rStyle w:val="CharStyle13"/>
            <w:b/>
            <w:bCs/>
          </w:rPr>
          <w:t>13</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20" w:tooltip="Current Document">
        <w:r>
          <w:rPr>
            <w:rStyle w:val="CharStyle13"/>
          </w:rPr>
          <w:t>Obr. 3.2</w:t>
          <w:tab/>
          <w:t>Hodnoty LOLE pro Centrální referenční scénář EVA bez kapacitních mechanismů v roce 2030</w:t>
          <w:tab/>
          <w:t xml:space="preserve"> </w:t>
        </w:r>
        <w:r>
          <w:rPr>
            <w:rStyle w:val="CharStyle13"/>
            <w:b/>
            <w:bCs/>
          </w:rPr>
          <w:t>13</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27" w:tooltip="Current Document">
        <w:r>
          <w:rPr>
            <w:rStyle w:val="CharStyle13"/>
          </w:rPr>
          <w:t>Obr. 4.1</w:t>
          <w:tab/>
          <w:t>Netto instalovaný výkon a netto výroba elektřiny v ES ČR v roce 2021, zdroj: ERÚ</w:t>
          <w:tab/>
        </w:r>
        <w:r>
          <w:rPr>
            <w:rStyle w:val="CharStyle13"/>
            <w:b/>
            <w:bCs/>
          </w:rPr>
          <w:t>15</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r>
        <w:rPr>
          <w:rStyle w:val="CharStyle13"/>
        </w:rPr>
        <w:t>Obr. 4.2</w:t>
        <w:tab/>
        <w:t>Celkový netto instalovaný výkon ČR (mimo OZE) dle provozovatelů zdrojů</w:t>
        <w:tab/>
      </w:r>
      <w:r>
        <w:rPr>
          <w:rStyle w:val="CharStyle13"/>
          <w:b/>
          <w:bCs/>
        </w:rPr>
        <w:t>16</w:t>
      </w:r>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30" w:tooltip="Current Document">
        <w:r>
          <w:rPr>
            <w:rStyle w:val="CharStyle13"/>
          </w:rPr>
          <w:t>Obr. 4.3</w:t>
          <w:tab/>
          <w:t>Celkový netto instalovaný výkon nových plánovaných zdrojů v ČR (mimo OZE)</w:t>
          <w:tab/>
        </w:r>
        <w:r>
          <w:rPr>
            <w:rStyle w:val="CharStyle13"/>
            <w:b/>
            <w:bCs/>
          </w:rPr>
          <w:t>16</w:t>
        </w:r>
      </w:hyperlink>
    </w:p>
    <w:p>
      <w:pPr>
        <w:pStyle w:val="Style12"/>
        <w:keepNext w:val="0"/>
        <w:keepLines w:val="0"/>
        <w:widowControl w:val="0"/>
        <w:shd w:val="clear" w:color="auto" w:fill="auto"/>
        <w:tabs>
          <w:tab w:pos="936" w:val="left"/>
          <w:tab w:pos="8082" w:val="center"/>
        </w:tabs>
        <w:bidi w:val="0"/>
        <w:spacing w:before="0" w:after="0" w:line="302" w:lineRule="auto"/>
        <w:ind w:left="0" w:right="0" w:firstLine="0"/>
        <w:jc w:val="left"/>
      </w:pPr>
      <w:hyperlink w:anchor="bookmark39" w:tooltip="Current Document">
        <w:r>
          <w:rPr>
            <w:rStyle w:val="CharStyle13"/>
          </w:rPr>
          <w:t>Obr. 4.4</w:t>
          <w:tab/>
          <w:t>Netto výroba elektřiny z uhlí, podíl uhlí na celkové netto výrobě elektřiny a celková</w:t>
          <w:tab/>
          <w:t>netto</w:t>
        </w:r>
      </w:hyperlink>
    </w:p>
    <w:p>
      <w:pPr>
        <w:pStyle w:val="Style12"/>
        <w:keepNext w:val="0"/>
        <w:keepLines w:val="0"/>
        <w:widowControl w:val="0"/>
        <w:shd w:val="clear" w:color="auto" w:fill="auto"/>
        <w:tabs>
          <w:tab w:leader="dot" w:pos="9732" w:val="right"/>
        </w:tabs>
        <w:bidi w:val="0"/>
        <w:spacing w:before="0" w:after="0" w:line="302" w:lineRule="auto"/>
        <w:ind w:left="1020" w:right="0" w:firstLine="0"/>
        <w:jc w:val="both"/>
      </w:pPr>
      <w:hyperlink w:anchor="bookmark35" w:tooltip="Current Document">
        <w:r>
          <w:rPr>
            <w:rStyle w:val="CharStyle13"/>
          </w:rPr>
          <w:t>výroba elektřiny, zdroj: ERÚ</w:t>
          <w:tab/>
        </w:r>
        <w:r>
          <w:rPr>
            <w:rStyle w:val="CharStyle13"/>
            <w:b/>
            <w:bCs/>
          </w:rPr>
          <w:t>17</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41" w:tooltip="Current Document">
        <w:r>
          <w:rPr>
            <w:rStyle w:val="CharStyle13"/>
          </w:rPr>
          <w:t>Obr. 4.5</w:t>
          <w:tab/>
          <w:t>Vývoj dodávek tepla z uhelných elektráren, zdroj: ERÚ</w:t>
          <w:tab/>
        </w:r>
        <w:r>
          <w:rPr>
            <w:rStyle w:val="CharStyle13"/>
            <w:b/>
            <w:bCs/>
          </w:rPr>
          <w:t>18</w:t>
        </w:r>
      </w:hyperlink>
    </w:p>
    <w:p>
      <w:pPr>
        <w:pStyle w:val="Style12"/>
        <w:keepNext w:val="0"/>
        <w:keepLines w:val="0"/>
        <w:widowControl w:val="0"/>
        <w:shd w:val="clear" w:color="auto" w:fill="auto"/>
        <w:tabs>
          <w:tab w:pos="936" w:val="left"/>
        </w:tabs>
        <w:bidi w:val="0"/>
        <w:spacing w:before="0" w:after="0" w:line="302" w:lineRule="auto"/>
        <w:ind w:left="0" w:right="0" w:firstLine="0"/>
        <w:jc w:val="left"/>
      </w:pPr>
      <w:hyperlink w:anchor="bookmark48" w:tooltip="Current Document">
        <w:r>
          <w:rPr>
            <w:rStyle w:val="CharStyle13"/>
          </w:rPr>
          <w:t>Obr. 4.6</w:t>
          <w:tab/>
          <w:t>Netto výroba elektřiny ze ZP, podíl na celkové netto výrobě elektřiny a celková netto</w:t>
        </w:r>
      </w:hyperlink>
    </w:p>
    <w:p>
      <w:pPr>
        <w:pStyle w:val="Style12"/>
        <w:keepNext w:val="0"/>
        <w:keepLines w:val="0"/>
        <w:widowControl w:val="0"/>
        <w:shd w:val="clear" w:color="auto" w:fill="auto"/>
        <w:tabs>
          <w:tab w:leader="dot" w:pos="9732" w:val="right"/>
        </w:tabs>
        <w:bidi w:val="0"/>
        <w:spacing w:before="0" w:after="0" w:line="302" w:lineRule="auto"/>
        <w:ind w:left="1020" w:right="0" w:firstLine="0"/>
        <w:jc w:val="both"/>
      </w:pPr>
      <w:hyperlink w:anchor="bookmark46" w:tooltip="Current Document">
        <w:r>
          <w:rPr>
            <w:rStyle w:val="CharStyle13"/>
          </w:rPr>
          <w:t>výroba elektřiny, zdroj: ERÚ</w:t>
          <w:tab/>
        </w:r>
        <w:r>
          <w:rPr>
            <w:rStyle w:val="CharStyle13"/>
            <w:b/>
            <w:bCs/>
          </w:rPr>
          <w:t>19</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r>
        <w:rPr>
          <w:rStyle w:val="CharStyle13"/>
        </w:rPr>
        <w:t>Obr. 4.7</w:t>
        <w:tab/>
        <w:t>Souběh provozu jaderných zdrojů</w:t>
        <w:tab/>
      </w:r>
      <w:r>
        <w:rPr>
          <w:rStyle w:val="CharStyle13"/>
          <w:b/>
          <w:bCs/>
        </w:rPr>
        <w:t>21</w:t>
      </w:r>
    </w:p>
    <w:p>
      <w:pPr>
        <w:pStyle w:val="Style12"/>
        <w:keepNext w:val="0"/>
        <w:keepLines w:val="0"/>
        <w:widowControl w:val="0"/>
        <w:shd w:val="clear" w:color="auto" w:fill="auto"/>
        <w:tabs>
          <w:tab w:pos="936" w:val="left"/>
        </w:tabs>
        <w:bidi w:val="0"/>
        <w:spacing w:before="0" w:after="0" w:line="302" w:lineRule="auto"/>
        <w:ind w:left="0" w:right="0" w:firstLine="0"/>
        <w:jc w:val="left"/>
      </w:pPr>
      <w:r>
        <w:rPr>
          <w:rStyle w:val="CharStyle13"/>
        </w:rPr>
        <w:t>Obr. 4.8</w:t>
        <w:tab/>
        <w:t>Výhled vývoje netto instalovaného výkonu fotovoltaických a větrných elektráren</w:t>
      </w:r>
    </w:p>
    <w:p>
      <w:pPr>
        <w:pStyle w:val="Style12"/>
        <w:keepNext w:val="0"/>
        <w:keepLines w:val="0"/>
        <w:widowControl w:val="0"/>
        <w:shd w:val="clear" w:color="auto" w:fill="auto"/>
        <w:tabs>
          <w:tab w:leader="dot" w:pos="9732" w:val="right"/>
        </w:tabs>
        <w:bidi w:val="0"/>
        <w:spacing w:before="0" w:after="0" w:line="302" w:lineRule="auto"/>
        <w:ind w:left="1020" w:right="0" w:firstLine="0"/>
        <w:jc w:val="both"/>
      </w:pPr>
      <w:r>
        <w:rPr>
          <w:rStyle w:val="CharStyle13"/>
        </w:rPr>
        <w:t>- Respondentní a Konzervativní predikce</w:t>
        <w:tab/>
      </w:r>
      <w:r>
        <w:rPr>
          <w:rStyle w:val="CharStyle13"/>
          <w:b/>
          <w:bCs/>
        </w:rPr>
        <w:t>22</w:t>
      </w:r>
    </w:p>
    <w:p>
      <w:pPr>
        <w:pStyle w:val="Style12"/>
        <w:keepNext w:val="0"/>
        <w:keepLines w:val="0"/>
        <w:widowControl w:val="0"/>
        <w:shd w:val="clear" w:color="auto" w:fill="auto"/>
        <w:tabs>
          <w:tab w:leader="dot" w:pos="9732" w:val="right"/>
        </w:tabs>
        <w:bidi w:val="0"/>
        <w:spacing w:before="0" w:after="0" w:line="302" w:lineRule="auto"/>
        <w:ind w:left="1020" w:right="0" w:hanging="1020"/>
        <w:jc w:val="left"/>
      </w:pPr>
      <w:r>
        <w:rPr>
          <w:rStyle w:val="CharStyle13"/>
        </w:rPr>
        <w:t>Obr. 4.9 Výhled vývoje netto instalovaného výkonu fotovoltaických a větrných elektráren - Progresivní predikce</w:t>
        <w:tab/>
      </w:r>
      <w:r>
        <w:rPr>
          <w:rStyle w:val="CharStyle13"/>
          <w:b/>
          <w:bCs/>
        </w:rPr>
        <w:t>23</w:t>
      </w:r>
    </w:p>
    <w:p>
      <w:pPr>
        <w:pStyle w:val="Style12"/>
        <w:keepNext w:val="0"/>
        <w:keepLines w:val="0"/>
        <w:widowControl w:val="0"/>
        <w:shd w:val="clear" w:color="auto" w:fill="auto"/>
        <w:tabs>
          <w:tab w:leader="dot" w:pos="9732" w:val="right"/>
        </w:tabs>
        <w:bidi w:val="0"/>
        <w:spacing w:before="0" w:after="0" w:line="302" w:lineRule="auto"/>
        <w:ind w:left="1020" w:right="0" w:hanging="1020"/>
        <w:jc w:val="left"/>
      </w:pPr>
      <w:hyperlink w:anchor="bookmark68" w:tooltip="Current Document">
        <w:r>
          <w:rPr>
            <w:rStyle w:val="CharStyle13"/>
          </w:rPr>
          <w:t>Obr. 4.10 Výhled vývoje netto instalovaného výkonu fotovoltaických a větrných elektráren - Dekarbonizační predikce</w:t>
          <w:tab/>
        </w:r>
        <w:r>
          <w:rPr>
            <w:rStyle w:val="CharStyle13"/>
            <w:b/>
            <w:bCs/>
          </w:rPr>
          <w:t>23</w:t>
        </w:r>
      </w:hyperlink>
    </w:p>
    <w:p>
      <w:pPr>
        <w:pStyle w:val="Style12"/>
        <w:keepNext w:val="0"/>
        <w:keepLines w:val="0"/>
        <w:widowControl w:val="0"/>
        <w:shd w:val="clear" w:color="auto" w:fill="auto"/>
        <w:tabs>
          <w:tab w:pos="936" w:val="left"/>
          <w:tab w:leader="dot" w:pos="9732" w:val="right"/>
        </w:tabs>
        <w:bidi w:val="0"/>
        <w:spacing w:before="0" w:after="0" w:line="302" w:lineRule="auto"/>
        <w:ind w:left="1020" w:right="0" w:hanging="1020"/>
        <w:jc w:val="left"/>
      </w:pPr>
      <w:hyperlink w:anchor="bookmark66" w:tooltip="Current Document">
        <w:r>
          <w:rPr>
            <w:rStyle w:val="CharStyle13"/>
          </w:rPr>
          <w:t>Obr. 4.11</w:t>
          <w:tab/>
          <w:t xml:space="preserve">Počet a brutto instalovaný výkon bioplynových stanic (BPS) dle typu v roce 2022 </w:t>
          <w:tab/>
          <w:t xml:space="preserve"> </w:t>
        </w:r>
        <w:r>
          <w:rPr>
            <w:rStyle w:val="CharStyle13"/>
            <w:b/>
            <w:bCs/>
          </w:rPr>
          <w:t>24</w:t>
        </w:r>
      </w:hyperlink>
    </w:p>
    <w:p>
      <w:pPr>
        <w:pStyle w:val="Style12"/>
        <w:keepNext w:val="0"/>
        <w:keepLines w:val="0"/>
        <w:widowControl w:val="0"/>
        <w:shd w:val="clear" w:color="auto" w:fill="auto"/>
        <w:tabs>
          <w:tab w:leader="dot" w:pos="9732" w:val="right"/>
        </w:tabs>
        <w:bidi w:val="0"/>
        <w:spacing w:before="0" w:after="0" w:line="302" w:lineRule="auto"/>
        <w:ind w:left="1020" w:right="0" w:hanging="1020"/>
        <w:jc w:val="left"/>
      </w:pPr>
      <w:hyperlink w:anchor="bookmark71" w:tooltip="Current Document">
        <w:r>
          <w:rPr>
            <w:rStyle w:val="CharStyle13"/>
          </w:rPr>
          <w:t>Obr. 4.12 Výhled vývoje netto instalovaného výkonu bioplynových stanic v Respondentní predikci</w:t>
          <w:tab/>
        </w:r>
        <w:r>
          <w:rPr>
            <w:rStyle w:val="CharStyle13"/>
            <w:b/>
            <w:bCs/>
          </w:rPr>
          <w:t>25</w:t>
        </w:r>
      </w:hyperlink>
    </w:p>
    <w:p>
      <w:pPr>
        <w:pStyle w:val="Style12"/>
        <w:keepNext w:val="0"/>
        <w:keepLines w:val="0"/>
        <w:widowControl w:val="0"/>
        <w:shd w:val="clear" w:color="auto" w:fill="auto"/>
        <w:tabs>
          <w:tab w:leader="dot" w:pos="9732" w:val="right"/>
        </w:tabs>
        <w:bidi w:val="0"/>
        <w:spacing w:before="0" w:after="0" w:line="302" w:lineRule="auto"/>
        <w:ind w:left="1020" w:right="0" w:hanging="1020"/>
        <w:jc w:val="left"/>
      </w:pPr>
      <w:r>
        <w:rPr>
          <w:rStyle w:val="CharStyle13"/>
        </w:rPr>
        <w:t>Obr. 4.13. Výhled vývoje netto instalovaného výkonu bioplynových stanic v Konzervativní, Progresivní a Dekarbonizační predikci</w:t>
        <w:tab/>
      </w:r>
      <w:r>
        <w:rPr>
          <w:rStyle w:val="CharStyle13"/>
          <w:b/>
          <w:bCs/>
        </w:rPr>
        <w:t>26</w:t>
      </w:r>
    </w:p>
    <w:p>
      <w:pPr>
        <w:pStyle w:val="Style12"/>
        <w:keepNext w:val="0"/>
        <w:keepLines w:val="0"/>
        <w:widowControl w:val="0"/>
        <w:shd w:val="clear" w:color="auto" w:fill="auto"/>
        <w:tabs>
          <w:tab w:pos="949" w:val="left"/>
          <w:tab w:pos="6281" w:val="center"/>
          <w:tab w:pos="6810" w:val="center"/>
          <w:tab w:pos="7162" w:val="center"/>
        </w:tabs>
        <w:bidi w:val="0"/>
        <w:spacing w:before="0" w:after="0" w:line="302" w:lineRule="auto"/>
        <w:ind w:left="0" w:right="0" w:firstLine="0"/>
        <w:jc w:val="left"/>
      </w:pPr>
      <w:hyperlink w:anchor="bookmark76" w:tooltip="Current Document">
        <w:r>
          <w:rPr>
            <w:rStyle w:val="CharStyle13"/>
          </w:rPr>
          <w:t>Obr. 4.14</w:t>
          <w:tab/>
          <w:t>Výhled vývoje netto instalovaného výkonu zdrojů spalujících</w:t>
          <w:tab/>
          <w:t>biomasu</w:t>
          <w:tab/>
          <w:t>(v</w:t>
          <w:tab/>
          <w:t xml:space="preserve">převážné většině lesní štěpku) . . </w:t>
        </w:r>
        <w:r>
          <w:rPr>
            <w:rStyle w:val="CharStyle13"/>
            <w:b/>
            <w:bCs/>
          </w:rPr>
          <w:t>27</w:t>
        </w:r>
      </w:hyperlink>
    </w:p>
    <w:p>
      <w:pPr>
        <w:pStyle w:val="Style12"/>
        <w:keepNext w:val="0"/>
        <w:keepLines w:val="0"/>
        <w:widowControl w:val="0"/>
        <w:shd w:val="clear" w:color="auto" w:fill="auto"/>
        <w:tabs>
          <w:tab w:pos="939" w:val="left"/>
          <w:tab w:pos="7766" w:val="center"/>
          <w:tab w:leader="dot" w:pos="9732" w:val="right"/>
        </w:tabs>
        <w:bidi w:val="0"/>
        <w:spacing w:before="0" w:after="0" w:line="302" w:lineRule="auto"/>
        <w:ind w:left="0" w:right="0" w:firstLine="0"/>
        <w:jc w:val="left"/>
      </w:pPr>
      <w:hyperlink w:anchor="bookmark77" w:tooltip="Current Document">
        <w:r>
          <w:rPr>
            <w:rStyle w:val="CharStyle13"/>
          </w:rPr>
          <w:t>Obr. 4.15</w:t>
          <w:tab/>
          <w:t>Výhled vývoje instalovaného výkonu zdrojů spalujících tuhý komunální odpad</w:t>
          <w:tab/>
          <w:t>(TKO)</w:t>
          <w:tab/>
        </w:r>
        <w:r>
          <w:rPr>
            <w:rStyle w:val="CharStyle13"/>
            <w:b/>
            <w:bCs/>
          </w:rPr>
          <w:t>28</w:t>
        </w:r>
      </w:hyperlink>
    </w:p>
    <w:p>
      <w:pPr>
        <w:pStyle w:val="Style12"/>
        <w:keepNext w:val="0"/>
        <w:keepLines w:val="0"/>
        <w:widowControl w:val="0"/>
        <w:shd w:val="clear" w:color="auto" w:fill="auto"/>
        <w:tabs>
          <w:tab w:pos="944" w:val="left"/>
          <w:tab w:pos="7766" w:val="center"/>
        </w:tabs>
        <w:bidi w:val="0"/>
        <w:spacing w:before="0" w:after="0" w:line="302" w:lineRule="auto"/>
        <w:ind w:left="0" w:right="0" w:firstLine="0"/>
        <w:jc w:val="left"/>
      </w:pPr>
      <w:hyperlink w:anchor="bookmark85" w:tooltip="Current Document">
        <w:r>
          <w:rPr>
            <w:rStyle w:val="CharStyle13"/>
          </w:rPr>
          <w:t>Obr. 4.16</w:t>
          <w:tab/>
          <w:t>Výhled brutto instalovaného výkonu geotermálních zdrojů, včetně potenciálu</w:t>
          <w:tab/>
          <w:t>výroby</w:t>
        </w:r>
      </w:hyperlink>
    </w:p>
    <w:p>
      <w:pPr>
        <w:pStyle w:val="Style12"/>
        <w:keepNext w:val="0"/>
        <w:keepLines w:val="0"/>
        <w:widowControl w:val="0"/>
        <w:shd w:val="clear" w:color="auto" w:fill="auto"/>
        <w:tabs>
          <w:tab w:leader="dot" w:pos="9732" w:val="right"/>
        </w:tabs>
        <w:bidi w:val="0"/>
        <w:spacing w:before="0" w:after="0" w:line="302" w:lineRule="auto"/>
        <w:ind w:left="1020" w:right="0" w:firstLine="0"/>
        <w:jc w:val="both"/>
      </w:pPr>
      <w:hyperlink w:anchor="bookmark81" w:tooltip="Current Document">
        <w:r>
          <w:rPr>
            <w:rStyle w:val="CharStyle13"/>
          </w:rPr>
          <w:t>elektrické energie, tepla a chlazení</w:t>
          <w:tab/>
        </w:r>
        <w:r>
          <w:rPr>
            <w:rStyle w:val="CharStyle13"/>
            <w:b/>
            <w:bCs/>
          </w:rPr>
          <w:t>29</w:t>
        </w:r>
      </w:hyperlink>
    </w:p>
    <w:p>
      <w:pPr>
        <w:pStyle w:val="Style12"/>
        <w:keepNext w:val="0"/>
        <w:keepLines w:val="0"/>
        <w:widowControl w:val="0"/>
        <w:shd w:val="clear" w:color="auto" w:fill="auto"/>
        <w:tabs>
          <w:tab w:pos="939" w:val="left"/>
          <w:tab w:leader="dot" w:pos="9732" w:val="right"/>
        </w:tabs>
        <w:bidi w:val="0"/>
        <w:spacing w:before="0" w:after="0" w:line="302" w:lineRule="auto"/>
        <w:ind w:left="0" w:right="0" w:firstLine="0"/>
        <w:jc w:val="left"/>
      </w:pPr>
      <w:hyperlink w:anchor="bookmark86" w:tooltip="Current Document">
        <w:r>
          <w:rPr>
            <w:rStyle w:val="CharStyle13"/>
          </w:rPr>
          <w:t>Obr. 4.17</w:t>
          <w:tab/>
          <w:t>Výhled vývoje bateriové akumulace</w:t>
          <w:tab/>
        </w:r>
        <w:r>
          <w:rPr>
            <w:rStyle w:val="CharStyle13"/>
            <w:b/>
            <w:bCs/>
          </w:rPr>
          <w:t>30</w:t>
        </w:r>
      </w:hyperlink>
    </w:p>
    <w:p>
      <w:pPr>
        <w:pStyle w:val="Style12"/>
        <w:keepNext w:val="0"/>
        <w:keepLines w:val="0"/>
        <w:widowControl w:val="0"/>
        <w:shd w:val="clear" w:color="auto" w:fill="auto"/>
        <w:tabs>
          <w:tab w:pos="944" w:val="left"/>
          <w:tab w:leader="dot" w:pos="9732" w:val="right"/>
        </w:tabs>
        <w:bidi w:val="0"/>
        <w:spacing w:before="0" w:after="0" w:line="302" w:lineRule="auto"/>
        <w:ind w:left="0" w:right="0" w:firstLine="0"/>
        <w:jc w:val="left"/>
      </w:pPr>
      <w:hyperlink w:anchor="bookmark91" w:tooltip="Current Document">
        <w:r>
          <w:rPr>
            <w:rStyle w:val="CharStyle13"/>
          </w:rPr>
          <w:t>Obr. 4.18</w:t>
          <w:tab/>
          <w:t>Taxonomická klasifikace vodíku</w:t>
          <w:tab/>
        </w:r>
        <w:r>
          <w:rPr>
            <w:rStyle w:val="CharStyle13"/>
            <w:b/>
            <w:bCs/>
          </w:rPr>
          <w:t>31</w:t>
        </w:r>
      </w:hyperlink>
    </w:p>
    <w:p>
      <w:pPr>
        <w:pStyle w:val="Style12"/>
        <w:keepNext w:val="0"/>
        <w:keepLines w:val="0"/>
        <w:widowControl w:val="0"/>
        <w:shd w:val="clear" w:color="auto" w:fill="auto"/>
        <w:tabs>
          <w:tab w:pos="944" w:val="left"/>
          <w:tab w:leader="dot" w:pos="9732" w:val="right"/>
        </w:tabs>
        <w:bidi w:val="0"/>
        <w:spacing w:before="0" w:after="0" w:line="302" w:lineRule="auto"/>
        <w:ind w:left="0" w:right="0" w:firstLine="0"/>
        <w:jc w:val="left"/>
      </w:pPr>
      <w:hyperlink w:anchor="bookmark95" w:tooltip="Current Document">
        <w:r>
          <w:rPr>
            <w:rStyle w:val="CharStyle13"/>
          </w:rPr>
          <w:t>Obr. 4.19</w:t>
          <w:tab/>
          <w:t>Energetická bilance výroby vodíku</w:t>
          <w:tab/>
        </w:r>
        <w:r>
          <w:rPr>
            <w:rStyle w:val="CharStyle13"/>
            <w:b/>
            <w:bCs/>
          </w:rPr>
          <w:t>32</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r>
        <w:rPr>
          <w:rStyle w:val="CharStyle13"/>
        </w:rPr>
        <w:t>Obr. 4.20</w:t>
        <w:tab/>
        <w:t>Výhled vývoje příkonu alkalických elektrolyzérů (AE)</w:t>
        <w:tab/>
      </w:r>
      <w:r>
        <w:rPr>
          <w:rStyle w:val="CharStyle13"/>
          <w:b/>
          <w:bCs/>
        </w:rPr>
        <w:t>33</w:t>
      </w:r>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00" w:tooltip="Current Document">
        <w:r>
          <w:rPr>
            <w:rStyle w:val="CharStyle13"/>
          </w:rPr>
          <w:t>Obr. 4.21</w:t>
          <w:tab/>
          <w:t>Výkonové rozsahy palivových článků</w:t>
          <w:tab/>
        </w:r>
        <w:r>
          <w:rPr>
            <w:rStyle w:val="CharStyle13"/>
            <w:b/>
            <w:bCs/>
          </w:rPr>
          <w:t>34</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02" w:tooltip="Current Document">
        <w:r>
          <w:rPr>
            <w:rStyle w:val="CharStyle13"/>
          </w:rPr>
          <w:t>Obr. 4.22</w:t>
          <w:tab/>
          <w:t>Výhled vývoje instalovaného výkonu palivových článků</w:t>
          <w:tab/>
        </w:r>
        <w:r>
          <w:rPr>
            <w:rStyle w:val="CharStyle13"/>
            <w:b/>
            <w:bCs/>
          </w:rPr>
          <w:t>35</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08" w:tooltip="Current Document">
        <w:r>
          <w:rPr>
            <w:rStyle w:val="CharStyle13"/>
          </w:rPr>
          <w:t>Obr. 5.1</w:t>
          <w:tab/>
          <w:t>Scénáře spotřeby ČR</w:t>
          <w:tab/>
        </w:r>
        <w:r>
          <w:rPr>
            <w:rStyle w:val="CharStyle13"/>
            <w:b/>
            <w:bCs/>
          </w:rPr>
          <w:t>37</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13" w:tooltip="Current Document">
        <w:r>
          <w:rPr>
            <w:rStyle w:val="CharStyle13"/>
          </w:rPr>
          <w:t>Obr. 5.2</w:t>
          <w:tab/>
          <w:t>Spotřeba ČR - Respondentní/Konzervativní scénář</w:t>
          <w:tab/>
        </w:r>
        <w:r>
          <w:rPr>
            <w:rStyle w:val="CharStyle13"/>
            <w:b/>
            <w:bCs/>
          </w:rPr>
          <w:t>38</w:t>
        </w:r>
      </w:hyperlink>
    </w:p>
    <w:p>
      <w:pPr>
        <w:pStyle w:val="Style12"/>
        <w:keepNext w:val="0"/>
        <w:keepLines w:val="0"/>
        <w:widowControl w:val="0"/>
        <w:shd w:val="clear" w:color="auto" w:fill="auto"/>
        <w:tabs>
          <w:tab w:pos="936" w:val="left"/>
          <w:tab w:leader="dot" w:pos="9442" w:val="left"/>
        </w:tabs>
        <w:bidi w:val="0"/>
        <w:spacing w:before="0" w:after="0" w:line="302" w:lineRule="auto"/>
        <w:ind w:left="0" w:right="0" w:firstLine="0"/>
        <w:jc w:val="left"/>
      </w:pPr>
      <w:hyperlink w:anchor="bookmark116" w:tooltip="Current Document">
        <w:r>
          <w:rPr>
            <w:rStyle w:val="CharStyle13"/>
          </w:rPr>
          <w:t>Obr. 5.3</w:t>
          <w:tab/>
          <w:t>Vývoj meziroční změny tempa růstu HDP, TNS a vývoj EEN - Respondentní/Konzervativní scénář</w:t>
          <w:tab/>
        </w:r>
        <w:r>
          <w:rPr>
            <w:rStyle w:val="CharStyle13"/>
            <w:b/>
            <w:bCs/>
          </w:rPr>
          <w:t>38</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18" w:tooltip="Current Document">
        <w:r>
          <w:rPr>
            <w:rStyle w:val="CharStyle13"/>
          </w:rPr>
          <w:t>Obr. 5.4</w:t>
          <w:tab/>
          <w:t>Predikce vývoje elektromobility - Respondentní/Konzervativní scénář</w:t>
          <w:tab/>
        </w:r>
        <w:r>
          <w:rPr>
            <w:rStyle w:val="CharStyle13"/>
            <w:b/>
            <w:bCs/>
          </w:rPr>
          <w:t>39</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21" w:tooltip="Current Document">
        <w:r>
          <w:rPr>
            <w:rStyle w:val="CharStyle13"/>
          </w:rPr>
          <w:t>Obr. 5.5</w:t>
          <w:tab/>
          <w:t>Predikce vývoje tepelných čerpadel - Respondentní/Konzervativní scénář</w:t>
          <w:tab/>
        </w:r>
        <w:r>
          <w:rPr>
            <w:rStyle w:val="CharStyle13"/>
            <w:b/>
            <w:bCs/>
          </w:rPr>
          <w:t>40</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34" w:tooltip="Current Document">
        <w:r>
          <w:rPr>
            <w:rStyle w:val="CharStyle13"/>
          </w:rPr>
          <w:t>Obr. 5.6</w:t>
          <w:tab/>
          <w:t>Predikce vývoje prosumerů - Respondentní/Konzervativní scénář</w:t>
          <w:tab/>
        </w:r>
        <w:r>
          <w:rPr>
            <w:rStyle w:val="CharStyle13"/>
            <w:b/>
            <w:bCs/>
          </w:rPr>
          <w:t>40</w:t>
        </w:r>
      </w:hyperlink>
    </w:p>
    <w:p>
      <w:pPr>
        <w:pStyle w:val="Style12"/>
        <w:keepNext w:val="0"/>
        <w:keepLines w:val="0"/>
        <w:widowControl w:val="0"/>
        <w:shd w:val="clear" w:color="auto" w:fill="auto"/>
        <w:tabs>
          <w:tab w:leader="dot" w:pos="9732" w:val="right"/>
        </w:tabs>
        <w:bidi w:val="0"/>
        <w:spacing w:before="0" w:after="0" w:line="302" w:lineRule="auto"/>
        <w:ind w:left="0" w:right="0" w:firstLine="0"/>
        <w:jc w:val="left"/>
      </w:pPr>
      <w:r>
        <w:rPr>
          <w:rStyle w:val="CharStyle13"/>
        </w:rPr>
        <w:t>Obr. 5.7 Spotřeba ČR - Progresivní scénář</w:t>
        <w:tab/>
      </w:r>
      <w:r>
        <w:rPr>
          <w:rStyle w:val="CharStyle13"/>
          <w:b/>
          <w:bCs/>
        </w:rPr>
        <w:t>42</w:t>
      </w:r>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27" w:tooltip="Current Document">
        <w:r>
          <w:rPr>
            <w:rStyle w:val="CharStyle13"/>
          </w:rPr>
          <w:t>Obr. 5.8</w:t>
          <w:tab/>
          <w:t>Vývoj meziroční změny tempa růstu HDP, TNS a vývoj EEN - Progresivní scénář</w:t>
          <w:tab/>
        </w:r>
        <w:r>
          <w:rPr>
            <w:rStyle w:val="CharStyle13"/>
            <w:b/>
            <w:bCs/>
          </w:rPr>
          <w:t>42</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29" w:tooltip="Current Document">
        <w:r>
          <w:rPr>
            <w:rStyle w:val="CharStyle13"/>
          </w:rPr>
          <w:t>Obr. 5.9</w:t>
          <w:tab/>
          <w:t>Predikce vývoje elektromobility - Progresivní scénář</w:t>
          <w:tab/>
        </w:r>
        <w:r>
          <w:rPr>
            <w:rStyle w:val="CharStyle13"/>
            <w:b/>
            <w:bCs/>
          </w:rPr>
          <w:t>43</w:t>
        </w:r>
      </w:hyperlink>
    </w:p>
    <w:p>
      <w:pPr>
        <w:pStyle w:val="Style12"/>
        <w:keepNext w:val="0"/>
        <w:keepLines w:val="0"/>
        <w:widowControl w:val="0"/>
        <w:shd w:val="clear" w:color="auto" w:fill="auto"/>
        <w:tabs>
          <w:tab w:pos="944" w:val="left"/>
          <w:tab w:leader="dot" w:pos="9732" w:val="right"/>
        </w:tabs>
        <w:bidi w:val="0"/>
        <w:spacing w:before="0" w:after="0" w:line="302" w:lineRule="auto"/>
        <w:ind w:left="0" w:right="0" w:firstLine="0"/>
        <w:jc w:val="left"/>
      </w:pPr>
      <w:hyperlink w:anchor="bookmark132" w:tooltip="Current Document">
        <w:r>
          <w:rPr>
            <w:rStyle w:val="CharStyle13"/>
          </w:rPr>
          <w:t>Obr. 5.10</w:t>
          <w:tab/>
          <w:t>Predikce vývoje tepelných čerpadel - Progresivní scénář</w:t>
          <w:tab/>
        </w:r>
        <w:r>
          <w:rPr>
            <w:rStyle w:val="CharStyle13"/>
            <w:b/>
            <w:bCs/>
          </w:rPr>
          <w:t>44</w:t>
        </w:r>
      </w:hyperlink>
    </w:p>
    <w:p>
      <w:pPr>
        <w:pStyle w:val="Style12"/>
        <w:keepNext w:val="0"/>
        <w:keepLines w:val="0"/>
        <w:widowControl w:val="0"/>
        <w:shd w:val="clear" w:color="auto" w:fill="auto"/>
        <w:tabs>
          <w:tab w:pos="936" w:val="left"/>
          <w:tab w:leader="dot" w:pos="9732" w:val="right"/>
        </w:tabs>
        <w:bidi w:val="0"/>
        <w:spacing w:before="0" w:after="0" w:line="302" w:lineRule="auto"/>
        <w:ind w:left="0" w:right="0" w:firstLine="0"/>
        <w:jc w:val="left"/>
      </w:pPr>
      <w:hyperlink w:anchor="bookmark147" w:tooltip="Current Document">
        <w:r>
          <w:rPr>
            <w:rStyle w:val="CharStyle13"/>
          </w:rPr>
          <w:t>Obr. 5.11</w:t>
          <w:tab/>
          <w:t>Predikce vývoje prosumerů - Progresivní scénář</w:t>
          <w:tab/>
        </w:r>
        <w:r>
          <w:rPr>
            <w:rStyle w:val="CharStyle13"/>
            <w:b/>
            <w:bCs/>
          </w:rPr>
          <w:t>44</w:t>
        </w:r>
      </w:hyperlink>
    </w:p>
    <w:p>
      <w:pPr>
        <w:pStyle w:val="Style12"/>
        <w:keepNext w:val="0"/>
        <w:keepLines w:val="0"/>
        <w:widowControl w:val="0"/>
        <w:shd w:val="clear" w:color="auto" w:fill="auto"/>
        <w:tabs>
          <w:tab w:pos="939" w:val="left"/>
          <w:tab w:leader="dot" w:pos="9732" w:val="right"/>
        </w:tabs>
        <w:bidi w:val="0"/>
        <w:spacing w:before="0" w:after="0" w:line="302" w:lineRule="auto"/>
        <w:ind w:left="0" w:right="0" w:firstLine="0"/>
        <w:jc w:val="left"/>
      </w:pPr>
      <w:r>
        <w:rPr>
          <w:rStyle w:val="CharStyle13"/>
        </w:rPr>
        <w:t>Obr. 5.12</w:t>
        <w:tab/>
        <w:t>Spotřeba ČR - Dekarbonizační scénář</w:t>
        <w:tab/>
      </w:r>
      <w:r>
        <w:rPr>
          <w:rStyle w:val="CharStyle13"/>
          <w:b/>
          <w:bCs/>
        </w:rPr>
        <w:t>45</w:t>
      </w:r>
    </w:p>
    <w:p>
      <w:pPr>
        <w:pStyle w:val="Style12"/>
        <w:keepNext w:val="0"/>
        <w:keepLines w:val="0"/>
        <w:widowControl w:val="0"/>
        <w:shd w:val="clear" w:color="auto" w:fill="auto"/>
        <w:tabs>
          <w:tab w:pos="939" w:val="left"/>
          <w:tab w:leader="dot" w:pos="9732" w:val="right"/>
        </w:tabs>
        <w:bidi w:val="0"/>
        <w:spacing w:before="0" w:after="0" w:line="302" w:lineRule="auto"/>
        <w:ind w:left="0" w:right="0" w:firstLine="0"/>
        <w:jc w:val="left"/>
      </w:pPr>
      <w:hyperlink w:anchor="bookmark140" w:tooltip="Current Document">
        <w:r>
          <w:rPr>
            <w:rStyle w:val="CharStyle13"/>
          </w:rPr>
          <w:t>Obr. 5.13</w:t>
          <w:tab/>
          <w:t>Vývoj meziroční změny tempa růstu HDP, TNS a vývoj EEN - Dekarbonizační scénář</w:t>
          <w:tab/>
        </w:r>
        <w:r>
          <w:rPr>
            <w:rStyle w:val="CharStyle13"/>
            <w:b/>
            <w:bCs/>
          </w:rPr>
          <w:t>46</w:t>
        </w:r>
      </w:hyperlink>
    </w:p>
    <w:p>
      <w:pPr>
        <w:pStyle w:val="Style12"/>
        <w:keepNext w:val="0"/>
        <w:keepLines w:val="0"/>
        <w:widowControl w:val="0"/>
        <w:shd w:val="clear" w:color="auto" w:fill="auto"/>
        <w:tabs>
          <w:tab w:pos="949" w:val="left"/>
          <w:tab w:leader="dot" w:pos="9732" w:val="right"/>
        </w:tabs>
        <w:bidi w:val="0"/>
        <w:spacing w:before="0" w:after="0" w:line="302" w:lineRule="auto"/>
        <w:ind w:left="0" w:right="0" w:firstLine="0"/>
        <w:jc w:val="left"/>
      </w:pPr>
      <w:hyperlink w:anchor="bookmark142" w:tooltip="Current Document">
        <w:r>
          <w:rPr>
            <w:rStyle w:val="CharStyle13"/>
          </w:rPr>
          <w:t>Obr. 5.14</w:t>
          <w:tab/>
          <w:t>Predikce vývoje elektromobility - Dekarbonizační scénář</w:t>
          <w:tab/>
        </w:r>
        <w:r>
          <w:rPr>
            <w:rStyle w:val="CharStyle13"/>
            <w:b/>
            <w:bCs/>
          </w:rPr>
          <w:t>47</w:t>
        </w:r>
      </w:hyperlink>
    </w:p>
    <w:p>
      <w:pPr>
        <w:pStyle w:val="Style12"/>
        <w:keepNext w:val="0"/>
        <w:keepLines w:val="0"/>
        <w:widowControl w:val="0"/>
        <w:shd w:val="clear" w:color="auto" w:fill="auto"/>
        <w:tabs>
          <w:tab w:pos="939" w:val="left"/>
          <w:tab w:leader="dot" w:pos="9732" w:val="right"/>
        </w:tabs>
        <w:bidi w:val="0"/>
        <w:spacing w:before="0" w:after="0" w:line="302" w:lineRule="auto"/>
        <w:ind w:left="0" w:right="0" w:firstLine="0"/>
        <w:jc w:val="left"/>
      </w:pPr>
      <w:hyperlink w:anchor="bookmark145" w:tooltip="Current Document">
        <w:r>
          <w:rPr>
            <w:rStyle w:val="CharStyle13"/>
          </w:rPr>
          <w:t>Obr. 5.15</w:t>
          <w:tab/>
          <w:t>Predikce vývoje tepelných čerpadel - Dekarbonizační scénář</w:t>
          <w:tab/>
        </w:r>
        <w:r>
          <w:rPr>
            <w:rStyle w:val="CharStyle13"/>
            <w:b/>
            <w:bCs/>
          </w:rPr>
          <w:t>48</w:t>
        </w:r>
      </w:hyperlink>
    </w:p>
    <w:p>
      <w:pPr>
        <w:pStyle w:val="Style12"/>
        <w:keepNext w:val="0"/>
        <w:keepLines w:val="0"/>
        <w:widowControl w:val="0"/>
        <w:shd w:val="clear" w:color="auto" w:fill="auto"/>
        <w:tabs>
          <w:tab w:pos="944" w:val="left"/>
          <w:tab w:leader="dot" w:pos="9732" w:val="right"/>
        </w:tabs>
        <w:bidi w:val="0"/>
        <w:spacing w:before="0" w:after="0" w:line="302" w:lineRule="auto"/>
        <w:ind w:left="0" w:right="0" w:firstLine="0"/>
        <w:jc w:val="left"/>
      </w:pPr>
      <w:r>
        <w:rPr>
          <w:rStyle w:val="CharStyle13"/>
        </w:rPr>
        <w:t>Obr. 5.16</w:t>
        <w:tab/>
        <w:t>Predikce vývoje prosumerů - Dekarbonizační scénář</w:t>
        <w:tab/>
      </w:r>
      <w:r>
        <w:rPr>
          <w:rStyle w:val="CharStyle13"/>
          <w:b/>
          <w:bCs/>
        </w:rPr>
        <w:t>48</w:t>
      </w:r>
    </w:p>
    <w:p>
      <w:pPr>
        <w:pStyle w:val="Style12"/>
        <w:keepNext w:val="0"/>
        <w:keepLines w:val="0"/>
        <w:widowControl w:val="0"/>
        <w:shd w:val="clear" w:color="auto" w:fill="auto"/>
        <w:tabs>
          <w:tab w:pos="936" w:val="left"/>
          <w:tab w:pos="6387" w:val="center"/>
          <w:tab w:pos="6751" w:val="center"/>
          <w:tab w:pos="7464" w:val="center"/>
        </w:tabs>
        <w:bidi w:val="0"/>
        <w:spacing w:before="0" w:after="0" w:line="302" w:lineRule="auto"/>
        <w:ind w:left="0" w:right="0" w:firstLine="0"/>
        <w:jc w:val="left"/>
      </w:pPr>
      <w:r>
        <w:rPr>
          <w:rStyle w:val="CharStyle13"/>
        </w:rPr>
        <w:t>Obr. 6.1</w:t>
        <w:tab/>
        <w:t>Výhled netto instalovaného výkonu ČR (mimo OZE), plynových</w:t>
        <w:tab/>
        <w:t>a</w:t>
        <w:tab/>
        <w:t>uhelných</w:t>
        <w:tab/>
        <w:t>zdrojů</w:t>
      </w:r>
    </w:p>
    <w:p>
      <w:pPr>
        <w:pStyle w:val="Style12"/>
        <w:keepNext w:val="0"/>
        <w:keepLines w:val="0"/>
        <w:widowControl w:val="0"/>
        <w:shd w:val="clear" w:color="auto" w:fill="auto"/>
        <w:tabs>
          <w:tab w:leader="dot" w:pos="9732" w:val="right"/>
        </w:tabs>
        <w:bidi w:val="0"/>
        <w:spacing w:before="0" w:after="0" w:line="302" w:lineRule="auto"/>
        <w:ind w:left="1020" w:right="0" w:firstLine="0"/>
        <w:jc w:val="both"/>
      </w:pPr>
      <w:hyperlink w:anchor="bookmark158" w:tooltip="Current Document">
        <w:r>
          <w:rPr>
            <w:rStyle w:val="CharStyle13"/>
          </w:rPr>
          <w:t>v Respondentním scénáři</w:t>
          <w:tab/>
        </w:r>
        <w:r>
          <w:rPr>
            <w:rStyle w:val="CharStyle13"/>
            <w:b/>
            <w:bCs/>
          </w:rPr>
          <w:t>50</w:t>
        </w:r>
      </w:hyperlink>
    </w:p>
    <w:p>
      <w:pPr>
        <w:pStyle w:val="Style12"/>
        <w:keepNext w:val="0"/>
        <w:keepLines w:val="0"/>
        <w:widowControl w:val="0"/>
        <w:shd w:val="clear" w:color="auto" w:fill="auto"/>
        <w:tabs>
          <w:tab w:leader="dot" w:pos="9732" w:val="right"/>
        </w:tabs>
        <w:bidi w:val="0"/>
        <w:spacing w:before="0" w:after="480" w:line="302" w:lineRule="auto"/>
        <w:ind w:left="0" w:right="0" w:firstLine="0"/>
        <w:jc w:val="both"/>
      </w:pPr>
      <w:hyperlink w:anchor="bookmark160" w:tooltip="Current Document">
        <w:r>
          <w:rPr>
            <w:rStyle w:val="CharStyle13"/>
          </w:rPr>
          <w:t>Obr. 6.2 Netto instalovaný výkon v Respondentním scénáři pro jednotlivé roky a kategorie zdrojů</w:t>
          <w:tab/>
        </w:r>
        <w:r>
          <w:rPr>
            <w:rStyle w:val="CharStyle13"/>
            <w:b/>
            <w:bCs/>
          </w:rPr>
          <w:t>51</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165" w:tooltip="Current Document">
        <w:r>
          <w:rPr>
            <w:rStyle w:val="CharStyle13"/>
          </w:rPr>
          <w:t>Obr. 6.3 Výhled netto instalovaného výkonu ČR (mimo OZE), plynových zdrojů a uhelných zdrojů v Konzervativním scénáři</w:t>
          <w:tab/>
        </w:r>
        <w:r>
          <w:rPr>
            <w:rStyle w:val="CharStyle13"/>
            <w:b/>
            <w:bCs/>
          </w:rPr>
          <w:t>52</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167" w:tooltip="Current Document">
        <w:r>
          <w:rPr>
            <w:rStyle w:val="CharStyle13"/>
          </w:rPr>
          <w:t>Obr. 6.4</w:t>
          <w:tab/>
          <w:t>Netto instalovaný výkon v Konzervativním scénáři pro jednotlivé roky a kategorie zdrojů</w:t>
          <w:tab/>
        </w:r>
        <w:r>
          <w:rPr>
            <w:rStyle w:val="CharStyle13"/>
            <w:b/>
            <w:bCs/>
          </w:rPr>
          <w:t>53</w:t>
        </w:r>
      </w:hyperlink>
    </w:p>
    <w:p>
      <w:pPr>
        <w:pStyle w:val="Style12"/>
        <w:keepNext w:val="0"/>
        <w:keepLines w:val="0"/>
        <w:widowControl w:val="0"/>
        <w:shd w:val="clear" w:color="auto" w:fill="auto"/>
        <w:tabs>
          <w:tab w:pos="955" w:val="left"/>
        </w:tabs>
        <w:bidi w:val="0"/>
        <w:spacing w:before="0" w:after="0" w:line="302" w:lineRule="auto"/>
        <w:ind w:left="0" w:right="0" w:firstLine="0"/>
        <w:jc w:val="left"/>
      </w:pPr>
      <w:r>
        <w:rPr>
          <w:rStyle w:val="CharStyle13"/>
        </w:rPr>
        <w:t>Obr. 6.5</w:t>
        <w:tab/>
        <w:t>Výhled netto instalovaného výkonu ČR (mimo OZE), plynových zdrojů a uhelných zdrojů</w:t>
      </w:r>
    </w:p>
    <w:p>
      <w:pPr>
        <w:pStyle w:val="Style12"/>
        <w:keepNext w:val="0"/>
        <w:keepLines w:val="0"/>
        <w:widowControl w:val="0"/>
        <w:shd w:val="clear" w:color="auto" w:fill="auto"/>
        <w:tabs>
          <w:tab w:leader="dot" w:pos="9737" w:val="right"/>
        </w:tabs>
        <w:bidi w:val="0"/>
        <w:spacing w:before="0" w:after="0" w:line="302" w:lineRule="auto"/>
        <w:ind w:left="1040" w:right="0" w:firstLine="0"/>
        <w:jc w:val="both"/>
      </w:pPr>
      <w:hyperlink w:anchor="bookmark172" w:tooltip="Current Document">
        <w:r>
          <w:rPr>
            <w:rStyle w:val="CharStyle13"/>
          </w:rPr>
          <w:t>v Progresivním scénáři</w:t>
          <w:tab/>
        </w:r>
        <w:r>
          <w:rPr>
            <w:rStyle w:val="CharStyle13"/>
            <w:b/>
            <w:bCs/>
          </w:rPr>
          <w:t>54</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left"/>
      </w:pPr>
      <w:hyperlink w:anchor="bookmark174" w:tooltip="Current Document">
        <w:r>
          <w:rPr>
            <w:rStyle w:val="CharStyle13"/>
          </w:rPr>
          <w:t>Obr. 6.6</w:t>
          <w:tab/>
          <w:t>Netto instalovaný výkon v Progresivním scénáři pro jednotlivé roky a kategorie zdrojů</w:t>
          <w:tab/>
        </w:r>
        <w:r>
          <w:rPr>
            <w:rStyle w:val="CharStyle13"/>
            <w:b/>
            <w:bCs/>
          </w:rPr>
          <w:t>55</w:t>
        </w:r>
      </w:hyperlink>
    </w:p>
    <w:p>
      <w:pPr>
        <w:pStyle w:val="Style12"/>
        <w:keepNext w:val="0"/>
        <w:keepLines w:val="0"/>
        <w:widowControl w:val="0"/>
        <w:shd w:val="clear" w:color="auto" w:fill="auto"/>
        <w:tabs>
          <w:tab w:pos="955" w:val="left"/>
        </w:tabs>
        <w:bidi w:val="0"/>
        <w:spacing w:before="0" w:after="0" w:line="302" w:lineRule="auto"/>
        <w:ind w:left="0" w:right="0" w:firstLine="0"/>
        <w:jc w:val="left"/>
      </w:pPr>
      <w:r>
        <w:rPr>
          <w:rStyle w:val="CharStyle13"/>
        </w:rPr>
        <w:t>Obr. 6.7</w:t>
        <w:tab/>
        <w:t>Výhled netto instalovaného výkonu ČR (mimo OZE), plynových zdrojů a uhelných zdrojů</w:t>
      </w:r>
    </w:p>
    <w:p>
      <w:pPr>
        <w:pStyle w:val="Style12"/>
        <w:keepNext w:val="0"/>
        <w:keepLines w:val="0"/>
        <w:widowControl w:val="0"/>
        <w:shd w:val="clear" w:color="auto" w:fill="auto"/>
        <w:tabs>
          <w:tab w:leader="dot" w:pos="9737" w:val="right"/>
        </w:tabs>
        <w:bidi w:val="0"/>
        <w:spacing w:before="0" w:after="0" w:line="302" w:lineRule="auto"/>
        <w:ind w:left="1040" w:right="0" w:firstLine="0"/>
        <w:jc w:val="both"/>
      </w:pPr>
      <w:hyperlink w:anchor="bookmark179" w:tooltip="Current Document">
        <w:r>
          <w:rPr>
            <w:rStyle w:val="CharStyle13"/>
          </w:rPr>
          <w:t>v Dekarbonizačním scénáři</w:t>
          <w:tab/>
        </w:r>
        <w:r>
          <w:rPr>
            <w:rStyle w:val="CharStyle13"/>
            <w:b/>
            <w:bCs/>
          </w:rPr>
          <w:t>56</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left"/>
      </w:pPr>
      <w:hyperlink w:anchor="bookmark181" w:tooltip="Current Document">
        <w:r>
          <w:rPr>
            <w:rStyle w:val="CharStyle13"/>
          </w:rPr>
          <w:t>Obr. 6.8</w:t>
          <w:tab/>
          <w:t>Netto instalovaný výkon v Dekarbonizačním scénáři pro jednotlivé roky a kategorie zdrojů</w:t>
          <w:tab/>
        </w:r>
        <w:r>
          <w:rPr>
            <w:rStyle w:val="CharStyle13"/>
            <w:b/>
            <w:bCs/>
          </w:rPr>
          <w:t>57</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left"/>
      </w:pPr>
      <w:hyperlink w:anchor="bookmark186" w:tooltip="Current Document">
        <w:r>
          <w:rPr>
            <w:rStyle w:val="CharStyle13"/>
          </w:rPr>
          <w:t>Obr. 6.9</w:t>
          <w:tab/>
          <w:t>Skladba služeb výkonové rovnováhy a DSR v rozmezí let 2025-2040</w:t>
          <w:tab/>
          <w:t xml:space="preserve"> </w:t>
        </w:r>
        <w:r>
          <w:rPr>
            <w:rStyle w:val="CharStyle13"/>
            <w:b/>
            <w:bCs/>
          </w:rPr>
          <w:t>58</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left"/>
      </w:pPr>
      <w:hyperlink w:anchor="bookmark193" w:tooltip="Current Document">
        <w:r>
          <w:rPr>
            <w:rStyle w:val="CharStyle13"/>
          </w:rPr>
          <w:t>Obr. 6.10</w:t>
          <w:tab/>
          <w:t>Roční bilance v Respondentním scénáři pro jednotlivé roky a kategorie zdrojů</w:t>
          <w:tab/>
        </w:r>
        <w:r>
          <w:rPr>
            <w:rStyle w:val="CharStyle13"/>
            <w:b/>
            <w:bCs/>
          </w:rPr>
          <w:t>60</w:t>
        </w:r>
      </w:hyperlink>
    </w:p>
    <w:p>
      <w:pPr>
        <w:pStyle w:val="Style12"/>
        <w:keepNext w:val="0"/>
        <w:keepLines w:val="0"/>
        <w:widowControl w:val="0"/>
        <w:shd w:val="clear" w:color="auto" w:fill="auto"/>
        <w:tabs>
          <w:tab w:pos="955" w:val="left"/>
        </w:tabs>
        <w:bidi w:val="0"/>
        <w:spacing w:before="0" w:after="0" w:line="302" w:lineRule="auto"/>
        <w:ind w:left="0" w:right="0" w:firstLine="0"/>
        <w:jc w:val="left"/>
      </w:pPr>
      <w:hyperlink w:anchor="bookmark195" w:tooltip="Current Document">
        <w:r>
          <w:rPr>
            <w:rStyle w:val="CharStyle13"/>
          </w:rPr>
          <w:t>Obr. 6.11</w:t>
          <w:tab/>
          <w:t xml:space="preserve">Roční využití výkonu jednotlivých kategorií zdrojů v Respondentním scénáři pro období 2025-2040 . . </w:t>
        </w:r>
        <w:r>
          <w:rPr>
            <w:rStyle w:val="CharStyle13"/>
            <w:b/>
            <w:bCs/>
          </w:rPr>
          <w:t>61</w:t>
        </w:r>
      </w:hyperlink>
    </w:p>
    <w:p>
      <w:pPr>
        <w:pStyle w:val="Style12"/>
        <w:keepNext w:val="0"/>
        <w:keepLines w:val="0"/>
        <w:widowControl w:val="0"/>
        <w:shd w:val="clear" w:color="auto" w:fill="auto"/>
        <w:tabs>
          <w:tab w:pos="955" w:val="left"/>
        </w:tabs>
        <w:bidi w:val="0"/>
        <w:spacing w:before="0" w:after="0" w:line="302" w:lineRule="auto"/>
        <w:ind w:left="0" w:right="0" w:firstLine="0"/>
        <w:jc w:val="left"/>
      </w:pPr>
      <w:hyperlink w:anchor="bookmark195" w:tooltip="Current Document">
        <w:r>
          <w:rPr>
            <w:rStyle w:val="CharStyle13"/>
          </w:rPr>
          <w:t>Obr. 6.12</w:t>
          <w:tab/>
          <w:t>Celková roční a) přeshraniční výměna a b) zmařená energie v Respondentním scénáři</w:t>
        </w:r>
      </w:hyperlink>
    </w:p>
    <w:p>
      <w:pPr>
        <w:pStyle w:val="Style12"/>
        <w:keepNext w:val="0"/>
        <w:keepLines w:val="0"/>
        <w:widowControl w:val="0"/>
        <w:shd w:val="clear" w:color="auto" w:fill="auto"/>
        <w:tabs>
          <w:tab w:leader="dot" w:pos="9737" w:val="right"/>
        </w:tabs>
        <w:bidi w:val="0"/>
        <w:spacing w:before="0" w:after="0" w:line="302" w:lineRule="auto"/>
        <w:ind w:left="1040" w:right="0" w:firstLine="0"/>
        <w:jc w:val="both"/>
      </w:pPr>
      <w:hyperlink w:anchor="bookmark196" w:tooltip="Current Document">
        <w:r>
          <w:rPr>
            <w:rStyle w:val="CharStyle13"/>
          </w:rPr>
          <w:t>v jednotlivých letech</w:t>
          <w:tab/>
        </w:r>
        <w:r>
          <w:rPr>
            <w:rStyle w:val="CharStyle13"/>
            <w:b/>
            <w:bCs/>
          </w:rPr>
          <w:t>61</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198" w:tooltip="Current Document">
        <w:r>
          <w:rPr>
            <w:rStyle w:val="CharStyle13"/>
          </w:rPr>
          <w:t>Obr. 6.13 Pravděpodobnostní indikátory LOLE a EENS pro Respondentní scénář pro období 2025-2040, včetně salda</w:t>
          <w:tab/>
        </w:r>
        <w:r>
          <w:rPr>
            <w:rStyle w:val="CharStyle13"/>
            <w:b/>
            <w:bCs/>
          </w:rPr>
          <w:t>62</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00" w:tooltip="Current Document">
        <w:r>
          <w:rPr>
            <w:rStyle w:val="CharStyle13"/>
          </w:rPr>
          <w:t>Obr. 6.14</w:t>
          <w:tab/>
          <w:t>Saldo importu a exportu evropských zemí pro Respondentní scénář 2030</w:t>
          <w:tab/>
          <w:t xml:space="preserve"> </w:t>
        </w:r>
        <w:r>
          <w:rPr>
            <w:rStyle w:val="CharStyle13"/>
            <w:b/>
            <w:bCs/>
          </w:rPr>
          <w:t>63</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03" w:tooltip="Current Document">
        <w:r>
          <w:rPr>
            <w:rStyle w:val="CharStyle13"/>
          </w:rPr>
          <w:t>Obr. 6.15</w:t>
          <w:tab/>
          <w:t>Saldo importu a exportu evropských zemí pro Respondentní scénář 2040</w:t>
          <w:tab/>
          <w:t xml:space="preserve"> </w:t>
        </w:r>
        <w:r>
          <w:rPr>
            <w:rStyle w:val="CharStyle13"/>
            <w:b/>
            <w:bCs/>
          </w:rPr>
          <w:t>64</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05" w:tooltip="Current Document">
        <w:r>
          <w:rPr>
            <w:rStyle w:val="CharStyle13"/>
          </w:rPr>
          <w:t>Obr. 6.16</w:t>
          <w:tab/>
          <w:t>Roční bilance v Konzervativním scénáři pro jednotlivé roky a kategorie zdrojů</w:t>
          <w:tab/>
        </w:r>
        <w:r>
          <w:rPr>
            <w:rStyle w:val="CharStyle13"/>
            <w:b/>
            <w:bCs/>
          </w:rPr>
          <w:t>65</w:t>
        </w:r>
      </w:hyperlink>
    </w:p>
    <w:p>
      <w:pPr>
        <w:pStyle w:val="Style12"/>
        <w:keepNext w:val="0"/>
        <w:keepLines w:val="0"/>
        <w:widowControl w:val="0"/>
        <w:shd w:val="clear" w:color="auto" w:fill="auto"/>
        <w:tabs>
          <w:tab w:pos="955" w:val="left"/>
          <w:tab w:pos="7482" w:val="center"/>
        </w:tabs>
        <w:bidi w:val="0"/>
        <w:spacing w:before="0" w:after="0" w:line="302" w:lineRule="auto"/>
        <w:ind w:left="1040" w:right="0" w:hanging="1040"/>
        <w:jc w:val="both"/>
      </w:pPr>
      <w:r>
        <w:rPr>
          <w:rStyle w:val="CharStyle13"/>
        </w:rPr>
        <w:t>Obr. 6.17</w:t>
        <w:tab/>
        <w:t>Roční využití výkonu jednotlivých kategorií zdrojů v Konzervativním scénáři</w:t>
        <w:tab/>
        <w:t xml:space="preserve">pro období 2025-2040 . . </w:t>
      </w:r>
      <w:r>
        <w:rPr>
          <w:rStyle w:val="CharStyle13"/>
          <w:b/>
          <w:bCs/>
        </w:rPr>
        <w:t>66</w:t>
      </w:r>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208" w:tooltip="Current Document">
        <w:r>
          <w:rPr>
            <w:rStyle w:val="CharStyle13"/>
          </w:rPr>
          <w:t>Obr. 6.18 Celková roční a) přeshraniční výměna a b) zmařená energie v Konzervativním scénáři v jednotlivých letech</w:t>
          <w:tab/>
        </w:r>
        <w:r>
          <w:rPr>
            <w:rStyle w:val="CharStyle13"/>
            <w:b/>
            <w:bCs/>
          </w:rPr>
          <w:t>66</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237" w:tooltip="Current Document">
        <w:r>
          <w:rPr>
            <w:rStyle w:val="CharStyle13"/>
          </w:rPr>
          <w:t>Obr. 6.19 Pravděpodobnostní indikátory LOLE a EENS pro Konzervativní scénář pro období 2025-2040, včetně salda</w:t>
          <w:tab/>
        </w:r>
        <w:r>
          <w:rPr>
            <w:rStyle w:val="CharStyle13"/>
            <w:b/>
            <w:bCs/>
          </w:rPr>
          <w:t>67</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11" w:tooltip="Current Document">
        <w:r>
          <w:rPr>
            <w:rStyle w:val="CharStyle13"/>
          </w:rPr>
          <w:t>Obr. 6.20</w:t>
          <w:tab/>
          <w:t>Saldo importu a exportu evropských zemí pro Konzervativní scénář 2030</w:t>
          <w:tab/>
          <w:t xml:space="preserve"> </w:t>
        </w:r>
        <w:r>
          <w:rPr>
            <w:rStyle w:val="CharStyle13"/>
            <w:b/>
            <w:bCs/>
          </w:rPr>
          <w:t>68</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13" w:tooltip="Current Document">
        <w:r>
          <w:rPr>
            <w:rStyle w:val="CharStyle13"/>
          </w:rPr>
          <w:t>Obr. 6.21</w:t>
          <w:tab/>
          <w:t>Saldo importu a exportu evropských zemí pro Konzervativní scénář 2040</w:t>
          <w:tab/>
          <w:t xml:space="preserve"> </w:t>
        </w:r>
        <w:r>
          <w:rPr>
            <w:rStyle w:val="CharStyle13"/>
            <w:b/>
            <w:bCs/>
          </w:rPr>
          <w:t>69</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18" w:tooltip="Current Document">
        <w:r>
          <w:rPr>
            <w:rStyle w:val="CharStyle13"/>
          </w:rPr>
          <w:t>Obr. 6.22</w:t>
          <w:tab/>
          <w:t>Roční bilance v Progresivním scénáři pro jednotlivé roky a kategorie zdrojů</w:t>
          <w:tab/>
        </w:r>
        <w:r>
          <w:rPr>
            <w:rStyle w:val="CharStyle13"/>
            <w:b/>
            <w:bCs/>
          </w:rPr>
          <w:t>70</w:t>
        </w:r>
      </w:hyperlink>
    </w:p>
    <w:p>
      <w:pPr>
        <w:pStyle w:val="Style12"/>
        <w:keepNext w:val="0"/>
        <w:keepLines w:val="0"/>
        <w:widowControl w:val="0"/>
        <w:shd w:val="clear" w:color="auto" w:fill="auto"/>
        <w:tabs>
          <w:tab w:pos="955" w:val="left"/>
          <w:tab w:pos="7251" w:val="center"/>
          <w:tab w:leader="dot" w:pos="9737" w:val="right"/>
        </w:tabs>
        <w:bidi w:val="0"/>
        <w:spacing w:before="0" w:after="0" w:line="302" w:lineRule="auto"/>
        <w:ind w:left="1040" w:right="0" w:hanging="1040"/>
        <w:jc w:val="both"/>
      </w:pPr>
      <w:hyperlink w:anchor="bookmark233" w:tooltip="Current Document">
        <w:r>
          <w:rPr>
            <w:rStyle w:val="CharStyle13"/>
          </w:rPr>
          <w:t>Obr. 6.23</w:t>
          <w:tab/>
          <w:t>Roční využití výkonu jednotlivých kategorií zdrojů v Progresivním scénáři</w:t>
          <w:tab/>
          <w:t>pro období 2025-2040</w:t>
          <w:tab/>
          <w:t xml:space="preserve"> </w:t>
        </w:r>
        <w:r>
          <w:rPr>
            <w:rStyle w:val="CharStyle13"/>
            <w:b/>
            <w:bCs/>
          </w:rPr>
          <w:t>71</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220" w:tooltip="Current Document">
        <w:r>
          <w:rPr>
            <w:rStyle w:val="CharStyle13"/>
          </w:rPr>
          <w:t>Obr. 6.24 Celková roční a) přeshraniční výměna a b) zmařená energie v Progresivním scénáři v jednotlivých letech</w:t>
          <w:tab/>
        </w:r>
        <w:r>
          <w:rPr>
            <w:rStyle w:val="CharStyle13"/>
            <w:b/>
            <w:bCs/>
          </w:rPr>
          <w:t>71</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r>
        <w:rPr>
          <w:rStyle w:val="CharStyle13"/>
        </w:rPr>
        <w:t>Obr. 6.25 Pravděpodobnostní indikátory LOLE a EENS pro Progresivní scénář pro období 2025-2040, včetně salda</w:t>
        <w:tab/>
      </w:r>
      <w:r>
        <w:rPr>
          <w:rStyle w:val="CharStyle13"/>
          <w:b/>
          <w:bCs/>
        </w:rPr>
        <w:t>72</w:t>
      </w:r>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both"/>
      </w:pPr>
      <w:hyperlink w:anchor="bookmark223" w:tooltip="Current Document">
        <w:r>
          <w:rPr>
            <w:rStyle w:val="CharStyle13"/>
          </w:rPr>
          <w:t>Obr. 6.26</w:t>
          <w:tab/>
          <w:t>Saldo importu a exportu evropských zemí pro Progresivní scénář 2030</w:t>
          <w:tab/>
          <w:t xml:space="preserve"> </w:t>
        </w:r>
        <w:r>
          <w:rPr>
            <w:rStyle w:val="CharStyle13"/>
            <w:b/>
            <w:bCs/>
          </w:rPr>
          <w:t>73</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both"/>
      </w:pPr>
      <w:hyperlink w:anchor="bookmark226" w:tooltip="Current Document">
        <w:r>
          <w:rPr>
            <w:rStyle w:val="CharStyle13"/>
          </w:rPr>
          <w:t>Obr. 6.27</w:t>
          <w:tab/>
          <w:t>Saldo importu a exportu evropských zemí pro Progresivní scénář 2040</w:t>
          <w:tab/>
          <w:t xml:space="preserve"> </w:t>
        </w:r>
        <w:r>
          <w:rPr>
            <w:rStyle w:val="CharStyle13"/>
            <w:b/>
            <w:bCs/>
          </w:rPr>
          <w:t>74</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both"/>
      </w:pPr>
      <w:hyperlink w:anchor="bookmark230" w:tooltip="Current Document">
        <w:r>
          <w:rPr>
            <w:rStyle w:val="CharStyle13"/>
          </w:rPr>
          <w:t>Obr. 6.28</w:t>
          <w:tab/>
          <w:t>Roční bilance v Dekarbonizačním scénáři pro jednotlivé roky a kategorie zdrojů</w:t>
          <w:tab/>
        </w:r>
        <w:r>
          <w:rPr>
            <w:rStyle w:val="CharStyle13"/>
            <w:b/>
            <w:bCs/>
          </w:rPr>
          <w:t>75</w:t>
        </w:r>
      </w:hyperlink>
    </w:p>
    <w:p>
      <w:pPr>
        <w:pStyle w:val="Style12"/>
        <w:keepNext w:val="0"/>
        <w:keepLines w:val="0"/>
        <w:widowControl w:val="0"/>
        <w:shd w:val="clear" w:color="auto" w:fill="auto"/>
        <w:tabs>
          <w:tab w:pos="955" w:val="left"/>
          <w:tab w:pos="9737" w:val="right"/>
        </w:tabs>
        <w:bidi w:val="0"/>
        <w:spacing w:before="0" w:after="0" w:line="302" w:lineRule="auto"/>
        <w:ind w:left="0" w:right="0" w:firstLine="0"/>
        <w:jc w:val="both"/>
      </w:pPr>
      <w:r>
        <w:rPr>
          <w:rStyle w:val="CharStyle13"/>
        </w:rPr>
        <w:t>Obr. 6.29</w:t>
        <w:tab/>
        <w:t>Roční využití výkonu jednotlivých kategorií zdrojů v Dekarbonizačním scénáři pro období 2025-2040. . .</w:t>
        <w:tab/>
      </w:r>
      <w:r>
        <w:rPr>
          <w:rStyle w:val="CharStyle13"/>
          <w:b/>
          <w:bCs/>
        </w:rPr>
        <w:t>76</w:t>
      </w:r>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235" w:tooltip="Current Document">
        <w:r>
          <w:rPr>
            <w:rStyle w:val="CharStyle13"/>
          </w:rPr>
          <w:t>Obr. 6.30 Celková roční a) přeshraniční výměna a b) zmařená energie v Dekarbonizačním scénáři v jednotlivých letech</w:t>
          <w:tab/>
        </w:r>
        <w:r>
          <w:rPr>
            <w:rStyle w:val="CharStyle13"/>
            <w:b/>
            <w:bCs/>
          </w:rPr>
          <w:t>76</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r>
        <w:rPr>
          <w:rStyle w:val="CharStyle13"/>
        </w:rPr>
        <w:t>Obr. 6.31 Pravděpodobnostní indikátory LOLE a EENS pro Dekarbonizační scénář pro období 2025-2040, včetně salda</w:t>
        <w:tab/>
      </w:r>
      <w:r>
        <w:rPr>
          <w:rStyle w:val="CharStyle13"/>
          <w:b/>
          <w:bCs/>
        </w:rPr>
        <w:t>77</w:t>
      </w:r>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40" w:tooltip="Current Document">
        <w:r>
          <w:rPr>
            <w:rStyle w:val="CharStyle13"/>
          </w:rPr>
          <w:t>Obr. 6.32</w:t>
          <w:tab/>
          <w:t xml:space="preserve">Saldo importu a exportu evropských zemí pro Dekarbonizační scénář 2030 </w:t>
          <w:tab/>
          <w:t xml:space="preserve"> </w:t>
        </w:r>
        <w:r>
          <w:rPr>
            <w:rStyle w:val="CharStyle13"/>
            <w:b/>
            <w:bCs/>
          </w:rPr>
          <w:t>78</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42" w:tooltip="Current Document">
        <w:r>
          <w:rPr>
            <w:rStyle w:val="CharStyle13"/>
          </w:rPr>
          <w:t>Obr. 6.33</w:t>
          <w:tab/>
          <w:t xml:space="preserve">Saldo importu a exportu evropských zemí pro Dekarbonizační scénář 2040 </w:t>
          <w:tab/>
          <w:t xml:space="preserve"> </w:t>
        </w:r>
        <w:r>
          <w:rPr>
            <w:rStyle w:val="CharStyle13"/>
            <w:b/>
            <w:bCs/>
          </w:rPr>
          <w:t>79</w:t>
        </w:r>
      </w:hyperlink>
    </w:p>
    <w:p>
      <w:pPr>
        <w:pStyle w:val="Style12"/>
        <w:keepNext w:val="0"/>
        <w:keepLines w:val="0"/>
        <w:widowControl w:val="0"/>
        <w:shd w:val="clear" w:color="auto" w:fill="auto"/>
        <w:tabs>
          <w:tab w:leader="dot" w:pos="9737" w:val="right"/>
        </w:tabs>
        <w:bidi w:val="0"/>
        <w:spacing w:before="0" w:after="0" w:line="302" w:lineRule="auto"/>
        <w:ind w:left="1040" w:right="0" w:hanging="1040"/>
        <w:jc w:val="both"/>
      </w:pPr>
      <w:hyperlink w:anchor="bookmark253" w:tooltip="Current Document">
        <w:r>
          <w:rPr>
            <w:rStyle w:val="CharStyle13"/>
          </w:rPr>
          <w:t>Obr. 6.34 Výhled útlumu uhlí (netto instalovaný výkon) dle Progresivního, Konzervativního, Respondentního a Dekarbonizačního scénáře</w:t>
          <w:tab/>
        </w:r>
        <w:r>
          <w:rPr>
            <w:rStyle w:val="CharStyle13"/>
            <w:b/>
            <w:bCs/>
          </w:rPr>
          <w:t>81</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64" w:tooltip="Current Document">
        <w:r>
          <w:rPr>
            <w:rStyle w:val="CharStyle13"/>
          </w:rPr>
          <w:t>Obr. 6.35</w:t>
          <w:tab/>
          <w:t>Odhad spotřeby a) hnědého uhlí a b) černého uhlí pro období 2025-2040</w:t>
          <w:tab/>
          <w:t xml:space="preserve"> </w:t>
        </w:r>
        <w:r>
          <w:rPr>
            <w:rStyle w:val="CharStyle13"/>
            <w:b/>
            <w:bCs/>
          </w:rPr>
          <w:t>83</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67" w:tooltip="Current Document">
        <w:r>
          <w:rPr>
            <w:rStyle w:val="CharStyle13"/>
          </w:rPr>
          <w:t>Obr. 6.36</w:t>
          <w:tab/>
          <w:t>Odhad spotřeby zemního plynu pro období 2025-2040</w:t>
          <w:tab/>
          <w:t xml:space="preserve"> </w:t>
        </w:r>
        <w:r>
          <w:rPr>
            <w:rStyle w:val="CharStyle13"/>
            <w:b/>
            <w:bCs/>
          </w:rPr>
          <w:t>84</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69" w:tooltip="Current Document">
        <w:r>
          <w:rPr>
            <w:rStyle w:val="CharStyle13"/>
          </w:rPr>
          <w:t>Obr. 6.37</w:t>
          <w:tab/>
          <w:t xml:space="preserve">Odhad spotřeby a) Biomasy a b) Bioplynu pro období 2025-2040 </w:t>
          <w:tab/>
          <w:t xml:space="preserve"> </w:t>
        </w:r>
        <w:r>
          <w:rPr>
            <w:rStyle w:val="CharStyle13"/>
            <w:b/>
            <w:bCs/>
          </w:rPr>
          <w:t>84</w:t>
        </w:r>
      </w:hyperlink>
    </w:p>
    <w:p>
      <w:pPr>
        <w:pStyle w:val="Style12"/>
        <w:keepNext w:val="0"/>
        <w:keepLines w:val="0"/>
        <w:widowControl w:val="0"/>
        <w:shd w:val="clear" w:color="auto" w:fill="auto"/>
        <w:tabs>
          <w:tab w:pos="955" w:val="left"/>
          <w:tab w:leader="dot" w:pos="9737" w:val="right"/>
        </w:tabs>
        <w:bidi w:val="0"/>
        <w:spacing w:before="0" w:after="0" w:line="302" w:lineRule="auto"/>
        <w:ind w:left="1040" w:right="0" w:hanging="1040"/>
        <w:jc w:val="both"/>
      </w:pPr>
      <w:hyperlink w:anchor="bookmark277" w:tooltip="Current Document">
        <w:r>
          <w:rPr>
            <w:rStyle w:val="CharStyle13"/>
          </w:rPr>
          <w:t>Obr. 6.38</w:t>
          <w:tab/>
          <w:t xml:space="preserve">Odhad spotřeby tuhého komunálního a průmyslového odpadu pro období 2025-2040 </w:t>
          <w:tab/>
          <w:t xml:space="preserve"> </w:t>
        </w:r>
        <w:r>
          <w:rPr>
            <w:rStyle w:val="CharStyle13"/>
            <w:b/>
            <w:bCs/>
          </w:rPr>
          <w:t>86</w:t>
        </w:r>
      </w:hyperlink>
    </w:p>
    <w:p>
      <w:pPr>
        <w:pStyle w:val="Style12"/>
        <w:keepNext w:val="0"/>
        <w:keepLines w:val="0"/>
        <w:widowControl w:val="0"/>
        <w:shd w:val="clear" w:color="auto" w:fill="auto"/>
        <w:tabs>
          <w:tab w:pos="955" w:val="left"/>
          <w:tab w:pos="7891" w:val="center"/>
        </w:tabs>
        <w:bidi w:val="0"/>
        <w:spacing w:before="0" w:after="0" w:line="302" w:lineRule="auto"/>
        <w:ind w:left="0" w:right="0" w:firstLine="0"/>
        <w:jc w:val="left"/>
      </w:pPr>
      <w:hyperlink w:anchor="bookmark281" w:tooltip="Current Document">
        <w:r>
          <w:rPr>
            <w:rStyle w:val="CharStyle13"/>
          </w:rPr>
          <w:t>Obr. 6.39</w:t>
          <w:tab/>
          <w:t>Odhad spotřeby a) Ostatních plynových paliv a b) Ostatních tuhých a tekutých</w:t>
          <w:tab/>
          <w:t>paliv pro</w:t>
        </w:r>
      </w:hyperlink>
    </w:p>
    <w:p>
      <w:pPr>
        <w:pStyle w:val="Style12"/>
        <w:keepNext w:val="0"/>
        <w:keepLines w:val="0"/>
        <w:widowControl w:val="0"/>
        <w:shd w:val="clear" w:color="auto" w:fill="auto"/>
        <w:tabs>
          <w:tab w:leader="dot" w:pos="9737" w:val="right"/>
        </w:tabs>
        <w:bidi w:val="0"/>
        <w:spacing w:before="0" w:after="0" w:line="302" w:lineRule="auto"/>
        <w:ind w:left="1040" w:right="0" w:firstLine="0"/>
        <w:jc w:val="both"/>
      </w:pPr>
      <w:hyperlink w:anchor="bookmark275" w:tooltip="Current Document">
        <w:r>
          <w:rPr>
            <w:rStyle w:val="CharStyle13"/>
          </w:rPr>
          <w:t xml:space="preserve">období 2025-2040 </w:t>
          <w:tab/>
          <w:t xml:space="preserve"> </w:t>
        </w:r>
        <w:r>
          <w:rPr>
            <w:rStyle w:val="CharStyle13"/>
            <w:b/>
            <w:bCs/>
          </w:rPr>
          <w:t>87</w:t>
        </w:r>
      </w:hyperlink>
    </w:p>
    <w:p>
      <w:pPr>
        <w:pStyle w:val="Style12"/>
        <w:keepNext w:val="0"/>
        <w:keepLines w:val="0"/>
        <w:widowControl w:val="0"/>
        <w:shd w:val="clear" w:color="auto" w:fill="auto"/>
        <w:tabs>
          <w:tab w:leader="dot" w:pos="9737" w:val="right"/>
        </w:tabs>
        <w:bidi w:val="0"/>
        <w:spacing w:before="0" w:after="0" w:line="302" w:lineRule="auto"/>
        <w:ind w:left="0" w:right="0" w:firstLine="0"/>
        <w:jc w:val="both"/>
      </w:pPr>
      <w:hyperlink w:anchor="bookmark282" w:tooltip="Current Document">
        <w:r>
          <w:rPr>
            <w:rStyle w:val="CharStyle13"/>
          </w:rPr>
          <w:t>Obr. 6.40 Emise CO</w:t>
        </w:r>
        <w:r>
          <w:rPr>
            <w:rStyle w:val="CharStyle13"/>
            <w:sz w:val="10"/>
            <w:szCs w:val="10"/>
          </w:rPr>
          <w:t xml:space="preserve">2 </w:t>
        </w:r>
        <w:r>
          <w:rPr>
            <w:rStyle w:val="CharStyle13"/>
          </w:rPr>
          <w:t>v ČR v pro cílové roky</w:t>
          <w:tab/>
        </w:r>
        <w:r>
          <w:rPr>
            <w:rStyle w:val="CharStyle13"/>
            <w:b/>
            <w:bCs/>
          </w:rPr>
          <w:t>88</w:t>
        </w:r>
      </w:hyperlink>
    </w:p>
    <w:p>
      <w:pPr>
        <w:pStyle w:val="Style12"/>
        <w:keepNext w:val="0"/>
        <w:keepLines w:val="0"/>
        <w:widowControl w:val="0"/>
        <w:shd w:val="clear" w:color="auto" w:fill="auto"/>
        <w:tabs>
          <w:tab w:pos="955" w:val="left"/>
          <w:tab w:leader="dot" w:pos="9737" w:val="right"/>
        </w:tabs>
        <w:bidi w:val="0"/>
        <w:spacing w:before="0" w:after="0" w:line="302" w:lineRule="auto"/>
        <w:ind w:left="0" w:right="0" w:firstLine="0"/>
        <w:jc w:val="both"/>
      </w:pPr>
      <w:hyperlink w:anchor="bookmark284" w:tooltip="Current Document">
        <w:r>
          <w:rPr>
            <w:rStyle w:val="CharStyle13"/>
          </w:rPr>
          <w:t>Obr. 6.41</w:t>
          <w:tab/>
          <w:t>Vývoj kumulovaných emisí CO</w:t>
        </w:r>
        <w:r>
          <w:rPr>
            <w:rStyle w:val="CharStyle13"/>
            <w:vertAlign w:val="subscript"/>
          </w:rPr>
          <w:t>2</w:t>
        </w:r>
        <w:r>
          <w:rPr>
            <w:rStyle w:val="CharStyle13"/>
          </w:rPr>
          <w:t xml:space="preserve"> v ČR v období 2025-2040</w:t>
          <w:tab/>
        </w:r>
        <w:r>
          <w:rPr>
            <w:rStyle w:val="CharStyle13"/>
            <w:b/>
            <w:bCs/>
          </w:rPr>
          <w:t>88</w:t>
        </w:r>
      </w:hyperlink>
    </w:p>
    <w:p>
      <w:pPr>
        <w:pStyle w:val="Style12"/>
        <w:keepNext w:val="0"/>
        <w:keepLines w:val="0"/>
        <w:widowControl w:val="0"/>
        <w:shd w:val="clear" w:color="auto" w:fill="auto"/>
        <w:tabs>
          <w:tab w:leader="dot" w:pos="9734" w:val="right"/>
        </w:tabs>
        <w:bidi w:val="0"/>
        <w:spacing w:before="0" w:after="0" w:line="300" w:lineRule="auto"/>
        <w:ind w:left="0" w:right="0" w:firstLine="0"/>
        <w:jc w:val="both"/>
      </w:pPr>
      <w:hyperlink w:anchor="bookmark286" w:tooltip="Current Document">
        <w:r>
          <w:rPr>
            <w:rStyle w:val="CharStyle13"/>
          </w:rPr>
          <w:t>Obr. 6.42 Emisní intenzita scénářů CO</w:t>
        </w:r>
        <w:r>
          <w:rPr>
            <w:rStyle w:val="CharStyle13"/>
            <w:vertAlign w:val="subscript"/>
          </w:rPr>
          <w:t>2</w:t>
        </w:r>
        <w:r>
          <w:rPr>
            <w:rStyle w:val="CharStyle13"/>
          </w:rPr>
          <w:t xml:space="preserve"> v ČR v pro cílové roky</w:t>
          <w:tab/>
        </w:r>
        <w:r>
          <w:rPr>
            <w:rStyle w:val="CharStyle13"/>
            <w:b/>
            <w:bCs/>
          </w:rPr>
          <w:t>89</w:t>
        </w:r>
      </w:hyperlink>
    </w:p>
    <w:p>
      <w:pPr>
        <w:pStyle w:val="Style12"/>
        <w:keepNext w:val="0"/>
        <w:keepLines w:val="0"/>
        <w:widowControl w:val="0"/>
        <w:shd w:val="clear" w:color="auto" w:fill="auto"/>
        <w:tabs>
          <w:tab w:leader="dot" w:pos="9734" w:val="right"/>
        </w:tabs>
        <w:bidi w:val="0"/>
        <w:spacing w:before="0" w:after="0" w:line="300" w:lineRule="auto"/>
        <w:ind w:left="1040" w:right="0" w:hanging="1040"/>
        <w:jc w:val="left"/>
      </w:pPr>
      <w:hyperlink w:anchor="bookmark290" w:tooltip="Current Document">
        <w:r>
          <w:rPr>
            <w:rStyle w:val="CharStyle13"/>
          </w:rPr>
          <w:t>Obr. 6.43 Kumulované emise z výroby elektřiny v letech 2025-2040 korigované o úspory ze switchingu do elektromobilů a TČ</w:t>
          <w:tab/>
        </w:r>
        <w:r>
          <w:rPr>
            <w:rStyle w:val="CharStyle13"/>
            <w:b/>
            <w:bCs/>
          </w:rPr>
          <w:t>90</w:t>
        </w:r>
      </w:hyperlink>
    </w:p>
    <w:p>
      <w:pPr>
        <w:pStyle w:val="Style12"/>
        <w:keepNext w:val="0"/>
        <w:keepLines w:val="0"/>
        <w:widowControl w:val="0"/>
        <w:shd w:val="clear" w:color="auto" w:fill="auto"/>
        <w:tabs>
          <w:tab w:pos="953" w:val="left"/>
          <w:tab w:leader="dot" w:pos="9395" w:val="left"/>
        </w:tabs>
        <w:bidi w:val="0"/>
        <w:spacing w:before="0" w:after="0" w:line="300" w:lineRule="auto"/>
        <w:ind w:left="0" w:right="0" w:firstLine="0"/>
        <w:jc w:val="left"/>
      </w:pPr>
      <w:hyperlink w:anchor="bookmark301" w:tooltip="Current Document">
        <w:r>
          <w:rPr>
            <w:rStyle w:val="CharStyle13"/>
          </w:rPr>
          <w:t>Obr. 6.44</w:t>
          <w:tab/>
          <w:t>Respondentní scénář - Rozpad Totexů pro cílové roky</w:t>
          <w:tab/>
        </w:r>
        <w:r>
          <w:rPr>
            <w:rStyle w:val="CharStyle13"/>
            <w:b/>
            <w:bCs/>
          </w:rPr>
          <w:t>94</w:t>
        </w:r>
      </w:hyperlink>
    </w:p>
    <w:p>
      <w:pPr>
        <w:pStyle w:val="Style12"/>
        <w:keepNext w:val="0"/>
        <w:keepLines w:val="0"/>
        <w:widowControl w:val="0"/>
        <w:shd w:val="clear" w:color="auto" w:fill="auto"/>
        <w:tabs>
          <w:tab w:pos="953" w:val="left"/>
          <w:tab w:leader="dot" w:pos="9395" w:val="left"/>
        </w:tabs>
        <w:bidi w:val="0"/>
        <w:spacing w:before="0" w:after="0" w:line="300" w:lineRule="auto"/>
        <w:ind w:left="0" w:right="0" w:firstLine="0"/>
        <w:jc w:val="left"/>
      </w:pPr>
      <w:hyperlink w:anchor="bookmark303" w:tooltip="Current Document">
        <w:r>
          <w:rPr>
            <w:rStyle w:val="CharStyle13"/>
          </w:rPr>
          <w:t>Obr. 6.45</w:t>
          <w:tab/>
          <w:t>Konzervativní scénář - Rozpad Totexů pro cílové roky</w:t>
          <w:tab/>
        </w:r>
        <w:r>
          <w:rPr>
            <w:rStyle w:val="CharStyle13"/>
            <w:b/>
            <w:bCs/>
          </w:rPr>
          <w:t>95</w:t>
        </w:r>
      </w:hyperlink>
    </w:p>
    <w:p>
      <w:pPr>
        <w:pStyle w:val="Style12"/>
        <w:keepNext w:val="0"/>
        <w:keepLines w:val="0"/>
        <w:widowControl w:val="0"/>
        <w:shd w:val="clear" w:color="auto" w:fill="auto"/>
        <w:tabs>
          <w:tab w:pos="953" w:val="left"/>
          <w:tab w:leader="dot" w:pos="9395" w:val="left"/>
        </w:tabs>
        <w:bidi w:val="0"/>
        <w:spacing w:before="0" w:after="0" w:line="300" w:lineRule="auto"/>
        <w:ind w:left="0" w:right="0" w:firstLine="0"/>
        <w:jc w:val="left"/>
      </w:pPr>
      <w:hyperlink w:anchor="bookmark307" w:tooltip="Current Document">
        <w:r>
          <w:rPr>
            <w:rStyle w:val="CharStyle13"/>
          </w:rPr>
          <w:t>Obr. 6.46</w:t>
          <w:tab/>
          <w:t>Progresivní scénář - Rozpad Totexů pro cílové roky</w:t>
          <w:tab/>
        </w:r>
        <w:r>
          <w:rPr>
            <w:rStyle w:val="CharStyle13"/>
            <w:b/>
            <w:bCs/>
          </w:rPr>
          <w:t>96</w:t>
        </w:r>
      </w:hyperlink>
    </w:p>
    <w:p>
      <w:pPr>
        <w:pStyle w:val="Style12"/>
        <w:keepNext w:val="0"/>
        <w:keepLines w:val="0"/>
        <w:widowControl w:val="0"/>
        <w:shd w:val="clear" w:color="auto" w:fill="auto"/>
        <w:tabs>
          <w:tab w:pos="953" w:val="left"/>
          <w:tab w:leader="dot" w:pos="9395" w:val="left"/>
        </w:tabs>
        <w:bidi w:val="0"/>
        <w:spacing w:before="0" w:after="0" w:line="300" w:lineRule="auto"/>
        <w:ind w:left="0" w:right="0" w:firstLine="0"/>
        <w:jc w:val="left"/>
      </w:pPr>
      <w:r>
        <w:rPr>
          <w:rStyle w:val="CharStyle13"/>
        </w:rPr>
        <w:t>Obr. 6.47</w:t>
        <w:tab/>
        <w:t>Dekarbonizační scénář - Rozpad Totexů pro cílové roky</w:t>
        <w:tab/>
      </w:r>
      <w:r>
        <w:rPr>
          <w:rStyle w:val="CharStyle13"/>
          <w:b/>
          <w:bCs/>
        </w:rPr>
        <w:t>97</w:t>
      </w:r>
    </w:p>
    <w:p>
      <w:pPr>
        <w:pStyle w:val="Style12"/>
        <w:keepNext w:val="0"/>
        <w:keepLines w:val="0"/>
        <w:widowControl w:val="0"/>
        <w:shd w:val="clear" w:color="auto" w:fill="auto"/>
        <w:tabs>
          <w:tab w:pos="953" w:val="left"/>
          <w:tab w:pos="9734" w:val="right"/>
        </w:tabs>
        <w:bidi w:val="0"/>
        <w:spacing w:before="0" w:after="0" w:line="300" w:lineRule="auto"/>
        <w:ind w:left="0" w:right="0" w:firstLine="0"/>
        <w:jc w:val="left"/>
      </w:pPr>
      <w:hyperlink w:anchor="bookmark310" w:tooltip="Current Document">
        <w:r>
          <w:rPr>
            <w:rStyle w:val="CharStyle13"/>
          </w:rPr>
          <w:t>Obr. 6.48</w:t>
          <w:tab/>
          <w:t>Srovnání ročních Totexů jednotlivých scénářů (v průsvitné barvě jsou znázorněny náklady importů) . . .</w:t>
          <w:tab/>
        </w:r>
        <w:r>
          <w:rPr>
            <w:rStyle w:val="CharStyle13"/>
            <w:b/>
            <w:bCs/>
          </w:rPr>
          <w:t>98</w:t>
        </w:r>
      </w:hyperlink>
    </w:p>
    <w:p>
      <w:pPr>
        <w:pStyle w:val="Style12"/>
        <w:keepNext w:val="0"/>
        <w:keepLines w:val="0"/>
        <w:widowControl w:val="0"/>
        <w:shd w:val="clear" w:color="auto" w:fill="auto"/>
        <w:tabs>
          <w:tab w:pos="953" w:val="left"/>
        </w:tabs>
        <w:bidi w:val="0"/>
        <w:spacing w:before="0" w:after="0" w:line="300" w:lineRule="auto"/>
        <w:ind w:left="0" w:right="0" w:firstLine="0"/>
        <w:jc w:val="left"/>
      </w:pPr>
      <w:r>
        <w:rPr>
          <w:rStyle w:val="CharStyle13"/>
        </w:rPr>
        <w:t>Obr. 6.49</w:t>
        <w:tab/>
        <w:t>Srovnání měrných Totexů jednotlivých scénářů v Kč/MWh (v průsvitné barvě je znázorněn</w:t>
      </w:r>
    </w:p>
    <w:p>
      <w:pPr>
        <w:pStyle w:val="Style12"/>
        <w:keepNext w:val="0"/>
        <w:keepLines w:val="0"/>
        <w:widowControl w:val="0"/>
        <w:shd w:val="clear" w:color="auto" w:fill="auto"/>
        <w:tabs>
          <w:tab w:leader="dot" w:pos="9734" w:val="right"/>
        </w:tabs>
        <w:bidi w:val="0"/>
        <w:spacing w:before="0" w:after="0" w:line="300" w:lineRule="auto"/>
        <w:ind w:left="1040" w:right="0" w:firstLine="0"/>
        <w:jc w:val="both"/>
      </w:pPr>
      <w:hyperlink w:anchor="bookmark312" w:tooltip="Current Document">
        <w:r>
          <w:rPr>
            <w:rStyle w:val="CharStyle13"/>
          </w:rPr>
          <w:t>podíl nákladů importů)</w:t>
          <w:tab/>
        </w:r>
        <w:r>
          <w:rPr>
            <w:rStyle w:val="CharStyle13"/>
            <w:b/>
            <w:bCs/>
          </w:rPr>
          <w:t>98</w:t>
        </w:r>
      </w:hyperlink>
    </w:p>
    <w:p>
      <w:pPr>
        <w:pStyle w:val="Style12"/>
        <w:keepNext w:val="0"/>
        <w:keepLines w:val="0"/>
        <w:widowControl w:val="0"/>
        <w:shd w:val="clear" w:color="auto" w:fill="auto"/>
        <w:tabs>
          <w:tab w:pos="953" w:val="left"/>
          <w:tab w:leader="dot" w:pos="9395" w:val="left"/>
        </w:tabs>
        <w:bidi w:val="0"/>
        <w:spacing w:before="0" w:after="0" w:line="300" w:lineRule="auto"/>
        <w:ind w:left="0" w:right="0" w:firstLine="0"/>
        <w:jc w:val="left"/>
      </w:pPr>
      <w:r>
        <w:rPr>
          <w:rStyle w:val="CharStyle13"/>
        </w:rPr>
        <w:t>Obr. 6.50</w:t>
        <w:tab/>
        <w:t>Srovnání měrných Totexů jednotlivých scénářů se simulovanými tržními cenami</w:t>
        <w:tab/>
      </w:r>
      <w:r>
        <w:rPr>
          <w:rStyle w:val="CharStyle13"/>
          <w:b/>
          <w:bCs/>
        </w:rPr>
        <w:t>99</w:t>
      </w:r>
    </w:p>
    <w:p>
      <w:pPr>
        <w:pStyle w:val="Style12"/>
        <w:keepNext w:val="0"/>
        <w:keepLines w:val="0"/>
        <w:widowControl w:val="0"/>
        <w:shd w:val="clear" w:color="auto" w:fill="auto"/>
        <w:tabs>
          <w:tab w:pos="953" w:val="left"/>
          <w:tab w:leader="dot" w:pos="9395" w:val="left"/>
        </w:tabs>
        <w:bidi w:val="0"/>
        <w:spacing w:before="0" w:after="1480" w:line="300" w:lineRule="auto"/>
        <w:ind w:left="0" w:right="0" w:firstLine="0"/>
        <w:jc w:val="left"/>
      </w:pPr>
      <w:hyperlink w:anchor="bookmark321" w:tooltip="Current Document">
        <w:r>
          <w:rPr>
            <w:rStyle w:val="CharStyle13"/>
          </w:rPr>
          <w:t>Obr. 7.1</w:t>
          <w:tab/>
          <w:t>Indikativní predikce aktivovaných investic regulovaných subjektů (ČEPS, ČEZD, EG.D, PREdi)</w:t>
          <w:tab/>
        </w:r>
        <w:r>
          <w:rPr>
            <w:rStyle w:val="CharStyle13"/>
            <w:b/>
            <w:bCs/>
          </w:rPr>
          <w:t>102</w:t>
        </w:r>
      </w:hyperlink>
    </w:p>
    <w:p>
      <w:pPr>
        <w:pStyle w:val="Style12"/>
        <w:keepNext w:val="0"/>
        <w:keepLines w:val="0"/>
        <w:widowControl w:val="0"/>
        <w:numPr>
          <w:ilvl w:val="0"/>
          <w:numId w:val="53"/>
        </w:numPr>
        <w:shd w:val="clear" w:color="auto" w:fill="auto"/>
        <w:tabs>
          <w:tab w:pos="483" w:val="left"/>
        </w:tabs>
        <w:bidi w:val="0"/>
        <w:spacing w:before="0" w:after="1080" w:line="240" w:lineRule="auto"/>
        <w:ind w:left="0" w:right="0" w:firstLine="0"/>
        <w:jc w:val="left"/>
        <w:rPr>
          <w:sz w:val="22"/>
          <w:szCs w:val="22"/>
        </w:rPr>
      </w:pPr>
      <w:bookmarkStart w:id="329" w:name="bookmark329"/>
      <w:r>
        <w:rPr>
          <w:rStyle w:val="CharStyle13"/>
          <w:rFonts w:ascii="Segoe UI" w:eastAsia="Segoe UI" w:hAnsi="Segoe UI" w:cs="Segoe UI"/>
          <w:b/>
          <w:bCs/>
          <w:color w:val="006AB4"/>
          <w:sz w:val="22"/>
          <w:szCs w:val="22"/>
        </w:rPr>
        <w:t>Příloha III. - Seznam tabulek</w:t>
      </w:r>
      <w:bookmarkEnd w:id="329"/>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r>
        <w:rPr>
          <w:rStyle w:val="CharStyle13"/>
        </w:rPr>
        <w:t>Tab. 2.1</w:t>
        <w:tab/>
        <w:t>Přehled prahových hodnot LOLE</w:t>
      </w:r>
      <w:r>
        <w:rPr>
          <w:rStyle w:val="CharStyle13"/>
          <w:vertAlign w:val="subscript"/>
        </w:rPr>
        <w:t>thr</w:t>
      </w:r>
      <w:r>
        <w:rPr>
          <w:rStyle w:val="CharStyle13"/>
        </w:rPr>
        <w:t xml:space="preserve"> pro jednotlivé typy technologií</w:t>
        <w:tab/>
      </w:r>
      <w:r>
        <w:rPr>
          <w:rStyle w:val="CharStyle13"/>
          <w:b/>
          <w:bCs/>
        </w:rPr>
        <w:t>11</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r>
        <w:rPr>
          <w:rStyle w:val="CharStyle13"/>
        </w:rPr>
        <w:t>Tab. 4.1</w:t>
        <w:tab/>
        <w:t>Environmentální cíle EU</w:t>
        <w:tab/>
      </w:r>
      <w:r>
        <w:rPr>
          <w:rStyle w:val="CharStyle13"/>
          <w:b/>
          <w:bCs/>
        </w:rPr>
        <w:t>18</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r>
        <w:rPr>
          <w:rStyle w:val="CharStyle13"/>
        </w:rPr>
        <w:t>Tab. 6.1</w:t>
        <w:tab/>
        <w:t>Hodnoty LOLE pro jednotlivé scénáře v jednotlivých letech</w:t>
        <w:tab/>
      </w:r>
      <w:r>
        <w:rPr>
          <w:rStyle w:val="CharStyle13"/>
          <w:b/>
          <w:bCs/>
        </w:rPr>
        <w:t>80</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r>
        <w:rPr>
          <w:rStyle w:val="CharStyle13"/>
        </w:rPr>
        <w:t>Tab. 6.2</w:t>
        <w:tab/>
        <w:t>Hodnoty EENS pro jednotlivé scénáře v jednotlivých letech</w:t>
        <w:tab/>
      </w:r>
      <w:r>
        <w:rPr>
          <w:rStyle w:val="CharStyle13"/>
          <w:b/>
          <w:bCs/>
        </w:rPr>
        <w:t>80</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hyperlink w:anchor="bookmark257" w:tooltip="Current Document">
        <w:r>
          <w:rPr>
            <w:rStyle w:val="CharStyle13"/>
          </w:rPr>
          <w:t>Tab. 6.3</w:t>
          <w:tab/>
          <w:t>Přehled dodatečného netto instalovaného výkonu při maximálním importním saldu 20 TWh</w:t>
          <w:tab/>
        </w:r>
        <w:r>
          <w:rPr>
            <w:rStyle w:val="CharStyle13"/>
            <w:b/>
            <w:bCs/>
          </w:rPr>
          <w:t>81</w:t>
        </w:r>
      </w:hyperlink>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hyperlink w:anchor="bookmark260" w:tooltip="Current Document">
        <w:r>
          <w:rPr>
            <w:rStyle w:val="CharStyle13"/>
          </w:rPr>
          <w:t>Tab. 6.4</w:t>
          <w:tab/>
          <w:t>Přehled dodatečného netto instalovaného výkonu při 90% energetické soběstačnosti</w:t>
          <w:tab/>
        </w:r>
        <w:r>
          <w:rPr>
            <w:rStyle w:val="CharStyle13"/>
            <w:b/>
            <w:bCs/>
          </w:rPr>
          <w:t>82</w:t>
        </w:r>
      </w:hyperlink>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left"/>
      </w:pPr>
      <w:r>
        <w:rPr>
          <w:rStyle w:val="CharStyle13"/>
        </w:rPr>
        <w:t>Tab. 6.5</w:t>
        <w:tab/>
        <w:t>Předpokládaný deficit biomasy napříč všemi scénáři</w:t>
        <w:tab/>
      </w:r>
      <w:r>
        <w:rPr>
          <w:rStyle w:val="CharStyle13"/>
          <w:b/>
          <w:bCs/>
        </w:rPr>
        <w:t>85</w:t>
      </w:r>
    </w:p>
    <w:p>
      <w:pPr>
        <w:pStyle w:val="Style12"/>
        <w:keepNext w:val="0"/>
        <w:keepLines w:val="0"/>
        <w:widowControl w:val="0"/>
        <w:shd w:val="clear" w:color="auto" w:fill="auto"/>
        <w:tabs>
          <w:tab w:pos="953" w:val="left"/>
        </w:tabs>
        <w:bidi w:val="0"/>
        <w:spacing w:before="0" w:after="40" w:line="240" w:lineRule="auto"/>
        <w:ind w:left="0" w:right="0" w:firstLine="0"/>
        <w:jc w:val="left"/>
      </w:pPr>
      <w:hyperlink w:anchor="bookmark274" w:tooltip="Current Document">
        <w:r>
          <w:rPr>
            <w:rStyle w:val="CharStyle13"/>
          </w:rPr>
          <w:t>Tab. 6.6</w:t>
          <w:tab/>
          <w:t>a) Objem zemního plynu nahrazujícího deficit biomasy a b) Procentuální navýšení spotřeby</w:t>
        </w:r>
      </w:hyperlink>
    </w:p>
    <w:p>
      <w:pPr>
        <w:pStyle w:val="Style12"/>
        <w:keepNext w:val="0"/>
        <w:keepLines w:val="0"/>
        <w:widowControl w:val="0"/>
        <w:shd w:val="clear" w:color="auto" w:fill="auto"/>
        <w:tabs>
          <w:tab w:leader="dot" w:pos="9734" w:val="right"/>
        </w:tabs>
        <w:bidi w:val="0"/>
        <w:spacing w:before="0" w:after="40" w:line="240" w:lineRule="auto"/>
        <w:ind w:left="1040" w:right="0" w:firstLine="0"/>
        <w:jc w:val="both"/>
      </w:pPr>
      <w:hyperlink w:anchor="bookmark272" w:tooltip="Current Document">
        <w:r>
          <w:rPr>
            <w:rStyle w:val="CharStyle13"/>
          </w:rPr>
          <w:t xml:space="preserve">zemního plynu v z důvodu deficitu biomasy napříč všemi scénáři </w:t>
          <w:tab/>
        </w:r>
        <w:r>
          <w:rPr>
            <w:rStyle w:val="CharStyle13"/>
            <w:b/>
            <w:bCs/>
          </w:rPr>
          <w:t>85</w:t>
        </w:r>
      </w:hyperlink>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both"/>
      </w:pPr>
      <w:r>
        <w:rPr>
          <w:rStyle w:val="CharStyle13"/>
        </w:rPr>
        <w:t>Tab. 6.7</w:t>
        <w:tab/>
        <w:t>Suma přírůstků emisí nových vozidel/zařízení v mil. tCO</w:t>
      </w:r>
      <w:r>
        <w:rPr>
          <w:rStyle w:val="CharStyle13"/>
          <w:vertAlign w:val="subscript"/>
        </w:rPr>
        <w:t>2</w:t>
      </w:r>
      <w:r>
        <w:rPr>
          <w:rStyle w:val="CharStyle13"/>
        </w:rPr>
        <w:t xml:space="preserve"> v letech 2025-2040</w:t>
        <w:tab/>
        <w:t xml:space="preserve"> </w:t>
      </w:r>
      <w:r>
        <w:rPr>
          <w:rStyle w:val="CharStyle13"/>
          <w:b/>
          <w:bCs/>
        </w:rPr>
        <w:t>89</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both"/>
      </w:pPr>
      <w:hyperlink w:anchor="bookmark296" w:tooltip="Current Document">
        <w:r>
          <w:rPr>
            <w:rStyle w:val="CharStyle13"/>
          </w:rPr>
          <w:t>Tab. 6.8</w:t>
          <w:tab/>
          <w:t>Grafický přehled vstupů pro výpočet Totexů jednotlivých scénářů</w:t>
          <w:tab/>
        </w:r>
        <w:r>
          <w:rPr>
            <w:rStyle w:val="CharStyle13"/>
            <w:b/>
            <w:bCs/>
          </w:rPr>
          <w:t>91</w:t>
        </w:r>
      </w:hyperlink>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both"/>
      </w:pPr>
      <w:r>
        <w:rPr>
          <w:rStyle w:val="CharStyle13"/>
        </w:rPr>
        <w:t>Tab. 7.1</w:t>
        <w:tab/>
        <w:t>Predikce aktivovaných investic</w:t>
        <w:tab/>
      </w:r>
      <w:r>
        <w:rPr>
          <w:rStyle w:val="CharStyle13"/>
          <w:b/>
          <w:bCs/>
        </w:rPr>
        <w:t>101</w:t>
      </w:r>
    </w:p>
    <w:p>
      <w:pPr>
        <w:pStyle w:val="Style12"/>
        <w:keepNext w:val="0"/>
        <w:keepLines w:val="0"/>
        <w:widowControl w:val="0"/>
        <w:shd w:val="clear" w:color="auto" w:fill="auto"/>
        <w:tabs>
          <w:tab w:pos="953" w:val="left"/>
          <w:tab w:leader="dot" w:pos="9734" w:val="right"/>
        </w:tabs>
        <w:bidi w:val="0"/>
        <w:spacing w:before="0" w:after="40" w:line="240" w:lineRule="auto"/>
        <w:ind w:left="0" w:right="0" w:firstLine="0"/>
        <w:jc w:val="both"/>
        <w:sectPr>
          <w:headerReference w:type="default" r:id="rId433"/>
          <w:footerReference w:type="default" r:id="rId434"/>
          <w:headerReference w:type="even" r:id="rId435"/>
          <w:footerReference w:type="even" r:id="rId436"/>
          <w:headerReference w:type="first" r:id="rId437"/>
          <w:footerReference w:type="first" r:id="rId438"/>
          <w:footnotePr>
            <w:pos w:val="pageBottom"/>
            <w:numFmt w:val="decimal"/>
            <w:numRestart w:val="continuous"/>
          </w:footnotePr>
          <w:pgSz w:w="12142" w:h="17375"/>
          <w:pgMar w:top="507" w:right="831" w:bottom="1513" w:left="831" w:header="0" w:footer="3" w:gutter="678"/>
          <w:cols w:space="720"/>
          <w:noEndnote/>
          <w:titlePg/>
          <w:rtlGutter w:val="0"/>
          <w:docGrid w:linePitch="360"/>
        </w:sectPr>
      </w:pPr>
      <w:r>
        <w:rPr>
          <w:rStyle w:val="CharStyle13"/>
        </w:rPr>
        <w:t>Tab. 7.2</w:t>
        <w:tab/>
        <w:t>Vývoj investic do nové energetiky</w:t>
        <w:tab/>
      </w:r>
      <w:r>
        <w:rPr>
          <w:rStyle w:val="CharStyle13"/>
          <w:b/>
          <w:bCs/>
        </w:rPr>
        <w:t>102</w:t>
      </w:r>
      <w:r>
        <w:fldChar w:fldCharType="end"/>
      </w:r>
    </w:p>
    <w:p>
      <w:pPr>
        <w:pStyle w:val="Style15"/>
        <w:keepNext/>
        <w:keepLines/>
        <w:widowControl w:val="0"/>
        <w:numPr>
          <w:ilvl w:val="0"/>
          <w:numId w:val="53"/>
        </w:numPr>
        <w:shd w:val="clear" w:color="auto" w:fill="auto"/>
        <w:tabs>
          <w:tab w:pos="3058" w:val="left"/>
        </w:tabs>
        <w:bidi w:val="0"/>
        <w:spacing w:before="0" w:after="700" w:line="214" w:lineRule="auto"/>
        <w:ind w:left="2620" w:right="0" w:firstLine="0"/>
        <w:jc w:val="left"/>
        <w:rPr>
          <w:sz w:val="22"/>
          <w:szCs w:val="22"/>
        </w:rPr>
      </w:pPr>
      <w:bookmarkStart w:id="331" w:name="bookmark331"/>
      <w:r>
        <w:rPr>
          <w:rStyle w:val="CharStyle16"/>
          <w:rFonts w:ascii="Segoe UI" w:eastAsia="Segoe UI" w:hAnsi="Segoe UI" w:cs="Segoe UI"/>
          <w:b/>
          <w:bCs/>
          <w:sz w:val="22"/>
          <w:szCs w:val="22"/>
        </w:rPr>
        <w:t>Příloha IV. - 12 klíčových podmínek přechodu k nízkoemisní (elektro)energetice v ČR</w:t>
      </w:r>
      <w:bookmarkEnd w:id="331"/>
    </w:p>
    <w:p>
      <w:pPr>
        <w:pStyle w:val="Style19"/>
        <w:keepNext w:val="0"/>
        <w:keepLines w:val="0"/>
        <w:widowControl w:val="0"/>
        <w:shd w:val="clear" w:color="auto" w:fill="auto"/>
        <w:bidi w:val="0"/>
        <w:spacing w:before="0" w:line="300" w:lineRule="auto"/>
        <w:ind w:left="2620" w:right="0" w:firstLine="0"/>
        <w:jc w:val="left"/>
      </w:pPr>
      <w:r>
        <w:rPr>
          <w:rStyle w:val="CharStyle20"/>
        </w:rPr>
        <w:t>V rámci hodnocení zdrojové přiměřenosti společnost ČEPS pravidelně a systematicky analyzuje podmínky, za kterých je možný úspěšný a bezpečný přechod k bezemisní energetice v ČR. Z pohledu ČEPS se jedná o těchto 12 klíčových podmínek:</w:t>
      </w:r>
    </w:p>
    <w:p>
      <w:pPr>
        <w:pStyle w:val="Style19"/>
        <w:keepNext w:val="0"/>
        <w:keepLines w:val="0"/>
        <w:widowControl w:val="0"/>
        <w:numPr>
          <w:ilvl w:val="0"/>
          <w:numId w:val="55"/>
        </w:numPr>
        <w:shd w:val="clear" w:color="auto" w:fill="auto"/>
        <w:tabs>
          <w:tab w:pos="3015" w:val="left"/>
        </w:tabs>
        <w:bidi w:val="0"/>
        <w:spacing w:before="0" w:line="300" w:lineRule="auto"/>
        <w:ind w:left="3020" w:right="0" w:hanging="400"/>
        <w:jc w:val="left"/>
      </w:pPr>
      <w:r>
        <w:rPr>
          <w:rStyle w:val="CharStyle20"/>
          <w:b/>
          <w:bCs/>
        </w:rPr>
        <w:t xml:space="preserve">Dostavba nových jaderných zdrojů vč. SMR pro zajištění energetické soběstačnosti ČR v kontextu náhrady stávající JE Dukovany a dalších odstavovaných výrobních kapacit s očekávaným nárůstem spotřeby. </w:t>
      </w:r>
      <w:r>
        <w:rPr>
          <w:rStyle w:val="CharStyle20"/>
        </w:rPr>
        <w:t>Podpora státu je klíčovým předpokladem úspěchu ve snaze prosadit jadernou energetiku jakožto bezemisní technologii na národní, ale zejména na evropské úrovni. Výstavba nových jaderných zdrojů je podmíněna volbou vhodného investičního modelu nastaveného způsobem, který je v souladu s platnou legislativou ČR i EU.</w:t>
      </w:r>
    </w:p>
    <w:p>
      <w:pPr>
        <w:pStyle w:val="Style19"/>
        <w:keepNext w:val="0"/>
        <w:keepLines w:val="0"/>
        <w:widowControl w:val="0"/>
        <w:numPr>
          <w:ilvl w:val="0"/>
          <w:numId w:val="55"/>
        </w:numPr>
        <w:shd w:val="clear" w:color="auto" w:fill="auto"/>
        <w:tabs>
          <w:tab w:pos="3015" w:val="left"/>
        </w:tabs>
        <w:bidi w:val="0"/>
        <w:spacing w:before="0"/>
        <w:ind w:left="2620" w:right="0" w:firstLine="0"/>
        <w:jc w:val="left"/>
      </w:pPr>
      <w:r>
        <w:rPr>
          <w:rStyle w:val="CharStyle20"/>
          <w:b/>
          <w:bCs/>
        </w:rPr>
        <w:t>Zavedení a notifikace kapacitního mechanismu</w:t>
      </w:r>
    </w:p>
    <w:p>
      <w:pPr>
        <w:pStyle w:val="Style19"/>
        <w:keepNext w:val="0"/>
        <w:keepLines w:val="0"/>
        <w:widowControl w:val="0"/>
        <w:numPr>
          <w:ilvl w:val="0"/>
          <w:numId w:val="57"/>
        </w:numPr>
        <w:shd w:val="clear" w:color="auto" w:fill="auto"/>
        <w:tabs>
          <w:tab w:pos="3299" w:val="left"/>
        </w:tabs>
        <w:bidi w:val="0"/>
        <w:spacing w:before="0"/>
        <w:ind w:left="3200" w:right="0" w:hanging="180"/>
        <w:jc w:val="left"/>
      </w:pPr>
      <w:r>
        <w:rPr>
          <w:rStyle w:val="CharStyle20"/>
        </w:rPr>
        <w:t>Členský stát je oprávněn požádat o zavedení kapacitního mechanismu v případě, že hodnocení zdrojové přiměřenosti identifikuje překročení stanovené normy spolehlivosti způsobené selháním trhu. Oficiální dialog s EK bude zahájen v roce 2023, přičemž časový rámec, v němž se předpokládá zavedení kapacitního mechanismu, je odhadován v horizontu po roce 2030.</w:t>
      </w:r>
    </w:p>
    <w:p>
      <w:pPr>
        <w:pStyle w:val="Style19"/>
        <w:keepNext w:val="0"/>
        <w:keepLines w:val="0"/>
        <w:widowControl w:val="0"/>
        <w:numPr>
          <w:ilvl w:val="0"/>
          <w:numId w:val="57"/>
        </w:numPr>
        <w:shd w:val="clear" w:color="auto" w:fill="auto"/>
        <w:tabs>
          <w:tab w:pos="3304" w:val="left"/>
        </w:tabs>
        <w:bidi w:val="0"/>
        <w:spacing w:before="0"/>
        <w:ind w:left="3200" w:right="0" w:hanging="180"/>
        <w:jc w:val="left"/>
      </w:pPr>
      <w:r>
        <w:rPr>
          <w:rStyle w:val="CharStyle20"/>
        </w:rPr>
        <w:t>Vytvoření provozních pravidel pro zavedení a aktivaci kapacitního mechanismu, včetně regulačního rámce pro platby za kapacitní mechanismus. Bude zapotřebí průběžně aktualizovat hodnoty VOLL, CONE a normy spolehlivosti, které mj. slouží k posouzení závažnosti problémů se zdrojovou přiměřeností.</w:t>
      </w:r>
    </w:p>
    <w:p>
      <w:pPr>
        <w:pStyle w:val="Style19"/>
        <w:keepNext w:val="0"/>
        <w:keepLines w:val="0"/>
        <w:widowControl w:val="0"/>
        <w:numPr>
          <w:ilvl w:val="0"/>
          <w:numId w:val="57"/>
        </w:numPr>
        <w:shd w:val="clear" w:color="auto" w:fill="auto"/>
        <w:tabs>
          <w:tab w:pos="3280" w:val="left"/>
        </w:tabs>
        <w:bidi w:val="0"/>
        <w:spacing w:before="0" w:line="300" w:lineRule="auto"/>
        <w:ind w:left="3200" w:right="0" w:hanging="180"/>
        <w:jc w:val="left"/>
      </w:pPr>
      <w:r>
        <w:rPr>
          <w:rStyle w:val="CharStyle20"/>
        </w:rPr>
        <w:t>Stanovení střednědobých motivačních podmínek (do r. 2040) pro investory a provozovatele plynových jednotek a dalších podporovaných technologií a jejich garantované využívání v případech selhání trhu.</w:t>
      </w:r>
    </w:p>
    <w:p>
      <w:pPr>
        <w:pStyle w:val="Style19"/>
        <w:keepNext w:val="0"/>
        <w:keepLines w:val="0"/>
        <w:widowControl w:val="0"/>
        <w:numPr>
          <w:ilvl w:val="0"/>
          <w:numId w:val="55"/>
        </w:numPr>
        <w:shd w:val="clear" w:color="auto" w:fill="auto"/>
        <w:tabs>
          <w:tab w:pos="3015" w:val="left"/>
        </w:tabs>
        <w:bidi w:val="0"/>
        <w:spacing w:before="0"/>
        <w:ind w:left="3020" w:right="0" w:hanging="400"/>
        <w:jc w:val="left"/>
      </w:pPr>
      <w:r>
        <w:rPr>
          <w:rStyle w:val="CharStyle20"/>
          <w:b/>
          <w:bCs/>
        </w:rPr>
        <w:t xml:space="preserve">Transpozice evropské energetické legislativy do národního právního rámce </w:t>
      </w:r>
      <w:r>
        <w:rPr>
          <w:rStyle w:val="CharStyle20"/>
        </w:rPr>
        <w:t>- zajištění legislativního rámce pro transformaci energetiky. ČEPS vnímá transpozici evropské energetické legislativy jako nezbytnou podmínku pro rychlou a efektivní transformaci energetického sektoru. Legislativa by se měla zaměřit na akumulaci a komunitní energetiku a tím mimo jiné podpořit vstup nových subjektů na integrovaný trh s elektřinou a PpS.</w:t>
      </w:r>
    </w:p>
    <w:p>
      <w:pPr>
        <w:pStyle w:val="Style19"/>
        <w:keepNext w:val="0"/>
        <w:keepLines w:val="0"/>
        <w:widowControl w:val="0"/>
        <w:numPr>
          <w:ilvl w:val="0"/>
          <w:numId w:val="55"/>
        </w:numPr>
        <w:shd w:val="clear" w:color="auto" w:fill="auto"/>
        <w:tabs>
          <w:tab w:pos="3015" w:val="left"/>
        </w:tabs>
        <w:bidi w:val="0"/>
        <w:spacing w:before="0"/>
        <w:ind w:left="3020" w:right="0" w:hanging="400"/>
        <w:jc w:val="left"/>
      </w:pPr>
      <w:r>
        <w:rPr>
          <w:rStyle w:val="CharStyle20"/>
          <w:b/>
          <w:bCs/>
        </w:rPr>
        <w:t xml:space="preserve">Transformace teplárenství do roku 2030 </w:t>
      </w:r>
      <w:r>
        <w:rPr>
          <w:rStyle w:val="CharStyle20"/>
        </w:rPr>
        <w:t>- klíčová je podpora státu, včetně dotačního rámce, při vytváření koordinované strategie dodávek elektřiny a tepla s ohledem na specifické postavení systémů centrálního zásobování teplem (CZT) v ČR. Důraz by měl být kladen na využití flexibility teplárenských provozů a technologií, které rozšiřují regulační rozsah a využití akumulace pro potřeby řízení ES ČR.</w:t>
      </w:r>
    </w:p>
    <w:p>
      <w:pPr>
        <w:pStyle w:val="Style19"/>
        <w:keepNext w:val="0"/>
        <w:keepLines w:val="0"/>
        <w:widowControl w:val="0"/>
        <w:numPr>
          <w:ilvl w:val="0"/>
          <w:numId w:val="55"/>
        </w:numPr>
        <w:shd w:val="clear" w:color="auto" w:fill="auto"/>
        <w:tabs>
          <w:tab w:pos="3015" w:val="left"/>
        </w:tabs>
        <w:bidi w:val="0"/>
        <w:spacing w:before="0"/>
        <w:ind w:left="3020" w:right="0" w:hanging="400"/>
        <w:jc w:val="left"/>
      </w:pPr>
      <w:r>
        <w:rPr>
          <w:rStyle w:val="CharStyle20"/>
          <w:b/>
          <w:bCs/>
        </w:rPr>
        <w:t xml:space="preserve">Zajištění technicko - ekonomického rámce pro připojování OZE (vč. bateriové akumulace) v souladu s energeticko-klimatickými cíli EU </w:t>
      </w:r>
      <w:r>
        <w:rPr>
          <w:rStyle w:val="CharStyle20"/>
        </w:rPr>
        <w:t>- analýza příležitostí pro rozvoj OZE a bateriové akumulace. Spolupráce na přípravě nových podpůrných programů s důrazem na regulaci podporovaných zdrojů, a zajištění procesu připojování OZE do PPS a PDS a řízení provozu ES.</w:t>
      </w:r>
    </w:p>
    <w:p>
      <w:pPr>
        <w:pStyle w:val="Style19"/>
        <w:keepNext w:val="0"/>
        <w:keepLines w:val="0"/>
        <w:widowControl w:val="0"/>
        <w:numPr>
          <w:ilvl w:val="0"/>
          <w:numId w:val="55"/>
        </w:numPr>
        <w:shd w:val="clear" w:color="auto" w:fill="auto"/>
        <w:tabs>
          <w:tab w:pos="3015" w:val="left"/>
        </w:tabs>
        <w:bidi w:val="0"/>
        <w:spacing w:before="0" w:line="300" w:lineRule="auto"/>
        <w:ind w:left="3020" w:right="0" w:hanging="400"/>
        <w:jc w:val="left"/>
      </w:pPr>
      <w:bookmarkStart w:id="333" w:name="bookmark333"/>
      <w:r>
        <w:rPr>
          <w:rStyle w:val="CharStyle20"/>
          <w:b/>
          <w:bCs/>
        </w:rPr>
        <w:t xml:space="preserve">Elektroenergetická datová centrála (EDC) </w:t>
      </w:r>
      <w:r>
        <w:rPr>
          <w:rStyle w:val="CharStyle20"/>
        </w:rPr>
        <w:t xml:space="preserve">- klíčový nástroj pro zajištění transformace elektroenergetiky ve vazbě na požadavky EU legislativy. Koncepce datahubu je založena na vytvoření integrovaného prostředí pro výměnu, správu </w:t>
      </w:r>
      <w:bookmarkEnd w:id="333"/>
      <w:r>
        <w:rPr>
          <w:rStyle w:val="CharStyle20"/>
        </w:rPr>
        <w:t>a ukládání energetických údajů při řízení a plánování provozu elektrizační soustavy, zajištění jednotné komunikace se subjekty připojenými k PS a DS a implementace nových nástrojů pro vypořádání dodávek elektřiny mezi účastníky trhu v podmínkách decentralizované energetiky. Klíčovými prvky jsou implementace nezávislého agregátora, podpora aktivního zákazníka, energetické komunity a akumulace.</w:t>
      </w:r>
    </w:p>
    <w:p>
      <w:pPr>
        <w:pStyle w:val="Style19"/>
        <w:keepNext w:val="0"/>
        <w:keepLines w:val="0"/>
        <w:widowControl w:val="0"/>
        <w:numPr>
          <w:ilvl w:val="0"/>
          <w:numId w:val="55"/>
        </w:numPr>
        <w:shd w:val="clear" w:color="auto" w:fill="auto"/>
        <w:tabs>
          <w:tab w:pos="398" w:val="left"/>
        </w:tabs>
        <w:bidi w:val="0"/>
        <w:spacing w:before="0" w:after="0" w:line="300" w:lineRule="auto"/>
        <w:ind w:left="0" w:right="0" w:firstLine="0"/>
        <w:jc w:val="left"/>
      </w:pPr>
      <w:r>
        <w:rPr>
          <w:rStyle w:val="CharStyle20"/>
          <w:b/>
          <w:bCs/>
        </w:rPr>
        <w:t xml:space="preserve">Zavedení chytrého měření spotřebitelů (AMM) </w:t>
      </w:r>
      <w:r>
        <w:rPr>
          <w:rStyle w:val="CharStyle20"/>
        </w:rPr>
        <w:t>- Zavádění digitálních</w:t>
      </w:r>
    </w:p>
    <w:p>
      <w:pPr>
        <w:pStyle w:val="Style19"/>
        <w:keepNext w:val="0"/>
        <w:keepLines w:val="0"/>
        <w:widowControl w:val="0"/>
        <w:shd w:val="clear" w:color="auto" w:fill="auto"/>
        <w:bidi w:val="0"/>
        <w:spacing w:before="0" w:line="300" w:lineRule="auto"/>
        <w:ind w:left="420" w:right="0" w:firstLine="0"/>
        <w:jc w:val="left"/>
      </w:pPr>
      <w:r>
        <w:rPr>
          <w:rStyle w:val="CharStyle20"/>
        </w:rPr>
        <w:t>a inovativních technologií v oblasti komunikace a sdílení informací. Podpora integrovaného informačního prostředí EDC. Nabídka nových služeb zákazníkům.</w:t>
      </w:r>
    </w:p>
    <w:p>
      <w:pPr>
        <w:pStyle w:val="Style19"/>
        <w:keepNext w:val="0"/>
        <w:keepLines w:val="0"/>
        <w:widowControl w:val="0"/>
        <w:numPr>
          <w:ilvl w:val="0"/>
          <w:numId w:val="55"/>
        </w:numPr>
        <w:shd w:val="clear" w:color="auto" w:fill="auto"/>
        <w:tabs>
          <w:tab w:pos="398" w:val="left"/>
        </w:tabs>
        <w:bidi w:val="0"/>
        <w:spacing w:before="0"/>
        <w:ind w:left="420" w:right="0" w:hanging="420"/>
        <w:jc w:val="left"/>
      </w:pPr>
      <w:r>
        <w:rPr>
          <w:rStyle w:val="CharStyle20"/>
          <w:b/>
          <w:bCs/>
        </w:rPr>
        <w:t xml:space="preserve">Aktualizace regulačního rámce vč. zavedení tarifní reformy pro koncové spotřebitele a umožnění sdílení vyrobené elektřiny prosumery </w:t>
      </w:r>
      <w:r>
        <w:rPr>
          <w:rStyle w:val="CharStyle20"/>
        </w:rPr>
        <w:t>- s očekávaným rostoucím podílem intermitentních obnovitelných zdrojů ve výrobním mixu a s tím spojenou vyšší potřebu flexibility na všech napěťových úrovních ES je nutné</w:t>
      </w:r>
    </w:p>
    <w:p>
      <w:pPr>
        <w:pStyle w:val="Style19"/>
        <w:keepNext w:val="0"/>
        <w:keepLines w:val="0"/>
        <w:widowControl w:val="0"/>
        <w:numPr>
          <w:ilvl w:val="0"/>
          <w:numId w:val="59"/>
        </w:numPr>
        <w:shd w:val="clear" w:color="auto" w:fill="auto"/>
        <w:tabs>
          <w:tab w:pos="699" w:val="left"/>
        </w:tabs>
        <w:bidi w:val="0"/>
        <w:spacing w:before="0" w:line="300" w:lineRule="auto"/>
        <w:ind w:left="600" w:right="0" w:hanging="180"/>
        <w:jc w:val="left"/>
      </w:pPr>
      <w:r>
        <w:rPr>
          <w:rStyle w:val="CharStyle20"/>
        </w:rPr>
        <w:t>Přizpůsobit tarifní mechanismus tak, aby umožňoval efektivní a ekonomické poskytování služeb flexibility u konečných zákazníků včetně možnosti akumulace</w:t>
      </w:r>
    </w:p>
    <w:p>
      <w:pPr>
        <w:pStyle w:val="Style19"/>
        <w:keepNext w:val="0"/>
        <w:keepLines w:val="0"/>
        <w:widowControl w:val="0"/>
        <w:numPr>
          <w:ilvl w:val="0"/>
          <w:numId w:val="59"/>
        </w:numPr>
        <w:shd w:val="clear" w:color="auto" w:fill="auto"/>
        <w:tabs>
          <w:tab w:pos="704" w:val="left"/>
        </w:tabs>
        <w:bidi w:val="0"/>
        <w:spacing w:before="0" w:line="307" w:lineRule="auto"/>
        <w:ind w:left="600" w:right="0" w:hanging="180"/>
        <w:jc w:val="left"/>
      </w:pPr>
      <w:r>
        <w:rPr>
          <w:rStyle w:val="CharStyle20"/>
        </w:rPr>
        <w:t>Zavedení institutu energetických komunit s možností sdílení vyrobené elektřiny z decentrálních zdrojů</w:t>
      </w:r>
    </w:p>
    <w:p>
      <w:pPr>
        <w:pStyle w:val="Style19"/>
        <w:keepNext w:val="0"/>
        <w:keepLines w:val="0"/>
        <w:widowControl w:val="0"/>
        <w:numPr>
          <w:ilvl w:val="0"/>
          <w:numId w:val="59"/>
        </w:numPr>
        <w:shd w:val="clear" w:color="auto" w:fill="auto"/>
        <w:tabs>
          <w:tab w:pos="680" w:val="left"/>
        </w:tabs>
        <w:bidi w:val="0"/>
        <w:spacing w:before="0" w:line="300" w:lineRule="auto"/>
        <w:ind w:left="600" w:right="0" w:hanging="180"/>
        <w:jc w:val="left"/>
      </w:pPr>
      <w:r>
        <w:rPr>
          <w:rStyle w:val="CharStyle20"/>
        </w:rPr>
        <w:t>Zároveň je třeba při tomto procesu zajistit soulad s očekávanou změnu market designu, včetně očekávaných standardů ochrany zákazníků</w:t>
      </w:r>
    </w:p>
    <w:p>
      <w:pPr>
        <w:pStyle w:val="Style19"/>
        <w:keepNext w:val="0"/>
        <w:keepLines w:val="0"/>
        <w:widowControl w:val="0"/>
        <w:numPr>
          <w:ilvl w:val="0"/>
          <w:numId w:val="55"/>
        </w:numPr>
        <w:shd w:val="clear" w:color="auto" w:fill="auto"/>
        <w:tabs>
          <w:tab w:pos="398" w:val="left"/>
        </w:tabs>
        <w:bidi w:val="0"/>
        <w:spacing w:before="0"/>
        <w:ind w:left="420" w:right="0" w:hanging="420"/>
        <w:jc w:val="both"/>
      </w:pPr>
      <w:r>
        <w:rPr>
          <w:rStyle w:val="CharStyle20"/>
          <w:b/>
          <w:bCs/>
        </w:rPr>
        <w:t xml:space="preserve">Zajištění technických zdrojů na regulaci PS </w:t>
      </w:r>
      <w:r>
        <w:rPr>
          <w:rStyle w:val="CharStyle20"/>
        </w:rPr>
        <w:t>- analýza kritických podmínek regulačního rámce a rostoucích finančních nároků na zajištění regulačních služeb. Vyhodnotit střednědobé možnosti sdílení rezervních a regulačních kapacit s okolními soustavami. Snížit riziko závislosti na krátkodobých trzích PpS - posoudit vhodnost využití finančních/opčních nástrojů pro poskytování PpS v závislosti na ceně energetických komodit. Implementovat do regulačního rámce platby za kapacitní mechanismy.</w:t>
      </w:r>
    </w:p>
    <w:p>
      <w:pPr>
        <w:pStyle w:val="Style19"/>
        <w:keepNext w:val="0"/>
        <w:keepLines w:val="0"/>
        <w:widowControl w:val="0"/>
        <w:numPr>
          <w:ilvl w:val="0"/>
          <w:numId w:val="55"/>
        </w:numPr>
        <w:shd w:val="clear" w:color="auto" w:fill="auto"/>
        <w:tabs>
          <w:tab w:pos="398" w:val="left"/>
        </w:tabs>
        <w:bidi w:val="0"/>
        <w:spacing w:before="0" w:line="300" w:lineRule="auto"/>
        <w:ind w:left="420" w:right="0" w:hanging="420"/>
        <w:jc w:val="both"/>
      </w:pPr>
      <w:r>
        <w:rPr>
          <w:rStyle w:val="CharStyle20"/>
          <w:b/>
          <w:bCs/>
        </w:rPr>
        <w:t xml:space="preserve">Zasíťování nových decentralizovaných zdrojů </w:t>
      </w:r>
      <w:r>
        <w:rPr>
          <w:rStyle w:val="CharStyle20"/>
        </w:rPr>
        <w:t>- prohloubení spolupráce PPS a PDS v oblasti plánů rozvoje PS a DS, příprava společných rozvojových scénářů a koordinované strategie rozvoje s ohledem na podporu integrace těchto zdrojů. Koordinovaná výstavba, příprava investičních záměrů, včetně zjednodušení a zkrácení povolovacích procedur.</w:t>
      </w:r>
    </w:p>
    <w:p>
      <w:pPr>
        <w:pStyle w:val="Style19"/>
        <w:keepNext w:val="0"/>
        <w:keepLines w:val="0"/>
        <w:widowControl w:val="0"/>
        <w:numPr>
          <w:ilvl w:val="0"/>
          <w:numId w:val="55"/>
        </w:numPr>
        <w:shd w:val="clear" w:color="auto" w:fill="auto"/>
        <w:tabs>
          <w:tab w:pos="398" w:val="left"/>
        </w:tabs>
        <w:bidi w:val="0"/>
        <w:spacing w:before="0" w:line="300" w:lineRule="auto"/>
        <w:ind w:left="420" w:right="0" w:hanging="420"/>
        <w:jc w:val="both"/>
      </w:pPr>
      <w:r>
        <w:rPr>
          <w:rStyle w:val="CharStyle20"/>
          <w:b/>
          <w:bCs/>
        </w:rPr>
        <w:t xml:space="preserve">Aktualizace SEK a NEKP </w:t>
      </w:r>
      <w:r>
        <w:rPr>
          <w:rStyle w:val="CharStyle20"/>
        </w:rPr>
        <w:t>- aktualizace SEK, ponechání požadavku na minimální úroveň energetické zabezpečenosti. Koordinace spolupráce provozovatelů přenosové soustavy pro elektřinu a přepravní soustavy pro plyn.</w:t>
      </w:r>
    </w:p>
    <w:p>
      <w:pPr>
        <w:pStyle w:val="Style19"/>
        <w:keepNext w:val="0"/>
        <w:keepLines w:val="0"/>
        <w:widowControl w:val="0"/>
        <w:numPr>
          <w:ilvl w:val="0"/>
          <w:numId w:val="55"/>
        </w:numPr>
        <w:shd w:val="clear" w:color="auto" w:fill="auto"/>
        <w:tabs>
          <w:tab w:pos="398" w:val="left"/>
        </w:tabs>
        <w:bidi w:val="0"/>
        <w:spacing w:before="0"/>
        <w:ind w:left="420" w:right="0" w:hanging="420"/>
        <w:jc w:val="both"/>
      </w:pPr>
      <w:r>
        <w:rPr>
          <w:rStyle w:val="CharStyle20"/>
          <w:b/>
          <w:bCs/>
        </w:rPr>
        <w:t xml:space="preserve">Market design </w:t>
      </w:r>
      <w:r>
        <w:rPr>
          <w:rStyle w:val="CharStyle20"/>
        </w:rPr>
        <w:t>- V důsledku globální energetické krize a vysoké volatility cen na energetických trzích a komoditních burzách, Evropská komise oznámila záměr výrazně změnit pravidla trhu - tzv. market design. Změny se budou týkat všech tří základních trhů s elektřinou, tedy velkoobchodního, maloobchodního i trhu se systémovými službami. Je nutné, aby výsledná pravidla trhu zajišťovala:</w:t>
      </w:r>
    </w:p>
    <w:p>
      <w:pPr>
        <w:pStyle w:val="Style19"/>
        <w:keepNext w:val="0"/>
        <w:keepLines w:val="0"/>
        <w:widowControl w:val="0"/>
        <w:numPr>
          <w:ilvl w:val="0"/>
          <w:numId w:val="61"/>
        </w:numPr>
        <w:shd w:val="clear" w:color="auto" w:fill="auto"/>
        <w:tabs>
          <w:tab w:pos="699" w:val="left"/>
        </w:tabs>
        <w:bidi w:val="0"/>
        <w:spacing w:before="0"/>
        <w:ind w:left="600" w:right="0" w:hanging="180"/>
        <w:jc w:val="left"/>
      </w:pPr>
      <w:r>
        <w:rPr>
          <w:rStyle w:val="CharStyle20"/>
        </w:rPr>
        <w:t>Maximální motivaci k dlouhodobým investicím do zdrojové základny pro zajištění zdrojové přiměřenosti s ohledem na očekávaný nárůst spotřeby vzhledem k elektrifikaci</w:t>
      </w:r>
    </w:p>
    <w:p>
      <w:pPr>
        <w:pStyle w:val="Style19"/>
        <w:keepNext w:val="0"/>
        <w:keepLines w:val="0"/>
        <w:widowControl w:val="0"/>
        <w:numPr>
          <w:ilvl w:val="0"/>
          <w:numId w:val="61"/>
        </w:numPr>
        <w:shd w:val="clear" w:color="auto" w:fill="auto"/>
        <w:tabs>
          <w:tab w:pos="704" w:val="left"/>
        </w:tabs>
        <w:bidi w:val="0"/>
        <w:spacing w:before="0"/>
        <w:ind w:left="0" w:right="0" w:firstLine="420"/>
        <w:jc w:val="left"/>
      </w:pPr>
      <w:r>
        <w:rPr>
          <w:rStyle w:val="CharStyle20"/>
        </w:rPr>
        <w:t>Investice do nástrojů a zdrojů pro zajištění dostatečné flexibility PS a DS</w:t>
      </w:r>
    </w:p>
    <w:p>
      <w:pPr>
        <w:pStyle w:val="Style19"/>
        <w:keepNext w:val="0"/>
        <w:keepLines w:val="0"/>
        <w:widowControl w:val="0"/>
        <w:numPr>
          <w:ilvl w:val="0"/>
          <w:numId w:val="61"/>
        </w:numPr>
        <w:shd w:val="clear" w:color="auto" w:fill="auto"/>
        <w:tabs>
          <w:tab w:pos="675" w:val="left"/>
        </w:tabs>
        <w:bidi w:val="0"/>
        <w:spacing w:before="0"/>
        <w:ind w:left="0" w:right="0" w:firstLine="420"/>
        <w:jc w:val="left"/>
        <w:sectPr>
          <w:footnotePr>
            <w:pos w:val="pageBottom"/>
            <w:numFmt w:val="decimal"/>
            <w:numRestart w:val="continuous"/>
          </w:footnotePr>
          <w:pgSz w:w="12142" w:h="17375"/>
          <w:pgMar w:top="1108" w:right="827" w:bottom="1492" w:left="827" w:header="0" w:footer="3" w:gutter="686"/>
          <w:cols w:space="720"/>
          <w:noEndnote/>
          <w:rtlGutter w:val="0"/>
          <w:docGrid w:linePitch="360"/>
        </w:sectPr>
      </w:pPr>
      <w:r>
        <w:rPr>
          <w:rStyle w:val="CharStyle20"/>
        </w:rPr>
        <w:t>Dostatečnou ochranu konečných zákazníků</w:t>
      </w:r>
    </w:p>
    <w:p>
      <w:pPr>
        <w:pStyle w:val="Style5"/>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300" w:line="240" w:lineRule="auto"/>
        <w:ind w:left="0" w:right="0" w:firstLine="0"/>
        <w:jc w:val="left"/>
        <w:rPr>
          <w:sz w:val="64"/>
          <w:szCs w:val="64"/>
        </w:rPr>
      </w:pPr>
      <w:r>
        <w:rPr>
          <w:rStyle w:val="CharStyle6"/>
          <w:color w:val="FFFFFF"/>
          <w:sz w:val="64"/>
          <w:szCs w:val="64"/>
        </w:rPr>
        <w:t>čepí</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Zpracoval: Sekce 18300 - Strategie</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180" w:line="322" w:lineRule="auto"/>
        <w:ind w:left="0" w:right="0" w:firstLine="0"/>
        <w:jc w:val="left"/>
      </w:pPr>
      <w:r>
        <w:rPr>
          <w:rStyle w:val="CharStyle38"/>
          <w:b/>
          <w:bCs/>
          <w:color w:val="FFFFFF"/>
        </w:rPr>
        <w:t>Vydáno: únor 2023</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ČEPS, a.s.</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Elektrárenská 774/2</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101 52 Praha 10</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T:+420 211 044 111</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0" w:line="322" w:lineRule="auto"/>
        <w:ind w:left="0" w:right="0" w:firstLine="0"/>
        <w:jc w:val="left"/>
      </w:pPr>
      <w:r>
        <w:rPr>
          <w:rStyle w:val="CharStyle38"/>
          <w:b/>
          <w:bCs/>
          <w:color w:val="FFFFFF"/>
        </w:rPr>
        <w:t>F:+420 211 044 568</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300" w:line="322" w:lineRule="auto"/>
        <w:ind w:left="0" w:right="0" w:firstLine="0"/>
        <w:jc w:val="left"/>
      </w:pPr>
      <w:r>
        <w:fldChar w:fldCharType="begin"/>
      </w:r>
      <w:r>
        <w:rPr/>
        <w:instrText> HYPERLINK "mailto:ceps@ceps.cz" </w:instrText>
      </w:r>
      <w:r>
        <w:fldChar w:fldCharType="separate"/>
      </w:r>
      <w:r>
        <w:rPr>
          <w:rStyle w:val="CharStyle38"/>
          <w:b/>
          <w:bCs/>
          <w:color w:val="FFFFFF"/>
          <w:lang w:val="en-US" w:eastAsia="en-US" w:bidi="en-US"/>
        </w:rPr>
        <w:t>ceps@ceps.cz</w:t>
      </w:r>
      <w:r>
        <w:fldChar w:fldCharType="end"/>
      </w:r>
      <w:r>
        <w:rPr>
          <w:rStyle w:val="CharStyle38"/>
          <w:b/>
          <w:bCs/>
          <w:color w:val="FFFFFF"/>
          <w:lang w:val="en-US" w:eastAsia="en-US" w:bidi="en-US"/>
        </w:rPr>
        <w:t xml:space="preserve"> </w:t>
      </w:r>
      <w:r>
        <w:fldChar w:fldCharType="begin"/>
      </w:r>
      <w:r>
        <w:rPr/>
        <w:instrText> HYPERLINK "http://www.ceps.cz" </w:instrText>
      </w:r>
      <w:r>
        <w:fldChar w:fldCharType="separate"/>
      </w:r>
      <w:r>
        <w:rPr>
          <w:rStyle w:val="CharStyle38"/>
          <w:b/>
          <w:bCs/>
          <w:color w:val="FFFFFF"/>
          <w:lang w:val="en-US" w:eastAsia="en-US" w:bidi="en-US"/>
        </w:rPr>
        <w:t>www.ceps.cz</w:t>
      </w:r>
      <w:r>
        <w:fldChar w:fldCharType="end"/>
      </w:r>
      <w:r>
        <w:rPr>
          <w:rStyle w:val="CharStyle38"/>
          <w:b/>
          <w:bCs/>
          <w:color w:val="FFFFFF"/>
          <w:lang w:val="en-US" w:eastAsia="en-US" w:bidi="en-US"/>
        </w:rPr>
        <w:t xml:space="preserve"> </w:t>
      </w:r>
      <w:r>
        <w:rPr>
          <w:rStyle w:val="CharStyle38"/>
          <w:b/>
          <w:bCs/>
          <w:color w:val="FFFFFF"/>
        </w:rPr>
        <w:t>© ČEPS, a.s., 2022</w:t>
      </w:r>
    </w:p>
    <w:p>
      <w:pPr>
        <w:pStyle w:val="Style37"/>
        <w:keepNext w:val="0"/>
        <w:keepLines w:val="0"/>
        <w:widowControl w:val="0"/>
        <w:pBdr>
          <w:top w:val="single" w:sz="0" w:space="0" w:color="006AB4"/>
          <w:left w:val="single" w:sz="0" w:space="0" w:color="006AB4"/>
          <w:bottom w:val="single" w:sz="0" w:space="0" w:color="006AB4"/>
          <w:right w:val="single" w:sz="0" w:space="0" w:color="006AB4"/>
        </w:pBdr>
        <w:shd w:val="clear" w:color="auto" w:fill="006AB4"/>
        <w:bidi w:val="0"/>
        <w:spacing w:before="0" w:after="300" w:line="226" w:lineRule="auto"/>
        <w:ind w:left="0" w:right="0" w:firstLine="0"/>
        <w:jc w:val="left"/>
      </w:pPr>
      <w:r>
        <w:drawing>
          <wp:anchor distT="0" distB="0" distL="50800" distR="50800" simplePos="0" relativeHeight="125829536" behindDoc="0" locked="0" layoutInCell="1" allowOverlap="1">
            <wp:simplePos x="0" y="0"/>
            <wp:positionH relativeFrom="margin">
              <wp:posOffset>21590</wp:posOffset>
            </wp:positionH>
            <wp:positionV relativeFrom="paragraph">
              <wp:posOffset>12700</wp:posOffset>
            </wp:positionV>
            <wp:extent cx="359410" cy="377825"/>
            <wp:wrapSquare wrapText="right"/>
            <wp:docPr id="653" name="Shape 653"/>
            <a:graphic xmlns:a="http://schemas.openxmlformats.org/drawingml/2006/main">
              <a:graphicData uri="http://schemas.openxmlformats.org/drawingml/2006/picture">
                <pic:pic xmlns:pic="http://schemas.openxmlformats.org/drawingml/2006/picture">
                  <pic:nvPicPr>
                    <pic:cNvPr id="654" name="Picture box 654"/>
                    <pic:cNvPicPr/>
                  </pic:nvPicPr>
                  <pic:blipFill>
                    <a:blip r:embed="rId439"/>
                    <a:stretch/>
                  </pic:blipFill>
                  <pic:spPr>
                    <a:xfrm>
                      <a:ext cx="359410" cy="377825"/>
                    </a:xfrm>
                    <a:prstGeom prst="rect"/>
                  </pic:spPr>
                </pic:pic>
              </a:graphicData>
            </a:graphic>
          </wp:anchor>
        </w:drawing>
      </w:r>
      <w:r>
        <w:rPr>
          <w:rStyle w:val="CharStyle38"/>
          <w:b/>
          <w:bCs/>
          <w:color w:val="FFFFFF"/>
        </w:rPr>
        <w:t>Czech Republic The Country ForTheFuture</w:t>
      </w:r>
    </w:p>
    <w:sectPr>
      <w:headerReference w:type="default" r:id="rId441"/>
      <w:footerReference w:type="default" r:id="rId442"/>
      <w:headerReference w:type="even" r:id="rId443"/>
      <w:footerReference w:type="even" r:id="rId444"/>
      <w:footnotePr>
        <w:pos w:val="pageBottom"/>
        <w:numFmt w:val="decimal"/>
        <w:numRestart w:val="continuous"/>
      </w:footnotePr>
      <w:pgSz w:w="12142" w:h="17375"/>
      <w:pgMar w:top="12451" w:right="647" w:bottom="578" w:left="647" w:header="12023" w:footer="150" w:gutter="8506"/>
      <w:pgNumType w:start="116"/>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7048500</wp:posOffset>
              </wp:positionH>
              <wp:positionV relativeFrom="page">
                <wp:posOffset>10652760</wp:posOffset>
              </wp:positionV>
              <wp:extent cx="125095" cy="79375"/>
              <wp:wrapNone/>
              <wp:docPr id="9" name="Shape 9"/>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035" type="#_x0000_t202" style="position:absolute;margin-left:555.pt;margin-top:838.80000000000007pt;width:9.8499999999999996pt;height:6.25pt;z-index:-18874406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7048500</wp:posOffset>
              </wp:positionH>
              <wp:positionV relativeFrom="page">
                <wp:posOffset>10652760</wp:posOffset>
              </wp:positionV>
              <wp:extent cx="125095" cy="79375"/>
              <wp:wrapNone/>
              <wp:docPr id="302" name="Shape 302"/>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328" type="#_x0000_t202" style="position:absolute;margin-left:555.pt;margin-top:838.80000000000007pt;width:9.8499999999999996pt;height:6.25pt;z-index:-188744002;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544830</wp:posOffset>
              </wp:positionH>
              <wp:positionV relativeFrom="page">
                <wp:posOffset>10738485</wp:posOffset>
              </wp:positionV>
              <wp:extent cx="143510" cy="82550"/>
              <wp:wrapNone/>
              <wp:docPr id="308" name="Shape 308"/>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334" type="#_x0000_t202" style="position:absolute;margin-left:42.899999999999999pt;margin-top:845.55000000000007pt;width:11.300000000000001pt;height:6.5pt;z-index:-18874399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544830</wp:posOffset>
              </wp:positionH>
              <wp:positionV relativeFrom="page">
                <wp:posOffset>10738485</wp:posOffset>
              </wp:positionV>
              <wp:extent cx="143510" cy="82550"/>
              <wp:wrapNone/>
              <wp:docPr id="312" name="Shape 312"/>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338" type="#_x0000_t202" style="position:absolute;margin-left:42.899999999999999pt;margin-top:845.55000000000007pt;width:11.300000000000001pt;height:6.5pt;z-index:-18874399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7018655</wp:posOffset>
              </wp:positionH>
              <wp:positionV relativeFrom="page">
                <wp:posOffset>10597515</wp:posOffset>
              </wp:positionV>
              <wp:extent cx="140335" cy="85090"/>
              <wp:wrapNone/>
              <wp:docPr id="334" name="Shape 334"/>
              <a:graphic xmlns:a="http://schemas.openxmlformats.org/drawingml/2006/main">
                <a:graphicData uri="http://schemas.microsoft.com/office/word/2010/wordprocessingShape">
                  <wps:wsp>
                    <wps:cNvSpPr txBox="1"/>
                    <wps:spPr>
                      <a:xfrm>
                        <a:ext cx="140335" cy="850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360" type="#_x0000_t202" style="position:absolute;margin-left:552.64999999999998pt;margin-top:834.45000000000005pt;width:11.050000000000001pt;height:6.7000000000000002pt;z-index:-188743988;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7018655</wp:posOffset>
              </wp:positionH>
              <wp:positionV relativeFrom="page">
                <wp:posOffset>10597515</wp:posOffset>
              </wp:positionV>
              <wp:extent cx="140335" cy="85090"/>
              <wp:wrapNone/>
              <wp:docPr id="338" name="Shape 338"/>
              <a:graphic xmlns:a="http://schemas.openxmlformats.org/drawingml/2006/main">
                <a:graphicData uri="http://schemas.microsoft.com/office/word/2010/wordprocessingShape">
                  <wps:wsp>
                    <wps:cNvSpPr txBox="1"/>
                    <wps:spPr>
                      <a:xfrm>
                        <a:ext cx="140335" cy="850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364" type="#_x0000_t202" style="position:absolute;margin-left:552.64999999999998pt;margin-top:834.45000000000005pt;width:11.050000000000001pt;height:6.7000000000000002pt;z-index:-18874398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551180</wp:posOffset>
              </wp:positionH>
              <wp:positionV relativeFrom="page">
                <wp:posOffset>10597515</wp:posOffset>
              </wp:positionV>
              <wp:extent cx="143510" cy="82550"/>
              <wp:wrapNone/>
              <wp:docPr id="356" name="Shape 356"/>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382" type="#_x0000_t202" style="position:absolute;margin-left:43.399999999999999pt;margin-top:834.45000000000005pt;width:11.300000000000001pt;height:6.5pt;z-index:-188743978;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551180</wp:posOffset>
              </wp:positionH>
              <wp:positionV relativeFrom="page">
                <wp:posOffset>10597515</wp:posOffset>
              </wp:positionV>
              <wp:extent cx="143510" cy="82550"/>
              <wp:wrapNone/>
              <wp:docPr id="362" name="Shape 362"/>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388" type="#_x0000_t202" style="position:absolute;margin-left:43.399999999999999pt;margin-top:834.45000000000005pt;width:11.300000000000001pt;height:6.5pt;z-index:-188743972;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7018655</wp:posOffset>
              </wp:positionH>
              <wp:positionV relativeFrom="page">
                <wp:posOffset>10597515</wp:posOffset>
              </wp:positionV>
              <wp:extent cx="140335" cy="82550"/>
              <wp:wrapNone/>
              <wp:docPr id="379" name="Shape 379"/>
              <a:graphic xmlns:a="http://schemas.openxmlformats.org/drawingml/2006/main">
                <a:graphicData uri="http://schemas.microsoft.com/office/word/2010/wordprocessingShape">
                  <wps:wsp>
                    <wps:cNvSpPr txBox="1"/>
                    <wps:spPr>
                      <a:xfrm>
                        <a:ext cx="140335"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05" type="#_x0000_t202" style="position:absolute;margin-left:552.64999999999998pt;margin-top:834.45000000000005pt;width:11.050000000000001pt;height:6.5pt;z-index:-188743962;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7018655</wp:posOffset>
              </wp:positionH>
              <wp:positionV relativeFrom="page">
                <wp:posOffset>10597515</wp:posOffset>
              </wp:positionV>
              <wp:extent cx="140335" cy="82550"/>
              <wp:wrapNone/>
              <wp:docPr id="383" name="Shape 383"/>
              <a:graphic xmlns:a="http://schemas.openxmlformats.org/drawingml/2006/main">
                <a:graphicData uri="http://schemas.microsoft.com/office/word/2010/wordprocessingShape">
                  <wps:wsp>
                    <wps:cNvSpPr txBox="1"/>
                    <wps:spPr>
                      <a:xfrm>
                        <a:ext cx="140335"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09" type="#_x0000_t202" style="position:absolute;margin-left:552.64999999999998pt;margin-top:834.45000000000005pt;width:11.050000000000001pt;height:6.5pt;z-index:-188743958;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7048500</wp:posOffset>
              </wp:positionH>
              <wp:positionV relativeFrom="page">
                <wp:posOffset>10652760</wp:posOffset>
              </wp:positionV>
              <wp:extent cx="125095" cy="79375"/>
              <wp:wrapNone/>
              <wp:docPr id="385" name="Shape 385"/>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411" type="#_x0000_t202" style="position:absolute;margin-left:555.pt;margin-top:838.80000000000007pt;width:9.8499999999999996pt;height:6.25pt;z-index:-188743956;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544830</wp:posOffset>
              </wp:positionH>
              <wp:positionV relativeFrom="page">
                <wp:posOffset>10738485</wp:posOffset>
              </wp:positionV>
              <wp:extent cx="143510" cy="82550"/>
              <wp:wrapNone/>
              <wp:docPr id="13" name="Shape 13"/>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039" type="#_x0000_t202" style="position:absolute;margin-left:42.899999999999999pt;margin-top:845.55000000000007pt;width:11.300000000000001pt;height:6.5pt;z-index:-18874405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544830</wp:posOffset>
              </wp:positionH>
              <wp:positionV relativeFrom="page">
                <wp:posOffset>10738485</wp:posOffset>
              </wp:positionV>
              <wp:extent cx="143510" cy="82550"/>
              <wp:wrapNone/>
              <wp:docPr id="389" name="Shape 389"/>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415" type="#_x0000_t202" style="position:absolute;margin-left:42.899999999999999pt;margin-top:845.55000000000007pt;width:11.300000000000001pt;height:6.5pt;z-index:-188743952;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7016115</wp:posOffset>
              </wp:positionH>
              <wp:positionV relativeFrom="page">
                <wp:posOffset>10600690</wp:posOffset>
              </wp:positionV>
              <wp:extent cx="130810" cy="79375"/>
              <wp:wrapNone/>
              <wp:docPr id="421" name="Shape 421"/>
              <a:graphic xmlns:a="http://schemas.openxmlformats.org/drawingml/2006/main">
                <a:graphicData uri="http://schemas.microsoft.com/office/word/2010/wordprocessingShape">
                  <wps:wsp>
                    <wps:cNvSpPr txBox="1"/>
                    <wps:spPr>
                      <a:xfrm>
                        <a:ext cx="130810"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47" type="#_x0000_t202" style="position:absolute;margin-left:552.45000000000005pt;margin-top:834.70000000000005pt;width:10.300000000000001pt;height:6.25pt;z-index:-188743946;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7016115</wp:posOffset>
              </wp:positionH>
              <wp:positionV relativeFrom="page">
                <wp:posOffset>10600690</wp:posOffset>
              </wp:positionV>
              <wp:extent cx="130810" cy="79375"/>
              <wp:wrapNone/>
              <wp:docPr id="425" name="Shape 425"/>
              <a:graphic xmlns:a="http://schemas.openxmlformats.org/drawingml/2006/main">
                <a:graphicData uri="http://schemas.microsoft.com/office/word/2010/wordprocessingShape">
                  <wps:wsp>
                    <wps:cNvSpPr txBox="1"/>
                    <wps:spPr>
                      <a:xfrm>
                        <a:ext cx="130810"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51" type="#_x0000_t202" style="position:absolute;margin-left:552.45000000000005pt;margin-top:834.70000000000005pt;width:10.300000000000001pt;height:6.25pt;z-index:-188743942;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548005</wp:posOffset>
              </wp:positionH>
              <wp:positionV relativeFrom="page">
                <wp:posOffset>10597515</wp:posOffset>
              </wp:positionV>
              <wp:extent cx="143510" cy="82550"/>
              <wp:wrapNone/>
              <wp:docPr id="444" name="Shape 444"/>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70" type="#_x0000_t202" style="position:absolute;margin-left:43.149999999999999pt;margin-top:834.45000000000005pt;width:11.300000000000001pt;height:6.5pt;z-index:-188743930;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548005</wp:posOffset>
              </wp:positionH>
              <wp:positionV relativeFrom="page">
                <wp:posOffset>10597515</wp:posOffset>
              </wp:positionV>
              <wp:extent cx="143510" cy="82550"/>
              <wp:wrapNone/>
              <wp:docPr id="450" name="Shape 450"/>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476" type="#_x0000_t202" style="position:absolute;margin-left:43.149999999999999pt;margin-top:834.45000000000005pt;width:11.300000000000001pt;height:6.5pt;z-index:-18874392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7048500</wp:posOffset>
              </wp:positionH>
              <wp:positionV relativeFrom="page">
                <wp:posOffset>10652760</wp:posOffset>
              </wp:positionV>
              <wp:extent cx="125095" cy="79375"/>
              <wp:wrapNone/>
              <wp:docPr id="452" name="Shape 452"/>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478" type="#_x0000_t202" style="position:absolute;margin-left:555.pt;margin-top:838.80000000000007pt;width:9.8499999999999996pt;height:6.25pt;z-index:-188743922;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544830</wp:posOffset>
              </wp:positionH>
              <wp:positionV relativeFrom="page">
                <wp:posOffset>10738485</wp:posOffset>
              </wp:positionV>
              <wp:extent cx="143510" cy="82550"/>
              <wp:wrapNone/>
              <wp:docPr id="456" name="Shape 456"/>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482" type="#_x0000_t202" style="position:absolute;margin-left:42.899999999999999pt;margin-top:845.55000000000007pt;width:11.300000000000001pt;height:6.5pt;z-index:-188743918;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7048500</wp:posOffset>
              </wp:positionH>
              <wp:positionV relativeFrom="page">
                <wp:posOffset>10652760</wp:posOffset>
              </wp:positionV>
              <wp:extent cx="125095" cy="79375"/>
              <wp:wrapNone/>
              <wp:docPr id="629" name="Shape 629"/>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655" type="#_x0000_t202" style="position:absolute;margin-left:555.pt;margin-top:838.80000000000007pt;width:9.8499999999999996pt;height:6.25pt;z-index:-18874387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544830</wp:posOffset>
              </wp:positionH>
              <wp:positionV relativeFrom="page">
                <wp:posOffset>10738485</wp:posOffset>
              </wp:positionV>
              <wp:extent cx="143510" cy="82550"/>
              <wp:wrapNone/>
              <wp:docPr id="633" name="Shape 633"/>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659" type="#_x0000_t202" style="position:absolute;margin-left:42.899999999999999pt;margin-top:845.55000000000007pt;width:11.300000000000001pt;height:6.5pt;z-index:-1887438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7048500</wp:posOffset>
              </wp:positionH>
              <wp:positionV relativeFrom="page">
                <wp:posOffset>10652760</wp:posOffset>
              </wp:positionV>
              <wp:extent cx="125095" cy="79375"/>
              <wp:wrapNone/>
              <wp:docPr id="645" name="Shape 645"/>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671" type="#_x0000_t202" style="position:absolute;margin-left:555.pt;margin-top:838.80000000000007pt;width:9.8499999999999996pt;height:6.25pt;z-index:-18874386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544830</wp:posOffset>
              </wp:positionH>
              <wp:positionV relativeFrom="page">
                <wp:posOffset>10738485</wp:posOffset>
              </wp:positionV>
              <wp:extent cx="143510" cy="82550"/>
              <wp:wrapNone/>
              <wp:docPr id="649" name="Shape 649"/>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675" type="#_x0000_t202" style="position:absolute;margin-left:42.899999999999999pt;margin-top:845.55000000000007pt;width:11.300000000000001pt;height:6.5pt;z-index:-18874386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553720</wp:posOffset>
              </wp:positionH>
              <wp:positionV relativeFrom="page">
                <wp:posOffset>10749280</wp:posOffset>
              </wp:positionV>
              <wp:extent cx="225425" cy="82550"/>
              <wp:wrapNone/>
              <wp:docPr id="651" name="Shape 651"/>
              <a:graphic xmlns:a="http://schemas.openxmlformats.org/drawingml/2006/main">
                <a:graphicData uri="http://schemas.microsoft.com/office/word/2010/wordprocessingShape">
                  <wps:wsp>
                    <wps:cNvSpPr txBox="1"/>
                    <wps:spPr>
                      <a:xfrm>
                        <a:ext cx="225425"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677" type="#_x0000_t202" style="position:absolute;margin-left:43.600000000000001pt;margin-top:846.39999999999998pt;width:17.75pt;height:6.5pt;z-index:-188743859;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7048500</wp:posOffset>
              </wp:positionH>
              <wp:positionV relativeFrom="page">
                <wp:posOffset>10652760</wp:posOffset>
              </wp:positionV>
              <wp:extent cx="125095" cy="79375"/>
              <wp:wrapNone/>
              <wp:docPr id="171" name="Shape 171"/>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197" type="#_x0000_t202" style="position:absolute;margin-left:555.pt;margin-top:838.80000000000007pt;width:9.8499999999999996pt;height:6.25pt;z-index:-18874403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544830</wp:posOffset>
              </wp:positionH>
              <wp:positionV relativeFrom="page">
                <wp:posOffset>10738485</wp:posOffset>
              </wp:positionV>
              <wp:extent cx="143510" cy="82550"/>
              <wp:wrapNone/>
              <wp:docPr id="175" name="Shape 175"/>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201" type="#_x0000_t202" style="position:absolute;margin-left:42.899999999999999pt;margin-top:845.55000000000007pt;width:11.300000000000001pt;height:6.5pt;z-index:-18874402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7214870</wp:posOffset>
              </wp:positionH>
              <wp:positionV relativeFrom="page">
                <wp:posOffset>10481945</wp:posOffset>
              </wp:positionV>
              <wp:extent cx="128270" cy="82550"/>
              <wp:wrapNone/>
              <wp:docPr id="267" name="Shape 267"/>
              <a:graphic xmlns:a="http://schemas.openxmlformats.org/drawingml/2006/main">
                <a:graphicData uri="http://schemas.microsoft.com/office/word/2010/wordprocessingShape">
                  <wps:wsp>
                    <wps:cNvSpPr txBox="1"/>
                    <wps:spPr>
                      <a:xfrm>
                        <a:ext cx="128270" cy="8255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wps:txbx>
                    <wps:bodyPr wrap="none" lIns="0" tIns="0" rIns="0" bIns="0">
                      <a:spAutoFit/>
                    </wps:bodyPr>
                  </wps:wsp>
                </a:graphicData>
              </a:graphic>
            </wp:anchor>
          </w:drawing>
        </mc:Choice>
        <mc:Fallback>
          <w:pict>
            <v:shape id="_x0000_s1293" type="#_x0000_t202" style="position:absolute;margin-left:568.10000000000002pt;margin-top:825.35000000000002pt;width:10.1pt;height:6.5pt;z-index:-18874401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85"/>
                          <w:b/>
                          <w:bCs/>
                          <w:sz w:val="18"/>
                          <w:szCs w:val="1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544830</wp:posOffset>
              </wp:positionH>
              <wp:positionV relativeFrom="page">
                <wp:posOffset>10738485</wp:posOffset>
              </wp:positionV>
              <wp:extent cx="143510" cy="82550"/>
              <wp:wrapNone/>
              <wp:docPr id="271" name="Shape 271"/>
              <a:graphic xmlns:a="http://schemas.openxmlformats.org/drawingml/2006/main">
                <a:graphicData uri="http://schemas.microsoft.com/office/word/2010/wordprocessingShape">
                  <wps:wsp>
                    <wps:cNvSpPr txBox="1"/>
                    <wps:spPr>
                      <a:xfrm>
                        <a:ext cx="143510" cy="825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297" type="#_x0000_t202" style="position:absolute;margin-left:42.899999999999999pt;margin-top:845.55000000000007pt;width:11.300000000000001pt;height:6.5pt;z-index:-188744010;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7048500</wp:posOffset>
              </wp:positionH>
              <wp:positionV relativeFrom="page">
                <wp:posOffset>10652760</wp:posOffset>
              </wp:positionV>
              <wp:extent cx="125095" cy="79375"/>
              <wp:wrapNone/>
              <wp:docPr id="300" name="Shape 300"/>
              <a:graphic xmlns:a="http://schemas.openxmlformats.org/drawingml/2006/main">
                <a:graphicData uri="http://schemas.microsoft.com/office/word/2010/wordprocessingShape">
                  <wps:wsp>
                    <wps:cNvSpPr txBox="1"/>
                    <wps:spPr>
                      <a:xfrm>
                        <a:ext cx="12509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wps:txbx>
                    <wps:bodyPr wrap="none" lIns="0" tIns="0" rIns="0" bIns="0">
                      <a:spAutoFit/>
                    </wps:bodyPr>
                  </wps:wsp>
                </a:graphicData>
              </a:graphic>
            </wp:anchor>
          </w:drawing>
        </mc:Choice>
        <mc:Fallback>
          <w:pict>
            <v:shape id="_x0000_s1326" type="#_x0000_t202" style="position:absolute;margin-left:555.pt;margin-top:838.80000000000007pt;width:9.8499999999999996pt;height:6.25pt;z-index:-188744004;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Style w:val="CharStyle10"/>
                          <w:rFonts w:ascii="Arial" w:eastAsia="Arial" w:hAnsi="Arial" w:cs="Arial"/>
                          <w:b/>
                          <w:bCs/>
                          <w:color w:val="006AB4"/>
                          <w:sz w:val="18"/>
                          <w:szCs w:val="18"/>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544830</wp:posOffset>
              </wp:positionH>
              <wp:positionV relativeFrom="page">
                <wp:posOffset>179070</wp:posOffset>
              </wp:positionV>
              <wp:extent cx="3264535" cy="79375"/>
              <wp:wrapNone/>
              <wp:docPr id="306" name="Shape 306"/>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332" type="#_x0000_t202" style="position:absolute;margin-left:42.899999999999999pt;margin-top:14.1pt;width:257.05000000000001pt;height:6.25pt;z-index:-188743999;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544830</wp:posOffset>
              </wp:positionH>
              <wp:positionV relativeFrom="page">
                <wp:posOffset>179070</wp:posOffset>
              </wp:positionV>
              <wp:extent cx="3264535" cy="79375"/>
              <wp:wrapNone/>
              <wp:docPr id="310" name="Shape 310"/>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336" type="#_x0000_t202" style="position:absolute;margin-left:42.899999999999999pt;margin-top:14.1pt;width:257.05000000000001pt;height:6.25pt;z-index:-188743995;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2639060</wp:posOffset>
              </wp:positionH>
              <wp:positionV relativeFrom="page">
                <wp:posOffset>831850</wp:posOffset>
              </wp:positionV>
              <wp:extent cx="1789430" cy="103505"/>
              <wp:wrapNone/>
              <wp:docPr id="332" name="Shape 332"/>
              <a:graphic xmlns:a="http://schemas.openxmlformats.org/drawingml/2006/main">
                <a:graphicData uri="http://schemas.microsoft.com/office/word/2010/wordprocessingShape">
                  <wps:wsp>
                    <wps:cNvSpPr txBox="1"/>
                    <wps:spPr>
                      <a:xfrm>
                        <a:ext cx="1789430" cy="10350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6.3.2 KONZERVATIVNÍ SCÉNÁŘ</w:t>
                          </w:r>
                        </w:p>
                      </w:txbxContent>
                    </wps:txbx>
                    <wps:bodyPr wrap="none" lIns="0" tIns="0" rIns="0" bIns="0">
                      <a:spAutoFit/>
                    </wps:bodyPr>
                  </wps:wsp>
                </a:graphicData>
              </a:graphic>
            </wp:anchor>
          </w:drawing>
        </mc:Choice>
        <mc:Fallback>
          <w:pict>
            <v:shape id="_x0000_s1358" type="#_x0000_t202" style="position:absolute;margin-left:207.80000000000001pt;margin-top:65.5pt;width:140.90000000000001pt;height:8.1500000000000004pt;z-index:-188743990;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6.3.2 KONZERVATIVNÍ SCÉNÁŘ</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2639060</wp:posOffset>
              </wp:positionH>
              <wp:positionV relativeFrom="page">
                <wp:posOffset>831850</wp:posOffset>
              </wp:positionV>
              <wp:extent cx="1789430" cy="103505"/>
              <wp:wrapNone/>
              <wp:docPr id="336" name="Shape 336"/>
              <a:graphic xmlns:a="http://schemas.openxmlformats.org/drawingml/2006/main">
                <a:graphicData uri="http://schemas.microsoft.com/office/word/2010/wordprocessingShape">
                  <wps:wsp>
                    <wps:cNvSpPr txBox="1"/>
                    <wps:spPr>
                      <a:xfrm>
                        <a:ext cx="1789430" cy="10350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6.3.2 KONZERVATIVNÍ SCÉNÁŘ</w:t>
                          </w:r>
                        </w:p>
                      </w:txbxContent>
                    </wps:txbx>
                    <wps:bodyPr wrap="none" lIns="0" tIns="0" rIns="0" bIns="0">
                      <a:spAutoFit/>
                    </wps:bodyPr>
                  </wps:wsp>
                </a:graphicData>
              </a:graphic>
            </wp:anchor>
          </w:drawing>
        </mc:Choice>
        <mc:Fallback>
          <w:pict>
            <v:shape id="_x0000_s1362" type="#_x0000_t202" style="position:absolute;margin-left:207.80000000000001pt;margin-top:65.5pt;width:140.90000000000001pt;height:8.1500000000000004pt;z-index:-188743986;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6.3.2 KONZERVATIVNÍ SCÉNÁŘ</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551180</wp:posOffset>
              </wp:positionH>
              <wp:positionV relativeFrom="page">
                <wp:posOffset>334645</wp:posOffset>
              </wp:positionV>
              <wp:extent cx="3264535" cy="79375"/>
              <wp:wrapNone/>
              <wp:docPr id="352" name="Shape 352"/>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wps:txbx>
                    <wps:bodyPr lIns="0" tIns="0" rIns="0" bIns="0">
                      <a:spAutoFit/>
                    </wps:bodyPr>
                  </wps:wsp>
                </a:graphicData>
              </a:graphic>
            </wp:anchor>
          </w:drawing>
        </mc:Choice>
        <mc:Fallback>
          <w:pict>
            <v:shape id="_x0000_s1378" type="#_x0000_t202" style="position:absolute;margin-left:43.399999999999999pt;margin-top:26.350000000000001pt;width:257.05000000000001pt;height:6.25pt;z-index:-188743982;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v:textbox>
              <w10:wrap anchorx="page" anchory="page"/>
            </v:shape>
          </w:pict>
        </mc:Fallback>
      </mc:AlternateContent>
    </w:r>
    <w:r>
      <mc:AlternateContent>
        <mc:Choice Requires="wps">
          <w:drawing>
            <wp:anchor distT="0" distB="0" distL="0" distR="0" simplePos="0" relativeHeight="62914773" behindDoc="1" locked="0" layoutInCell="1" allowOverlap="1">
              <wp:simplePos x="0" y="0"/>
              <wp:positionH relativeFrom="page">
                <wp:posOffset>551180</wp:posOffset>
              </wp:positionH>
              <wp:positionV relativeFrom="page">
                <wp:posOffset>782955</wp:posOffset>
              </wp:positionV>
              <wp:extent cx="5904230" cy="113030"/>
              <wp:wrapNone/>
              <wp:docPr id="354" name="Shape 354"/>
              <a:graphic xmlns:a="http://schemas.openxmlformats.org/drawingml/2006/main">
                <a:graphicData uri="http://schemas.microsoft.com/office/word/2010/wordprocessingShape">
                  <wps:wsp>
                    <wps:cNvSpPr txBox="1"/>
                    <wps:spPr>
                      <a:xfrm>
                        <a:ext cx="5904230" cy="1130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6.17 Roční využití výkonu jednotlivých kategorií zdrojů v Konzervativním scénáři pro období 2025-2040</w:t>
                          </w:r>
                        </w:p>
                      </w:txbxContent>
                    </wps:txbx>
                    <wps:bodyPr wrap="none" lIns="0" tIns="0" rIns="0" bIns="0">
                      <a:spAutoFit/>
                    </wps:bodyPr>
                  </wps:wsp>
                </a:graphicData>
              </a:graphic>
            </wp:anchor>
          </w:drawing>
        </mc:Choice>
        <mc:Fallback>
          <w:pict>
            <v:shape id="_x0000_s1380" type="#_x0000_t202" style="position:absolute;margin-left:43.399999999999999pt;margin-top:61.649999999999999pt;width:464.90000000000003pt;height:8.9000000000000004pt;z-index:-188743980;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6.17 Roční využití výkonu jednotlivých kategorií zdrojů v Konzervativním scénáři pro období 2025-2040</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551180</wp:posOffset>
              </wp:positionH>
              <wp:positionV relativeFrom="page">
                <wp:posOffset>334645</wp:posOffset>
              </wp:positionV>
              <wp:extent cx="3264535" cy="79375"/>
              <wp:wrapNone/>
              <wp:docPr id="358" name="Shape 358"/>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wps:txbx>
                    <wps:bodyPr lIns="0" tIns="0" rIns="0" bIns="0">
                      <a:spAutoFit/>
                    </wps:bodyPr>
                  </wps:wsp>
                </a:graphicData>
              </a:graphic>
            </wp:anchor>
          </w:drawing>
        </mc:Choice>
        <mc:Fallback>
          <w:pict>
            <v:shape id="_x0000_s1384" type="#_x0000_t202" style="position:absolute;margin-left:43.399999999999999pt;margin-top:26.350000000000001pt;width:257.05000000000001pt;height:6.25pt;z-index:-188743976;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v:textbox>
              <w10:wrap anchorx="page" anchory="page"/>
            </v:shape>
          </w:pict>
        </mc:Fallback>
      </mc:AlternateContent>
    </w:r>
    <w:r>
      <mc:AlternateContent>
        <mc:Choice Requires="wps">
          <w:drawing>
            <wp:anchor distT="0" distB="0" distL="0" distR="0" simplePos="0" relativeHeight="62914779" behindDoc="1" locked="0" layoutInCell="1" allowOverlap="1">
              <wp:simplePos x="0" y="0"/>
              <wp:positionH relativeFrom="page">
                <wp:posOffset>551180</wp:posOffset>
              </wp:positionH>
              <wp:positionV relativeFrom="page">
                <wp:posOffset>782955</wp:posOffset>
              </wp:positionV>
              <wp:extent cx="5904230" cy="113030"/>
              <wp:wrapNone/>
              <wp:docPr id="360" name="Shape 360"/>
              <a:graphic xmlns:a="http://schemas.openxmlformats.org/drawingml/2006/main">
                <a:graphicData uri="http://schemas.microsoft.com/office/word/2010/wordprocessingShape">
                  <wps:wsp>
                    <wps:cNvSpPr txBox="1"/>
                    <wps:spPr>
                      <a:xfrm>
                        <a:ext cx="5904230" cy="1130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6.17 Roční využití výkonu jednotlivých kategorií zdrojů v Konzervativním scénáři pro období 2025-2040</w:t>
                          </w:r>
                        </w:p>
                      </w:txbxContent>
                    </wps:txbx>
                    <wps:bodyPr wrap="none" lIns="0" tIns="0" rIns="0" bIns="0">
                      <a:spAutoFit/>
                    </wps:bodyPr>
                  </wps:wsp>
                </a:graphicData>
              </a:graphic>
            </wp:anchor>
          </w:drawing>
        </mc:Choice>
        <mc:Fallback>
          <w:pict>
            <v:shape id="_x0000_s1386" type="#_x0000_t202" style="position:absolute;margin-left:43.399999999999999pt;margin-top:61.649999999999999pt;width:464.90000000000003pt;height:8.9000000000000004pt;z-index:-18874397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6.17 Roční využití výkonu jednotlivých kategorií zdrojů v Konzervativním scénáři pro období 2025-2040</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977900</wp:posOffset>
              </wp:positionH>
              <wp:positionV relativeFrom="page">
                <wp:posOffset>786130</wp:posOffset>
              </wp:positionV>
              <wp:extent cx="5940425" cy="250190"/>
              <wp:wrapNone/>
              <wp:docPr id="377" name="Shape 377"/>
              <a:graphic xmlns:a="http://schemas.openxmlformats.org/drawingml/2006/main">
                <a:graphicData uri="http://schemas.microsoft.com/office/word/2010/wordprocessingShape">
                  <wps:wsp>
                    <wps:cNvSpPr txBox="1"/>
                    <wps:spPr>
                      <a:xfrm>
                        <a:ext cx="5940425" cy="2501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6.19 Pravděpodobnostní indikátory LOLE a EENS pro Konzervativní scénář pro období 2025-2040, včetně</w:t>
                          </w:r>
                        </w:p>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salda</w:t>
                          </w:r>
                        </w:p>
                      </w:txbxContent>
                    </wps:txbx>
                    <wps:bodyPr wrap="none" lIns="0" tIns="0" rIns="0" bIns="0">
                      <a:spAutoFit/>
                    </wps:bodyPr>
                  </wps:wsp>
                </a:graphicData>
              </a:graphic>
            </wp:anchor>
          </w:drawing>
        </mc:Choice>
        <mc:Fallback>
          <w:pict>
            <v:shape id="_x0000_s1403" type="#_x0000_t202" style="position:absolute;margin-left:77.pt;margin-top:61.899999999999999pt;width:467.75pt;height:19.699999999999999pt;z-index:-18874396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6.19 Pravděpodobnostní indikátory LOLE a EENS pro Konzervativní scénář pro období 2025-2040, včetně</w:t>
                    </w:r>
                  </w:p>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salda</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977900</wp:posOffset>
              </wp:positionH>
              <wp:positionV relativeFrom="page">
                <wp:posOffset>786130</wp:posOffset>
              </wp:positionV>
              <wp:extent cx="5940425" cy="250190"/>
              <wp:wrapNone/>
              <wp:docPr id="381" name="Shape 381"/>
              <a:graphic xmlns:a="http://schemas.openxmlformats.org/drawingml/2006/main">
                <a:graphicData uri="http://schemas.microsoft.com/office/word/2010/wordprocessingShape">
                  <wps:wsp>
                    <wps:cNvSpPr txBox="1"/>
                    <wps:spPr>
                      <a:xfrm>
                        <a:ext cx="5940425" cy="25019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6.19 Pravděpodobnostní indikátory LOLE a EENS pro Konzervativní scénář pro období 2025-2040, včetně</w:t>
                          </w:r>
                        </w:p>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salda</w:t>
                          </w:r>
                        </w:p>
                      </w:txbxContent>
                    </wps:txbx>
                    <wps:bodyPr wrap="none" lIns="0" tIns="0" rIns="0" bIns="0">
                      <a:spAutoFit/>
                    </wps:bodyPr>
                  </wps:wsp>
                </a:graphicData>
              </a:graphic>
            </wp:anchor>
          </w:drawing>
        </mc:Choice>
        <mc:Fallback>
          <w:pict>
            <v:shape id="_x0000_s1407" type="#_x0000_t202" style="position:absolute;margin-left:77.pt;margin-top:61.899999999999999pt;width:467.75pt;height:19.699999999999999pt;z-index:-188743960;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6.19 Pravděpodobnostní indikátory LOLE a EENS pro Konzervativní scénář pro období 2025-2040, včetně</w:t>
                    </w:r>
                  </w:p>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salda</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544830</wp:posOffset>
              </wp:positionH>
              <wp:positionV relativeFrom="page">
                <wp:posOffset>179070</wp:posOffset>
              </wp:positionV>
              <wp:extent cx="3264535" cy="79375"/>
              <wp:wrapNone/>
              <wp:docPr id="11" name="Shape 11"/>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037" type="#_x0000_t202" style="position:absolute;margin-left:42.899999999999999pt;margin-top:14.1pt;width:257.05000000000001pt;height:6.25pt;z-index:-188744061;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544830</wp:posOffset>
              </wp:positionH>
              <wp:positionV relativeFrom="page">
                <wp:posOffset>179070</wp:posOffset>
              </wp:positionV>
              <wp:extent cx="3264535" cy="79375"/>
              <wp:wrapNone/>
              <wp:docPr id="387" name="Shape 387"/>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413" type="#_x0000_t202" style="position:absolute;margin-left:42.899999999999999pt;margin-top:14.1pt;width:257.05000000000001pt;height:6.25pt;z-index:-188743954;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981075</wp:posOffset>
              </wp:positionH>
              <wp:positionV relativeFrom="page">
                <wp:posOffset>782955</wp:posOffset>
              </wp:positionV>
              <wp:extent cx="5763895" cy="113030"/>
              <wp:wrapNone/>
              <wp:docPr id="419" name="Shape 419"/>
              <a:graphic xmlns:a="http://schemas.openxmlformats.org/drawingml/2006/main">
                <a:graphicData uri="http://schemas.microsoft.com/office/word/2010/wordprocessingShape">
                  <wps:wsp>
                    <wps:cNvSpPr txBox="1"/>
                    <wps:spPr>
                      <a:xfrm>
                        <a:ext cx="5763895" cy="1130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6.23 Roční využití výkonu jednotlivých kategorií zdrojů v Progresivním scénáři pro období 2025-2040</w:t>
                          </w:r>
                        </w:p>
                      </w:txbxContent>
                    </wps:txbx>
                    <wps:bodyPr wrap="none" lIns="0" tIns="0" rIns="0" bIns="0">
                      <a:spAutoFit/>
                    </wps:bodyPr>
                  </wps:wsp>
                </a:graphicData>
              </a:graphic>
            </wp:anchor>
          </w:drawing>
        </mc:Choice>
        <mc:Fallback>
          <w:pict>
            <v:shape id="_x0000_s1445" type="#_x0000_t202" style="position:absolute;margin-left:77.25pt;margin-top:61.649999999999999pt;width:453.85000000000002pt;height:8.9000000000000004pt;z-index:-188743948;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6.23 Roční využití výkonu jednotlivých kategorií zdrojů v Progresivním scénáři pro období 2025-2040</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981075</wp:posOffset>
              </wp:positionH>
              <wp:positionV relativeFrom="page">
                <wp:posOffset>782955</wp:posOffset>
              </wp:positionV>
              <wp:extent cx="5763895" cy="113030"/>
              <wp:wrapNone/>
              <wp:docPr id="423" name="Shape 423"/>
              <a:graphic xmlns:a="http://schemas.openxmlformats.org/drawingml/2006/main">
                <a:graphicData uri="http://schemas.microsoft.com/office/word/2010/wordprocessingShape">
                  <wps:wsp>
                    <wps:cNvSpPr txBox="1"/>
                    <wps:spPr>
                      <a:xfrm>
                        <a:ext cx="5763895" cy="1130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6.23 Roční využití výkonu jednotlivých kategorií zdrojů v Progresivním scénáři pro období 2025-2040</w:t>
                          </w:r>
                        </w:p>
                      </w:txbxContent>
                    </wps:txbx>
                    <wps:bodyPr wrap="none" lIns="0" tIns="0" rIns="0" bIns="0">
                      <a:spAutoFit/>
                    </wps:bodyPr>
                  </wps:wsp>
                </a:graphicData>
              </a:graphic>
            </wp:anchor>
          </w:drawing>
        </mc:Choice>
        <mc:Fallback>
          <w:pict>
            <v:shape id="_x0000_s1449" type="#_x0000_t202" style="position:absolute;margin-left:77.25pt;margin-top:61.649999999999999pt;width:453.85000000000002pt;height:8.9000000000000004pt;z-index:-18874394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6.23 Roční využití výkonu jednotlivých kategorií zdrojů v Progresivním scénáři pro období 2025-2040</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551180</wp:posOffset>
              </wp:positionH>
              <wp:positionV relativeFrom="page">
                <wp:posOffset>334645</wp:posOffset>
              </wp:positionV>
              <wp:extent cx="3264535" cy="79375"/>
              <wp:wrapNone/>
              <wp:docPr id="440" name="Shape 440"/>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rStyle w:val="CharStyle85"/>
                            </w:rPr>
                            <w:t>HODNOCENÍ ZDROJOVÉ PŘIMĚŘENOSTI ES ČR DO ROKU 2040 (MAF CZ)</w:t>
                          </w:r>
                        </w:p>
                      </w:txbxContent>
                    </wps:txbx>
                    <wps:bodyPr wrap="none" lIns="0" tIns="0" rIns="0" bIns="0">
                      <a:spAutoFit/>
                    </wps:bodyPr>
                  </wps:wsp>
                </a:graphicData>
              </a:graphic>
            </wp:anchor>
          </w:drawing>
        </mc:Choice>
        <mc:Fallback>
          <w:pict>
            <v:shape id="_x0000_s1466" type="#_x0000_t202" style="position:absolute;margin-left:43.399999999999999pt;margin-top:26.350000000000001pt;width:257.05000000000001pt;height:6.25pt;z-index:-188743934;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rStyle w:val="CharStyle85"/>
                      </w:rPr>
                      <w:t>HODNOCENÍ ZDROJOVÉ PŘIMĚŘENOSTI ES ČR DO ROKU 2040 (MAF CZ)</w:t>
                    </w:r>
                  </w:p>
                </w:txbxContent>
              </v:textbox>
              <w10:wrap anchorx="page" anchory="page"/>
            </v:shape>
          </w:pict>
        </mc:Fallback>
      </mc:AlternateContent>
    </w:r>
    <w:r>
      <mc:AlternateContent>
        <mc:Choice Requires="wps">
          <w:drawing>
            <wp:anchor distT="0" distB="0" distL="0" distR="0" simplePos="0" relativeHeight="62914821" behindDoc="1" locked="0" layoutInCell="1" allowOverlap="1">
              <wp:simplePos x="0" y="0"/>
              <wp:positionH relativeFrom="page">
                <wp:posOffset>551180</wp:posOffset>
              </wp:positionH>
              <wp:positionV relativeFrom="page">
                <wp:posOffset>786130</wp:posOffset>
              </wp:positionV>
              <wp:extent cx="6102350" cy="109855"/>
              <wp:wrapNone/>
              <wp:docPr id="442" name="Shape 442"/>
              <a:graphic xmlns:a="http://schemas.openxmlformats.org/drawingml/2006/main">
                <a:graphicData uri="http://schemas.microsoft.com/office/word/2010/wordprocessingShape">
                  <wps:wsp>
                    <wps:cNvSpPr txBox="1"/>
                    <wps:spPr>
                      <a:xfrm>
                        <a:ext cx="6102350"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6.25 Pravděpodobnostní indikátory LOLE a EENS pro Progresivní scénář pro období 2025-2040, včetně salda</w:t>
                          </w:r>
                        </w:p>
                      </w:txbxContent>
                    </wps:txbx>
                    <wps:bodyPr wrap="none" lIns="0" tIns="0" rIns="0" bIns="0">
                      <a:spAutoFit/>
                    </wps:bodyPr>
                  </wps:wsp>
                </a:graphicData>
              </a:graphic>
            </wp:anchor>
          </w:drawing>
        </mc:Choice>
        <mc:Fallback>
          <w:pict>
            <v:shape id="_x0000_s1468" type="#_x0000_t202" style="position:absolute;margin-left:43.399999999999999pt;margin-top:61.899999999999999pt;width:480.5pt;height:8.6500000000000004pt;z-index:-188743932;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6.25 Pravděpodobnostní indikátory LOLE a EENS pro Progresivní scénář pro období 2025-2040, včetně salda</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551180</wp:posOffset>
              </wp:positionH>
              <wp:positionV relativeFrom="page">
                <wp:posOffset>334645</wp:posOffset>
              </wp:positionV>
              <wp:extent cx="3264535" cy="79375"/>
              <wp:wrapNone/>
              <wp:docPr id="446" name="Shape 446"/>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pPr>
                          <w:r>
                            <w:rPr>
                              <w:rStyle w:val="CharStyle85"/>
                            </w:rPr>
                            <w:t>HODNOCENÍ ZDROJOVÉ PŘIMĚŘENOSTI ES ČR DO ROKU 2040 (MAF CZ)</w:t>
                          </w:r>
                        </w:p>
                      </w:txbxContent>
                    </wps:txbx>
                    <wps:bodyPr wrap="none" lIns="0" tIns="0" rIns="0" bIns="0">
                      <a:spAutoFit/>
                    </wps:bodyPr>
                  </wps:wsp>
                </a:graphicData>
              </a:graphic>
            </wp:anchor>
          </w:drawing>
        </mc:Choice>
        <mc:Fallback>
          <w:pict>
            <v:shape id="_x0000_s1472" type="#_x0000_t202" style="position:absolute;margin-left:43.399999999999999pt;margin-top:26.350000000000001pt;width:257.05000000000001pt;height:6.25pt;z-index:-188743928;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pPr>
                    <w:r>
                      <w:rPr>
                        <w:rStyle w:val="CharStyle85"/>
                      </w:rPr>
                      <w:t>HODNOCENÍ ZDROJOVÉ PŘIMĚŘENOSTI ES ČR DO ROKU 2040 (MAF CZ)</w:t>
                    </w:r>
                  </w:p>
                </w:txbxContent>
              </v:textbox>
              <w10:wrap anchorx="page" anchory="page"/>
            </v:shape>
          </w:pict>
        </mc:Fallback>
      </mc:AlternateContent>
    </w:r>
    <w:r>
      <mc:AlternateContent>
        <mc:Choice Requires="wps">
          <w:drawing>
            <wp:anchor distT="0" distB="0" distL="0" distR="0" simplePos="0" relativeHeight="62914827" behindDoc="1" locked="0" layoutInCell="1" allowOverlap="1">
              <wp:simplePos x="0" y="0"/>
              <wp:positionH relativeFrom="page">
                <wp:posOffset>551180</wp:posOffset>
              </wp:positionH>
              <wp:positionV relativeFrom="page">
                <wp:posOffset>786130</wp:posOffset>
              </wp:positionV>
              <wp:extent cx="6102350" cy="109855"/>
              <wp:wrapNone/>
              <wp:docPr id="448" name="Shape 448"/>
              <a:graphic xmlns:a="http://schemas.openxmlformats.org/drawingml/2006/main">
                <a:graphicData uri="http://schemas.microsoft.com/office/word/2010/wordprocessingShape">
                  <wps:wsp>
                    <wps:cNvSpPr txBox="1"/>
                    <wps:spPr>
                      <a:xfrm>
                        <a:ext cx="6102350" cy="109855"/>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6.25 Pravděpodobnostní indikátory LOLE a EENS pro Progresivní scénář pro období 2025-2040, včetně salda</w:t>
                          </w:r>
                        </w:p>
                      </w:txbxContent>
                    </wps:txbx>
                    <wps:bodyPr wrap="none" lIns="0" tIns="0" rIns="0" bIns="0">
                      <a:spAutoFit/>
                    </wps:bodyPr>
                  </wps:wsp>
                </a:graphicData>
              </a:graphic>
            </wp:anchor>
          </w:drawing>
        </mc:Choice>
        <mc:Fallback>
          <w:pict>
            <v:shape id="_x0000_s1474" type="#_x0000_t202" style="position:absolute;margin-left:43.399999999999999pt;margin-top:61.899999999999999pt;width:480.5pt;height:8.6500000000000004pt;z-index:-188743926;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6.25 Pravděpodobnostní indikátory LOLE a EENS pro Progresivní scénář pro období 2025-2040, včetně salda</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544830</wp:posOffset>
              </wp:positionH>
              <wp:positionV relativeFrom="page">
                <wp:posOffset>179070</wp:posOffset>
              </wp:positionV>
              <wp:extent cx="3264535" cy="79375"/>
              <wp:wrapNone/>
              <wp:docPr id="454" name="Shape 454"/>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480" type="#_x0000_t202" style="position:absolute;margin-left:42.899999999999999pt;margin-top:14.1pt;width:257.05000000000001pt;height:6.25pt;z-index:-188743920;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538480</wp:posOffset>
              </wp:positionH>
              <wp:positionV relativeFrom="page">
                <wp:posOffset>334645</wp:posOffset>
              </wp:positionV>
              <wp:extent cx="3264535" cy="79375"/>
              <wp:wrapNone/>
              <wp:docPr id="161" name="Shape 161"/>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wps:txbx>
                    <wps:bodyPr lIns="0" tIns="0" rIns="0" bIns="0">
                      <a:spAutoFit/>
                    </wps:bodyPr>
                  </wps:wsp>
                </a:graphicData>
              </a:graphic>
            </wp:anchor>
          </w:drawing>
        </mc:Choice>
        <mc:Fallback>
          <w:pict>
            <v:shape id="_x0000_s1187" type="#_x0000_t202" style="position:absolute;margin-left:42.399999999999999pt;margin-top:26.350000000000001pt;width:257.05000000000001pt;height:6.25pt;z-index:-188744037;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544830</wp:posOffset>
              </wp:positionH>
              <wp:positionV relativeFrom="page">
                <wp:posOffset>179070</wp:posOffset>
              </wp:positionV>
              <wp:extent cx="3264535" cy="79375"/>
              <wp:wrapNone/>
              <wp:docPr id="631" name="Shape 631"/>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657" type="#_x0000_t202" style="position:absolute;margin-left:42.899999999999999pt;margin-top:14.1pt;width:257.05000000000001pt;height:6.25pt;z-index:-188743869;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544830</wp:posOffset>
              </wp:positionH>
              <wp:positionV relativeFrom="page">
                <wp:posOffset>179070</wp:posOffset>
              </wp:positionV>
              <wp:extent cx="3264535" cy="79375"/>
              <wp:wrapNone/>
              <wp:docPr id="647" name="Shape 647"/>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673" type="#_x0000_t202" style="position:absolute;margin-left:42.899999999999999pt;margin-top:14.1pt;width:257.05000000000001pt;height:6.25pt;z-index:-188743863;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538480</wp:posOffset>
              </wp:positionH>
              <wp:positionV relativeFrom="page">
                <wp:posOffset>334645</wp:posOffset>
              </wp:positionV>
              <wp:extent cx="3264535" cy="79375"/>
              <wp:wrapNone/>
              <wp:docPr id="163" name="Shape 163"/>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wps:txbx>
                    <wps:bodyPr lIns="0" tIns="0" rIns="0" bIns="0">
                      <a:spAutoFit/>
                    </wps:bodyPr>
                  </wps:wsp>
                </a:graphicData>
              </a:graphic>
            </wp:anchor>
          </w:drawing>
        </mc:Choice>
        <mc:Fallback>
          <w:pict>
            <v:shape id="_x0000_s1189" type="#_x0000_t202" style="position:absolute;margin-left:42.399999999999999pt;margin-top:26.350000000000001pt;width:257.05000000000001pt;height:6.25pt;z-index:-188744035;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tabs>
                        <w:tab w:pos="5141" w:val="right"/>
                      </w:tabs>
                      <w:bidi w:val="0"/>
                      <w:spacing w:before="0" w:after="0" w:line="240" w:lineRule="auto"/>
                      <w:ind w:left="0" w:right="0" w:firstLine="0"/>
                      <w:jc w:val="left"/>
                    </w:pPr>
                    <w:r>
                      <w:rPr>
                        <w:rStyle w:val="CharStyle85"/>
                      </w:rPr>
                      <w:t>HODNOCENÍ ZDROJOVÉ PŘIMĚŘENOSTI ES ČR DO ROKU 2040 (MAF</w:t>
                      <w:tab/>
                      <w:t>CZ)</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544830</wp:posOffset>
              </wp:positionH>
              <wp:positionV relativeFrom="page">
                <wp:posOffset>179070</wp:posOffset>
              </wp:positionV>
              <wp:extent cx="3264535" cy="79375"/>
              <wp:wrapNone/>
              <wp:docPr id="173" name="Shape 173"/>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199" type="#_x0000_t202" style="position:absolute;margin-left:42.899999999999999pt;margin-top:14.1pt;width:257.05000000000001pt;height:6.25pt;z-index:-188744031;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1176655</wp:posOffset>
              </wp:positionH>
              <wp:positionV relativeFrom="page">
                <wp:posOffset>667385</wp:posOffset>
              </wp:positionV>
              <wp:extent cx="5909945" cy="113030"/>
              <wp:wrapNone/>
              <wp:docPr id="265" name="Shape 265"/>
              <a:graphic xmlns:a="http://schemas.openxmlformats.org/drawingml/2006/main">
                <a:graphicData uri="http://schemas.microsoft.com/office/word/2010/wordprocessingShape">
                  <wps:wsp>
                    <wps:cNvSpPr txBox="1"/>
                    <wps:spPr>
                      <a:xfrm>
                        <a:ext cx="5909945" cy="113030"/>
                      </a:xfrm>
                      <a:prstGeom prst="rect"/>
                      <a:noFill/>
                    </wps:spPr>
                    <wps:txbx>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6.11 Roční využití výkonu jednotlivých kategorií zdrojů v Respondentním scénáři pro období 2025-2040</w:t>
                          </w:r>
                        </w:p>
                      </w:txbxContent>
                    </wps:txbx>
                    <wps:bodyPr wrap="none" lIns="0" tIns="0" rIns="0" bIns="0">
                      <a:spAutoFit/>
                    </wps:bodyPr>
                  </wps:wsp>
                </a:graphicData>
              </a:graphic>
            </wp:anchor>
          </w:drawing>
        </mc:Choice>
        <mc:Fallback>
          <w:pict>
            <v:shape id="_x0000_s1291" type="#_x0000_t202" style="position:absolute;margin-left:92.650000000000006pt;margin-top:52.550000000000004pt;width:465.35000000000002pt;height:8.9000000000000004pt;z-index:-188744016;mso-wrap-style:none;mso-wrap-distance-left:0;mso-wrap-distance-right:0;mso-position-horizontal-relative:page;mso-position-vertical-relative:page" wrapcoords="0 0" filled="f" stroked="f">
              <v:textbox style="mso-fit-shape-to-text:t" inset="0,0,0,0">
                <w:txbxContent>
                  <w:p>
                    <w:pPr>
                      <w:pStyle w:val="Style84"/>
                      <w:keepNext w:val="0"/>
                      <w:keepLines w:val="0"/>
                      <w:widowControl w:val="0"/>
                      <w:shd w:val="clear" w:color="auto" w:fill="auto"/>
                      <w:bidi w:val="0"/>
                      <w:spacing w:before="0" w:after="0" w:line="240" w:lineRule="auto"/>
                      <w:ind w:left="0" w:right="0" w:firstLine="0"/>
                      <w:jc w:val="left"/>
                      <w:rPr>
                        <w:sz w:val="18"/>
                        <w:szCs w:val="18"/>
                      </w:rPr>
                    </w:pPr>
                    <w:r>
                      <w:rPr>
                        <w:rStyle w:val="CharStyle85"/>
                        <w:b/>
                        <w:bCs/>
                        <w:sz w:val="18"/>
                        <w:szCs w:val="18"/>
                      </w:rPr>
                      <w:t>Obr. 6.11 Roční využití výkonu jednotlivých kategorií zdrojů v Respondentním scénáři pro období 2025-2040</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544830</wp:posOffset>
              </wp:positionH>
              <wp:positionV relativeFrom="page">
                <wp:posOffset>179070</wp:posOffset>
              </wp:positionV>
              <wp:extent cx="3264535" cy="79375"/>
              <wp:wrapNone/>
              <wp:docPr id="269" name="Shape 269"/>
              <a:graphic xmlns:a="http://schemas.openxmlformats.org/drawingml/2006/main">
                <a:graphicData uri="http://schemas.microsoft.com/office/word/2010/wordprocessingShape">
                  <wps:wsp>
                    <wps:cNvSpPr txBox="1"/>
                    <wps:spPr>
                      <a:xfrm>
                        <a:ext cx="3264535" cy="79375"/>
                      </a:xfrm>
                      <a:prstGeom prst="rect"/>
                      <a:noFill/>
                    </wps:spPr>
                    <wps:txbx>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wps:txbx>
                    <wps:bodyPr lIns="0" tIns="0" rIns="0" bIns="0">
                      <a:spAutoFit/>
                    </wps:bodyPr>
                  </wps:wsp>
                </a:graphicData>
              </a:graphic>
            </wp:anchor>
          </w:drawing>
        </mc:Choice>
        <mc:Fallback>
          <w:pict>
            <v:shape id="_x0000_s1295" type="#_x0000_t202" style="position:absolute;margin-left:42.899999999999999pt;margin-top:14.1pt;width:257.05000000000001pt;height:6.25pt;z-index:-188744012;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tabs>
                        <w:tab w:pos="5141" w:val="right"/>
                      </w:tabs>
                      <w:bidi w:val="0"/>
                      <w:spacing w:before="0" w:after="0" w:line="240" w:lineRule="auto"/>
                      <w:ind w:left="0" w:right="0" w:firstLine="0"/>
                      <w:jc w:val="left"/>
                      <w:rPr>
                        <w:sz w:val="11"/>
                        <w:szCs w:val="11"/>
                      </w:rPr>
                    </w:pPr>
                    <w:r>
                      <w:rPr>
                        <w:rStyle w:val="CharStyle10"/>
                        <w:rFonts w:ascii="Arial" w:eastAsia="Arial" w:hAnsi="Arial" w:cs="Arial"/>
                        <w:color w:val="006AB4"/>
                        <w:sz w:val="11"/>
                        <w:szCs w:val="11"/>
                      </w:rPr>
                      <w:t>HODNOCENÍ ZDROJOVÉ PŘIMĚŘENOSTI ES ČR DO ROKU 2040 (MAF</w:t>
                      <w:tab/>
                      <w:t>CZ)</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cs-CZ" w:eastAsia="cs-CZ" w:bidi="cs-CZ"/>
      </w:rPr>
    </w:lvl>
    <w:lvl w:ilvl="1">
      <w:start w:val="1"/>
      <w:numFmt w:val="decimal"/>
      <w:lvlText w:val="%1.%2"/>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lvl w:ilvl="3">
      <w:start w:val="1"/>
      <w:numFmt w:val="decimal"/>
      <w:lvlText w:val="%1.%2.%3.%4"/>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2">
    <w:multiLevelType w:val="multilevel"/>
    <w:lvl w:ilvl="0">
      <w:start w:val="1"/>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lvl w:ilvl="1">
      <w:start w:val="1"/>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lvl>
  </w:abstractNum>
  <w:abstractNum w:abstractNumId="4">
    <w:multiLevelType w:val="multilevel"/>
    <w:lvl w:ilvl="0">
      <w:start w:val="2"/>
      <w:numFmt w:val="decimal"/>
      <w:lvlText w:val="%1."/>
    </w:lvl>
    <w:lvl w:ilvl="1">
      <w:start w:val="3"/>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lvl>
  </w:abstractNum>
  <w:abstractNum w:abstractNumId="6">
    <w:multiLevelType w:val="multilevel"/>
    <w:lvl w:ilvl="0">
      <w:start w:val="3"/>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lvl w:ilvl="1">
      <w:start w:val="1"/>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8">
    <w:multiLevelType w:val="multilevel"/>
    <w:lvl w:ilvl="0">
      <w:start w:val="1"/>
      <w:numFmt w:val="lowerLetter"/>
      <w:lvlText w:val="%1)"/>
      <w:rPr>
        <w:rFonts w:ascii="Arial" w:eastAsia="Arial" w:hAnsi="Arial" w:cs="Arial"/>
        <w:b/>
        <w:bCs/>
        <w:i w:val="0"/>
        <w:iCs w:val="0"/>
        <w:smallCaps w:val="0"/>
        <w:strike w:val="0"/>
        <w:color w:val="000000"/>
        <w:spacing w:val="0"/>
        <w:w w:val="100"/>
        <w:position w:val="0"/>
        <w:sz w:val="18"/>
        <w:szCs w:val="18"/>
        <w:u w:val="none"/>
        <w:shd w:val="clear" w:color="auto" w:fill="auto"/>
        <w:lang w:val="cs-CZ" w:eastAsia="cs-CZ" w:bidi="cs-CZ"/>
      </w:rPr>
    </w:lvl>
  </w:abstractNum>
  <w:abstractNum w:abstractNumId="10">
    <w:multiLevelType w:val="multilevel"/>
    <w:lvl w:ilvl="0">
      <w:start w:val="1"/>
      <w:numFmt w:val="lowerLetter"/>
      <w:lvlText w:val="%1)"/>
      <w:rPr>
        <w:rFonts w:ascii="Arial" w:eastAsia="Arial" w:hAnsi="Arial" w:cs="Arial"/>
        <w:b/>
        <w:bCs/>
        <w:i w:val="0"/>
        <w:iCs w:val="0"/>
        <w:smallCaps w:val="0"/>
        <w:strike w:val="0"/>
        <w:color w:val="000000"/>
        <w:spacing w:val="0"/>
        <w:w w:val="100"/>
        <w:position w:val="0"/>
        <w:sz w:val="18"/>
        <w:szCs w:val="18"/>
        <w:u w:val="none"/>
        <w:shd w:val="clear" w:color="auto" w:fill="auto"/>
        <w:lang w:val="cs-CZ" w:eastAsia="cs-CZ" w:bidi="cs-CZ"/>
      </w:rPr>
    </w:lvl>
  </w:abstractNum>
  <w:abstractNum w:abstractNumId="12">
    <w:multiLevelType w:val="multilevel"/>
    <w:lvl w:ilvl="0">
      <w:start w:val="4"/>
      <w:numFmt w:val="decimal"/>
      <w:lvlText w:val="%1"/>
    </w:lvl>
    <w:lvl w:ilvl="1">
      <w:start w:val="4"/>
      <w:numFmt w:val="decimal"/>
      <w:lvlText w:val="%1.%2"/>
    </w:lvl>
    <w:lvl w:ilvl="2">
      <w:start w:val="3"/>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14">
    <w:multiLevelType w:val="multilevel"/>
    <w:lvl w:ilvl="0">
      <w:start w:val="1"/>
      <w:numFmt w:val="decimal"/>
      <w:lvlText w:val="%1"/>
      <w:rPr>
        <w:rFonts w:ascii="Courier New" w:eastAsia="Courier New" w:hAnsi="Courier New" w:cs="Courier New"/>
        <w:b w:val="0"/>
        <w:bCs w:val="0"/>
        <w:i w:val="0"/>
        <w:iCs w:val="0"/>
        <w:smallCaps w:val="0"/>
        <w:strike w:val="0"/>
        <w:color w:val="B7B8B8"/>
        <w:spacing w:val="0"/>
        <w:w w:val="100"/>
        <w:position w:val="0"/>
        <w:sz w:val="60"/>
        <w:szCs w:val="60"/>
        <w:u w:val="none"/>
        <w:shd w:val="clear" w:color="auto" w:fill="auto"/>
        <w:lang w:val="cs-CZ" w:eastAsia="cs-CZ" w:bidi="cs-CZ"/>
      </w:rPr>
    </w:lvl>
    <w:lvl w:ilvl="1">
      <w:start w:val="5"/>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16">
    <w:multiLevelType w:val="multilevel"/>
    <w:lvl w:ilvl="0">
      <w:start w:val="1"/>
      <w:numFmt w:val="lowerLetter"/>
      <w:lvlText w:val="%1)"/>
      <w:rPr>
        <w:rFonts w:ascii="Arial" w:eastAsia="Arial" w:hAnsi="Arial" w:cs="Arial"/>
        <w:b/>
        <w:bCs/>
        <w:i w:val="0"/>
        <w:iCs w:val="0"/>
        <w:smallCaps w:val="0"/>
        <w:strike w:val="0"/>
        <w:color w:val="000000"/>
        <w:spacing w:val="0"/>
        <w:w w:val="100"/>
        <w:position w:val="0"/>
        <w:sz w:val="18"/>
        <w:szCs w:val="18"/>
        <w:u w:val="none"/>
        <w:shd w:val="clear" w:color="auto" w:fill="auto"/>
        <w:lang w:val="cs-CZ" w:eastAsia="cs-CZ" w:bidi="cs-CZ"/>
      </w:rPr>
    </w:lvl>
  </w:abstractNum>
  <w:abstractNum w:abstractNumId="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20">
    <w:multiLevelType w:val="multilevel"/>
    <w:lvl w:ilvl="0">
      <w:start w:val="5"/>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lvl w:ilvl="1">
      <w:start w:val="1"/>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22">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24">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26">
    <w:multiLevelType w:val="multilevel"/>
    <w:lvl w:ilvl="0">
      <w:start w:val="5"/>
      <w:numFmt w:val="decimal"/>
      <w:lvlText w:val="%1"/>
    </w:lvl>
    <w:lvl w:ilvl="1">
      <w:start w:val="1"/>
      <w:numFmt w:val="decimal"/>
      <w:lvlText w:val="%1.%2"/>
    </w:lvl>
    <w:lvl w:ilvl="2">
      <w:start w:val="2"/>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28">
    <w:multiLevelType w:val="multilevel"/>
    <w:lvl w:ilvl="0">
      <w:start w:val="6"/>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lvl w:ilvl="1">
      <w:start w:val="1"/>
      <w:numFmt w:val="decimal"/>
      <w:lvlText w:val="%1.%2"/>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lvl w:ilvl="2">
      <w:start w:val="1"/>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30">
    <w:multiLevelType w:val="multilevel"/>
    <w:lvl w:ilvl="0">
      <w:start w:val="1"/>
      <w:numFmt w:val="bullet"/>
      <w:lvlText w:val="-"/>
      <w:rPr>
        <w:rFonts w:ascii="Arial" w:eastAsia="Arial" w:hAnsi="Arial" w:cs="Arial"/>
        <w:b w:val="0"/>
        <w:bCs w:val="0"/>
        <w:i w:val="0"/>
        <w:iCs w:val="0"/>
        <w:smallCaps w:val="0"/>
        <w:strike w:val="0"/>
        <w:color w:val="006AB4"/>
        <w:spacing w:val="0"/>
        <w:w w:val="100"/>
        <w:position w:val="0"/>
        <w:sz w:val="22"/>
        <w:szCs w:val="22"/>
        <w:u w:val="none"/>
        <w:shd w:val="clear" w:color="auto" w:fill="auto"/>
        <w:lang w:val="cs-CZ" w:eastAsia="cs-CZ" w:bidi="cs-CZ"/>
      </w:rPr>
    </w:lvl>
  </w:abstractNum>
  <w:abstractNum w:abstractNumId="32">
    <w:multiLevelType w:val="multilevel"/>
    <w:lvl w:ilvl="0">
      <w:start w:val="6"/>
      <w:numFmt w:val="decimal"/>
      <w:lvlText w:val="%1."/>
    </w:lvl>
    <w:lvl w:ilvl="1">
      <w:start w:val="3"/>
      <w:numFmt w:val="decimal"/>
      <w:lvlText w:val="%1.%2"/>
    </w:lvl>
    <w:lvl w:ilvl="2">
      <w:start w:val="3"/>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34">
    <w:multiLevelType w:val="multilevel"/>
    <w:lvl w:ilvl="0">
      <w:start w:val="6"/>
      <w:numFmt w:val="decimal"/>
      <w:lvlText w:val="%1"/>
    </w:lvl>
    <w:lvl w:ilvl="1">
      <w:start w:val="4"/>
      <w:numFmt w:val="decimal"/>
      <w:lvlText w:val="%1.%2"/>
    </w:lvl>
    <w:lvl w:ilvl="2">
      <w:start w:val="1"/>
      <w:numFmt w:val="decimal"/>
      <w:lvlText w:val="%1.%2.%3"/>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3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3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40">
    <w:multiLevelType w:val="multilevel"/>
    <w:lvl w:ilvl="0">
      <w:start w:val="6"/>
      <w:numFmt w:val="decimal"/>
      <w:lvlText w:val="%1"/>
    </w:lvl>
    <w:lvl w:ilvl="1">
      <w:start w:val="4"/>
      <w:numFmt w:val="decimal"/>
      <w:lvlText w:val="%1.%2"/>
    </w:lvl>
    <w:lvl w:ilvl="2">
      <w:start w:val="6"/>
      <w:numFmt w:val="decimal"/>
      <w:lvlText w:val="%1.%2.%3"/>
    </w:lvl>
    <w:lvl w:ilvl="3">
      <w:start w:val="1"/>
      <w:numFmt w:val="decimal"/>
      <w:lvlText w:val="%1.%2.%3.%4"/>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42">
    <w:multiLevelType w:val="multilevel"/>
    <w:lvl w:ilvl="0">
      <w:start w:val="1"/>
      <w:numFmt w:val="decimal"/>
      <w:lvlText w:val="%1)"/>
      <w:rPr>
        <w:rFonts w:ascii="Arial" w:eastAsia="Arial" w:hAnsi="Arial" w:cs="Arial"/>
        <w:b/>
        <w:bCs/>
        <w:i w:val="0"/>
        <w:iCs w:val="0"/>
        <w:smallCaps w:val="0"/>
        <w:strike w:val="0"/>
        <w:color w:val="006AB4"/>
        <w:spacing w:val="0"/>
        <w:w w:val="100"/>
        <w:position w:val="0"/>
        <w:sz w:val="18"/>
        <w:szCs w:val="18"/>
        <w:u w:val="none"/>
        <w:shd w:val="clear" w:color="auto" w:fill="auto"/>
        <w:lang w:val="cs-CZ" w:eastAsia="cs-CZ" w:bidi="cs-CZ"/>
      </w:rPr>
    </w:lvl>
  </w:abstractNum>
  <w:abstractNum w:abstractNumId="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4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48">
    <w:multiLevelType w:val="multilevel"/>
    <w:lvl w:ilvl="0">
      <w:start w:val="1"/>
      <w:numFmt w:val="bullet"/>
      <w:lvlText w:val="V"/>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50">
    <w:multiLevelType w:val="multilevel"/>
    <w:lvl w:ilvl="0">
      <w:start w:val="8"/>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abstractNum>
  <w:abstractNum w:abstractNumId="52">
    <w:multiLevelType w:val="multilevel"/>
    <w:lvl w:ilvl="0">
      <w:start w:val="11"/>
      <w:numFmt w:val="decimal"/>
      <w:lvlText w:val="%1."/>
      <w:rPr>
        <w:rFonts w:ascii="Segoe UI" w:eastAsia="Segoe UI" w:hAnsi="Segoe UI" w:cs="Segoe UI"/>
        <w:b/>
        <w:bCs/>
        <w:i w:val="0"/>
        <w:iCs w:val="0"/>
        <w:smallCaps w:val="0"/>
        <w:strike w:val="0"/>
        <w:color w:val="006AB4"/>
        <w:spacing w:val="0"/>
        <w:w w:val="100"/>
        <w:position w:val="0"/>
        <w:sz w:val="22"/>
        <w:szCs w:val="22"/>
        <w:u w:val="none"/>
        <w:shd w:val="clear" w:color="auto" w:fill="auto"/>
        <w:lang w:val="cs-CZ" w:eastAsia="cs-CZ" w:bidi="cs-CZ"/>
      </w:rPr>
    </w:lvl>
  </w:abstractNum>
  <w:abstractNum w:abstractNumId="54">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8"/>
        <w:szCs w:val="18"/>
        <w:u w:val="none"/>
        <w:shd w:val="clear" w:color="auto" w:fill="auto"/>
        <w:lang w:val="cs-CZ" w:eastAsia="cs-CZ" w:bidi="cs-CZ"/>
      </w:rPr>
    </w:lvl>
  </w:abstractNum>
  <w:abstractNum w:abstractNumId="56">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5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abstractNum w:abstractNumId="60">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cs-CZ" w:eastAsia="cs-CZ" w:bidi="cs-CZ"/>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cs-CZ" w:eastAsia="cs-CZ" w:bidi="cs-CZ"/>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cs-CZ" w:eastAsia="cs-CZ" w:bidi="cs-CZ"/>
    </w:rPr>
  </w:style>
  <w:style w:type="character" w:customStyle="1" w:styleId="CharStyle3">
    <w:name w:val="Picture caption_"/>
    <w:basedOn w:val="DefaultParagraphFont"/>
    <w:link w:val="Style2"/>
    <w:rPr>
      <w:rFonts w:ascii="Arial" w:eastAsia="Arial" w:hAnsi="Arial" w:cs="Arial"/>
      <w:b/>
      <w:bCs/>
      <w:i w:val="0"/>
      <w:iCs w:val="0"/>
      <w:smallCaps w:val="0"/>
      <w:strike w:val="0"/>
      <w:color w:val="006AB4"/>
      <w:sz w:val="18"/>
      <w:szCs w:val="18"/>
      <w:u w:val="none"/>
    </w:rPr>
  </w:style>
  <w:style w:type="character" w:customStyle="1" w:styleId="CharStyle6">
    <w:name w:val="Other_"/>
    <w:basedOn w:val="DefaultParagraphFont"/>
    <w:link w:val="Style5"/>
    <w:rPr>
      <w:rFonts w:ascii="Arial" w:eastAsia="Arial" w:hAnsi="Arial" w:cs="Arial"/>
      <w:b w:val="0"/>
      <w:bCs w:val="0"/>
      <w:i w:val="0"/>
      <w:iCs w:val="0"/>
      <w:smallCaps w:val="0"/>
      <w:strike w:val="0"/>
      <w:sz w:val="18"/>
      <w:szCs w:val="18"/>
      <w:u w:val="none"/>
    </w:rPr>
  </w:style>
  <w:style w:type="character" w:customStyle="1" w:styleId="CharStyle10">
    <w:name w:val="Header or footer (2)_"/>
    <w:basedOn w:val="DefaultParagraphFont"/>
    <w:link w:val="Style9"/>
    <w:rPr>
      <w:rFonts w:ascii="Times New Roman" w:eastAsia="Times New Roman" w:hAnsi="Times New Roman" w:cs="Times New Roman"/>
      <w:b w:val="0"/>
      <w:bCs w:val="0"/>
      <w:i w:val="0"/>
      <w:iCs w:val="0"/>
      <w:smallCaps w:val="0"/>
      <w:strike w:val="0"/>
      <w:sz w:val="20"/>
      <w:szCs w:val="20"/>
      <w:u w:val="none"/>
    </w:rPr>
  </w:style>
  <w:style w:type="character" w:customStyle="1" w:styleId="CharStyle13">
    <w:name w:val="Table of contents_"/>
    <w:basedOn w:val="DefaultParagraphFont"/>
    <w:link w:val="Style12"/>
    <w:rPr>
      <w:rFonts w:ascii="Arial" w:eastAsia="Arial" w:hAnsi="Arial" w:cs="Arial"/>
      <w:b w:val="0"/>
      <w:bCs w:val="0"/>
      <w:i w:val="0"/>
      <w:iCs w:val="0"/>
      <w:smallCaps w:val="0"/>
      <w:strike w:val="0"/>
      <w:sz w:val="18"/>
      <w:szCs w:val="18"/>
      <w:u w:val="none"/>
    </w:rPr>
  </w:style>
  <w:style w:type="character" w:customStyle="1" w:styleId="CharStyle16">
    <w:name w:val="Heading #1_"/>
    <w:basedOn w:val="DefaultParagraphFont"/>
    <w:link w:val="Style15"/>
    <w:rPr>
      <w:rFonts w:ascii="Arial" w:eastAsia="Arial" w:hAnsi="Arial" w:cs="Arial"/>
      <w:b/>
      <w:bCs/>
      <w:i w:val="0"/>
      <w:iCs w:val="0"/>
      <w:smallCaps w:val="0"/>
      <w:strike w:val="0"/>
      <w:color w:val="006AB4"/>
      <w:sz w:val="18"/>
      <w:szCs w:val="18"/>
      <w:u w:val="none"/>
    </w:rPr>
  </w:style>
  <w:style w:type="character" w:customStyle="1" w:styleId="CharStyle20">
    <w:name w:val="Body text_"/>
    <w:basedOn w:val="DefaultParagraphFont"/>
    <w:link w:val="Style19"/>
    <w:rPr>
      <w:rFonts w:ascii="Arial" w:eastAsia="Arial" w:hAnsi="Arial" w:cs="Arial"/>
      <w:b w:val="0"/>
      <w:bCs w:val="0"/>
      <w:i w:val="0"/>
      <w:iCs w:val="0"/>
      <w:smallCaps w:val="0"/>
      <w:strike w:val="0"/>
      <w:sz w:val="18"/>
      <w:szCs w:val="18"/>
      <w:u w:val="none"/>
    </w:rPr>
  </w:style>
  <w:style w:type="character" w:customStyle="1" w:styleId="CharStyle28">
    <w:name w:val="Heading #2_"/>
    <w:basedOn w:val="DefaultParagraphFont"/>
    <w:link w:val="Style27"/>
    <w:rPr>
      <w:rFonts w:ascii="Arial" w:eastAsia="Arial" w:hAnsi="Arial" w:cs="Arial"/>
      <w:b/>
      <w:bCs/>
      <w:i w:val="0"/>
      <w:iCs w:val="0"/>
      <w:smallCaps w:val="0"/>
      <w:strike w:val="0"/>
      <w:color w:val="006AB4"/>
      <w:sz w:val="18"/>
      <w:szCs w:val="18"/>
      <w:u w:val="none"/>
    </w:rPr>
  </w:style>
  <w:style w:type="character" w:customStyle="1" w:styleId="CharStyle38">
    <w:name w:val="Body text (2)_"/>
    <w:basedOn w:val="DefaultParagraphFont"/>
    <w:link w:val="Style37"/>
    <w:rPr>
      <w:rFonts w:ascii="Arial" w:eastAsia="Arial" w:hAnsi="Arial" w:cs="Arial"/>
      <w:b/>
      <w:bCs/>
      <w:i w:val="0"/>
      <w:iCs w:val="0"/>
      <w:smallCaps w:val="0"/>
      <w:strike w:val="0"/>
      <w:sz w:val="13"/>
      <w:szCs w:val="13"/>
      <w:u w:val="none"/>
    </w:rPr>
  </w:style>
  <w:style w:type="character" w:customStyle="1" w:styleId="CharStyle45">
    <w:name w:val="Table caption_"/>
    <w:basedOn w:val="DefaultParagraphFont"/>
    <w:link w:val="Style44"/>
    <w:rPr>
      <w:rFonts w:ascii="Arial" w:eastAsia="Arial" w:hAnsi="Arial" w:cs="Arial"/>
      <w:b/>
      <w:bCs/>
      <w:i w:val="0"/>
      <w:iCs w:val="0"/>
      <w:smallCaps w:val="0"/>
      <w:strike w:val="0"/>
      <w:color w:val="006AB4"/>
      <w:sz w:val="18"/>
      <w:szCs w:val="18"/>
      <w:u w:val="none"/>
    </w:rPr>
  </w:style>
  <w:style w:type="character" w:customStyle="1" w:styleId="CharStyle69">
    <w:name w:val="Body text (6)_"/>
    <w:basedOn w:val="DefaultParagraphFont"/>
    <w:link w:val="Style68"/>
    <w:rPr>
      <w:b w:val="0"/>
      <w:bCs w:val="0"/>
      <w:i w:val="0"/>
      <w:iCs w:val="0"/>
      <w:smallCaps w:val="0"/>
      <w:strike w:val="0"/>
      <w:color w:val="B7B8B8"/>
      <w:sz w:val="38"/>
      <w:szCs w:val="38"/>
      <w:u w:val="none"/>
    </w:rPr>
  </w:style>
  <w:style w:type="character" w:customStyle="1" w:styleId="CharStyle76">
    <w:name w:val="Body text (5)_"/>
    <w:basedOn w:val="DefaultParagraphFont"/>
    <w:link w:val="Style75"/>
    <w:rPr>
      <w:rFonts w:ascii="Arial" w:eastAsia="Arial" w:hAnsi="Arial" w:cs="Arial"/>
      <w:b w:val="0"/>
      <w:bCs w:val="0"/>
      <w:i w:val="0"/>
      <w:iCs w:val="0"/>
      <w:smallCaps w:val="0"/>
      <w:strike w:val="0"/>
      <w:sz w:val="16"/>
      <w:szCs w:val="16"/>
      <w:u w:val="none"/>
    </w:rPr>
  </w:style>
  <w:style w:type="character" w:customStyle="1" w:styleId="CharStyle85">
    <w:name w:val="Header or footer_"/>
    <w:basedOn w:val="DefaultParagraphFont"/>
    <w:link w:val="Style84"/>
    <w:rPr>
      <w:rFonts w:ascii="Arial" w:eastAsia="Arial" w:hAnsi="Arial" w:cs="Arial"/>
      <w:b w:val="0"/>
      <w:bCs w:val="0"/>
      <w:i w:val="0"/>
      <w:iCs w:val="0"/>
      <w:smallCaps w:val="0"/>
      <w:strike w:val="0"/>
      <w:color w:val="006AB4"/>
      <w:sz w:val="11"/>
      <w:szCs w:val="11"/>
      <w:u w:val="none"/>
    </w:rPr>
  </w:style>
  <w:style w:type="character" w:customStyle="1" w:styleId="CharStyle87">
    <w:name w:val="Body text (7)_"/>
    <w:basedOn w:val="DefaultParagraphFont"/>
    <w:link w:val="Style86"/>
    <w:rPr>
      <w:rFonts w:ascii="Arial" w:eastAsia="Arial" w:hAnsi="Arial" w:cs="Arial"/>
      <w:b/>
      <w:bCs/>
      <w:i w:val="0"/>
      <w:iCs w:val="0"/>
      <w:smallCaps w:val="0"/>
      <w:strike w:val="0"/>
      <w:color w:val="006AB4"/>
      <w:sz w:val="8"/>
      <w:szCs w:val="8"/>
      <w:u w:val="none"/>
    </w:rPr>
  </w:style>
  <w:style w:type="character" w:customStyle="1" w:styleId="CharStyle89">
    <w:name w:val="Body text (8)_"/>
    <w:basedOn w:val="DefaultParagraphFont"/>
    <w:link w:val="Style88"/>
    <w:rPr>
      <w:rFonts w:ascii="Times New Roman" w:eastAsia="Times New Roman" w:hAnsi="Times New Roman" w:cs="Times New Roman"/>
      <w:b w:val="0"/>
      <w:bCs w:val="0"/>
      <w:i w:val="0"/>
      <w:iCs w:val="0"/>
      <w:smallCaps w:val="0"/>
      <w:strike w:val="0"/>
      <w:color w:val="006AB4"/>
      <w:sz w:val="20"/>
      <w:szCs w:val="20"/>
      <w:u w:val="none"/>
    </w:rPr>
  </w:style>
  <w:style w:type="character" w:customStyle="1" w:styleId="CharStyle120">
    <w:name w:val="Body text (9)_"/>
    <w:basedOn w:val="DefaultParagraphFont"/>
    <w:link w:val="Style119"/>
    <w:rPr>
      <w:rFonts w:ascii="Arial" w:eastAsia="Arial" w:hAnsi="Arial" w:cs="Arial"/>
      <w:b w:val="0"/>
      <w:bCs w:val="0"/>
      <w:i w:val="0"/>
      <w:iCs w:val="0"/>
      <w:smallCaps w:val="0"/>
      <w:strike w:val="0"/>
      <w:sz w:val="10"/>
      <w:szCs w:val="10"/>
      <w:u w:val="none"/>
    </w:rPr>
  </w:style>
  <w:style w:type="paragraph" w:customStyle="1" w:styleId="Style2">
    <w:name w:val="Picture caption"/>
    <w:basedOn w:val="Normal"/>
    <w:link w:val="CharStyle3"/>
    <w:pPr>
      <w:widowControl w:val="0"/>
      <w:shd w:val="clear" w:color="auto" w:fill="auto"/>
    </w:pPr>
    <w:rPr>
      <w:rFonts w:ascii="Arial" w:eastAsia="Arial" w:hAnsi="Arial" w:cs="Arial"/>
      <w:b/>
      <w:bCs/>
      <w:i w:val="0"/>
      <w:iCs w:val="0"/>
      <w:smallCaps w:val="0"/>
      <w:strike w:val="0"/>
      <w:color w:val="006AB4"/>
      <w:sz w:val="18"/>
      <w:szCs w:val="18"/>
      <w:u w:val="none"/>
    </w:rPr>
  </w:style>
  <w:style w:type="paragraph" w:customStyle="1" w:styleId="Style5">
    <w:name w:val="Other"/>
    <w:basedOn w:val="Normal"/>
    <w:link w:val="CharStyle6"/>
    <w:pPr>
      <w:widowControl w:val="0"/>
      <w:shd w:val="clear" w:color="auto" w:fill="auto"/>
      <w:spacing w:after="240" w:line="302" w:lineRule="auto"/>
    </w:pPr>
    <w:rPr>
      <w:rFonts w:ascii="Arial" w:eastAsia="Arial" w:hAnsi="Arial" w:cs="Arial"/>
      <w:b w:val="0"/>
      <w:bCs w:val="0"/>
      <w:i w:val="0"/>
      <w:iCs w:val="0"/>
      <w:smallCaps w:val="0"/>
      <w:strike w:val="0"/>
      <w:sz w:val="18"/>
      <w:szCs w:val="18"/>
      <w:u w:val="none"/>
    </w:rPr>
  </w:style>
  <w:style w:type="paragraph" w:customStyle="1" w:styleId="Style9">
    <w:name w:val="Header or footer (2)"/>
    <w:basedOn w:val="Normal"/>
    <w:link w:val="CharStyle10"/>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2">
    <w:name w:val="Table of contents"/>
    <w:basedOn w:val="Normal"/>
    <w:link w:val="CharStyle13"/>
    <w:pPr>
      <w:widowControl w:val="0"/>
      <w:shd w:val="clear" w:color="auto" w:fill="auto"/>
    </w:pPr>
    <w:rPr>
      <w:rFonts w:ascii="Arial" w:eastAsia="Arial" w:hAnsi="Arial" w:cs="Arial"/>
      <w:b w:val="0"/>
      <w:bCs w:val="0"/>
      <w:i w:val="0"/>
      <w:iCs w:val="0"/>
      <w:smallCaps w:val="0"/>
      <w:strike w:val="0"/>
      <w:sz w:val="18"/>
      <w:szCs w:val="18"/>
      <w:u w:val="none"/>
    </w:rPr>
  </w:style>
  <w:style w:type="paragraph" w:customStyle="1" w:styleId="Style15">
    <w:name w:val="Heading #1"/>
    <w:basedOn w:val="Normal"/>
    <w:link w:val="CharStyle16"/>
    <w:pPr>
      <w:widowControl w:val="0"/>
      <w:shd w:val="clear" w:color="auto" w:fill="auto"/>
      <w:spacing w:after="350"/>
      <w:outlineLvl w:val="0"/>
    </w:pPr>
    <w:rPr>
      <w:rFonts w:ascii="Arial" w:eastAsia="Arial" w:hAnsi="Arial" w:cs="Arial"/>
      <w:b/>
      <w:bCs/>
      <w:i w:val="0"/>
      <w:iCs w:val="0"/>
      <w:smallCaps w:val="0"/>
      <w:strike w:val="0"/>
      <w:color w:val="006AB4"/>
      <w:sz w:val="18"/>
      <w:szCs w:val="18"/>
      <w:u w:val="none"/>
    </w:rPr>
  </w:style>
  <w:style w:type="paragraph" w:styleId="Style19">
    <w:name w:val="Body text"/>
    <w:basedOn w:val="Normal"/>
    <w:link w:val="CharStyle20"/>
    <w:qFormat/>
    <w:pPr>
      <w:widowControl w:val="0"/>
      <w:shd w:val="clear" w:color="auto" w:fill="auto"/>
      <w:spacing w:after="240" w:line="302" w:lineRule="auto"/>
    </w:pPr>
    <w:rPr>
      <w:rFonts w:ascii="Arial" w:eastAsia="Arial" w:hAnsi="Arial" w:cs="Arial"/>
      <w:b w:val="0"/>
      <w:bCs w:val="0"/>
      <w:i w:val="0"/>
      <w:iCs w:val="0"/>
      <w:smallCaps w:val="0"/>
      <w:strike w:val="0"/>
      <w:sz w:val="18"/>
      <w:szCs w:val="18"/>
      <w:u w:val="none"/>
    </w:rPr>
  </w:style>
  <w:style w:type="paragraph" w:customStyle="1" w:styleId="Style27">
    <w:name w:val="Heading #2"/>
    <w:basedOn w:val="Normal"/>
    <w:link w:val="CharStyle28"/>
    <w:pPr>
      <w:widowControl w:val="0"/>
      <w:shd w:val="clear" w:color="auto" w:fill="auto"/>
      <w:spacing w:line="302" w:lineRule="auto"/>
      <w:outlineLvl w:val="1"/>
    </w:pPr>
    <w:rPr>
      <w:rFonts w:ascii="Arial" w:eastAsia="Arial" w:hAnsi="Arial" w:cs="Arial"/>
      <w:b/>
      <w:bCs/>
      <w:i w:val="0"/>
      <w:iCs w:val="0"/>
      <w:smallCaps w:val="0"/>
      <w:strike w:val="0"/>
      <w:color w:val="006AB4"/>
      <w:sz w:val="18"/>
      <w:szCs w:val="18"/>
      <w:u w:val="none"/>
    </w:rPr>
  </w:style>
  <w:style w:type="paragraph" w:customStyle="1" w:styleId="Style37">
    <w:name w:val="Body text (2)"/>
    <w:basedOn w:val="Normal"/>
    <w:link w:val="CharStyle38"/>
    <w:pPr>
      <w:widowControl w:val="0"/>
      <w:shd w:val="clear" w:color="auto" w:fill="auto"/>
      <w:spacing w:line="262" w:lineRule="auto"/>
      <w:jc w:val="center"/>
    </w:pPr>
    <w:rPr>
      <w:rFonts w:ascii="Arial" w:eastAsia="Arial" w:hAnsi="Arial" w:cs="Arial"/>
      <w:b/>
      <w:bCs/>
      <w:i w:val="0"/>
      <w:iCs w:val="0"/>
      <w:smallCaps w:val="0"/>
      <w:strike w:val="0"/>
      <w:sz w:val="13"/>
      <w:szCs w:val="13"/>
      <w:u w:val="none"/>
    </w:rPr>
  </w:style>
  <w:style w:type="paragraph" w:customStyle="1" w:styleId="Style44">
    <w:name w:val="Table caption"/>
    <w:basedOn w:val="Normal"/>
    <w:link w:val="CharStyle45"/>
    <w:pPr>
      <w:widowControl w:val="0"/>
      <w:shd w:val="clear" w:color="auto" w:fill="auto"/>
    </w:pPr>
    <w:rPr>
      <w:rFonts w:ascii="Arial" w:eastAsia="Arial" w:hAnsi="Arial" w:cs="Arial"/>
      <w:b/>
      <w:bCs/>
      <w:i w:val="0"/>
      <w:iCs w:val="0"/>
      <w:smallCaps w:val="0"/>
      <w:strike w:val="0"/>
      <w:color w:val="006AB4"/>
      <w:sz w:val="18"/>
      <w:szCs w:val="18"/>
      <w:u w:val="none"/>
    </w:rPr>
  </w:style>
  <w:style w:type="paragraph" w:customStyle="1" w:styleId="Style68">
    <w:name w:val="Body text (6)"/>
    <w:basedOn w:val="Normal"/>
    <w:link w:val="CharStyle69"/>
    <w:pPr>
      <w:widowControl w:val="0"/>
      <w:shd w:val="clear" w:color="auto" w:fill="auto"/>
      <w:spacing w:after="80"/>
      <w:ind w:left="2240"/>
    </w:pPr>
    <w:rPr>
      <w:b w:val="0"/>
      <w:bCs w:val="0"/>
      <w:i w:val="0"/>
      <w:iCs w:val="0"/>
      <w:smallCaps w:val="0"/>
      <w:strike w:val="0"/>
      <w:color w:val="B7B8B8"/>
      <w:sz w:val="38"/>
      <w:szCs w:val="38"/>
      <w:u w:val="none"/>
    </w:rPr>
  </w:style>
  <w:style w:type="paragraph" w:customStyle="1" w:styleId="Style75">
    <w:name w:val="Body text (5)"/>
    <w:basedOn w:val="Normal"/>
    <w:link w:val="CharStyle76"/>
    <w:pPr>
      <w:widowControl w:val="0"/>
      <w:shd w:val="clear" w:color="auto" w:fill="auto"/>
    </w:pPr>
    <w:rPr>
      <w:rFonts w:ascii="Arial" w:eastAsia="Arial" w:hAnsi="Arial" w:cs="Arial"/>
      <w:b w:val="0"/>
      <w:bCs w:val="0"/>
      <w:i w:val="0"/>
      <w:iCs w:val="0"/>
      <w:smallCaps w:val="0"/>
      <w:strike w:val="0"/>
      <w:sz w:val="16"/>
      <w:szCs w:val="16"/>
      <w:u w:val="none"/>
    </w:rPr>
  </w:style>
  <w:style w:type="paragraph" w:customStyle="1" w:styleId="Style84">
    <w:name w:val="Header or footer"/>
    <w:basedOn w:val="Normal"/>
    <w:link w:val="CharStyle85"/>
    <w:pPr>
      <w:widowControl w:val="0"/>
      <w:shd w:val="clear" w:color="auto" w:fill="auto"/>
    </w:pPr>
    <w:rPr>
      <w:rFonts w:ascii="Arial" w:eastAsia="Arial" w:hAnsi="Arial" w:cs="Arial"/>
      <w:b w:val="0"/>
      <w:bCs w:val="0"/>
      <w:i w:val="0"/>
      <w:iCs w:val="0"/>
      <w:smallCaps w:val="0"/>
      <w:strike w:val="0"/>
      <w:color w:val="006AB4"/>
      <w:sz w:val="11"/>
      <w:szCs w:val="11"/>
      <w:u w:val="none"/>
    </w:rPr>
  </w:style>
  <w:style w:type="paragraph" w:customStyle="1" w:styleId="Style86">
    <w:name w:val="Body text (7)"/>
    <w:basedOn w:val="Normal"/>
    <w:link w:val="CharStyle87"/>
    <w:pPr>
      <w:widowControl w:val="0"/>
      <w:shd w:val="clear" w:color="auto" w:fill="auto"/>
    </w:pPr>
    <w:rPr>
      <w:rFonts w:ascii="Arial" w:eastAsia="Arial" w:hAnsi="Arial" w:cs="Arial"/>
      <w:b/>
      <w:bCs/>
      <w:i w:val="0"/>
      <w:iCs w:val="0"/>
      <w:smallCaps w:val="0"/>
      <w:strike w:val="0"/>
      <w:color w:val="006AB4"/>
      <w:sz w:val="8"/>
      <w:szCs w:val="8"/>
      <w:u w:val="none"/>
    </w:rPr>
  </w:style>
  <w:style w:type="paragraph" w:customStyle="1" w:styleId="Style88">
    <w:name w:val="Body text (8)"/>
    <w:basedOn w:val="Normal"/>
    <w:link w:val="CharStyle89"/>
    <w:pPr>
      <w:widowControl w:val="0"/>
      <w:shd w:val="clear" w:color="auto" w:fill="auto"/>
      <w:spacing w:line="180" w:lineRule="auto"/>
    </w:pPr>
    <w:rPr>
      <w:rFonts w:ascii="Times New Roman" w:eastAsia="Times New Roman" w:hAnsi="Times New Roman" w:cs="Times New Roman"/>
      <w:b w:val="0"/>
      <w:bCs w:val="0"/>
      <w:i w:val="0"/>
      <w:iCs w:val="0"/>
      <w:smallCaps w:val="0"/>
      <w:strike w:val="0"/>
      <w:color w:val="006AB4"/>
      <w:sz w:val="20"/>
      <w:szCs w:val="20"/>
      <w:u w:val="none"/>
    </w:rPr>
  </w:style>
  <w:style w:type="paragraph" w:customStyle="1" w:styleId="Style119">
    <w:name w:val="Body text (9)"/>
    <w:basedOn w:val="Normal"/>
    <w:link w:val="CharStyle120"/>
    <w:pPr>
      <w:widowControl w:val="0"/>
      <w:shd w:val="clear" w:color="auto" w:fill="auto"/>
      <w:jc w:val="right"/>
    </w:pPr>
    <w:rPr>
      <w:rFonts w:ascii="Arial" w:eastAsia="Arial" w:hAnsi="Arial" w:cs="Arial"/>
      <w:b w:val="0"/>
      <w:bCs w:val="0"/>
      <w:i w:val="0"/>
      <w:iCs w:val="0"/>
      <w:smallCaps w:val="0"/>
      <w:strike w:val="0"/>
      <w:sz w:val="10"/>
      <w:szCs w:val="1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jpeg"/><Relationship Id="rId14" Type="http://schemas.openxmlformats.org/officeDocument/2006/relationships/image" Target="media/image3.jpeg" TargetMode="External"/><Relationship Id="rId15" Type="http://schemas.openxmlformats.org/officeDocument/2006/relationships/image" Target="media/image4.jpeg"/><Relationship Id="rId16" Type="http://schemas.openxmlformats.org/officeDocument/2006/relationships/image" Target="media/image4.jpeg" TargetMode="Externa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image" Target="media/image7.jpeg"/><Relationship Id="rId22" Type="http://schemas.openxmlformats.org/officeDocument/2006/relationships/image" Target="media/image7.jpeg" TargetMode="External"/><Relationship Id="rId23" Type="http://schemas.openxmlformats.org/officeDocument/2006/relationships/image" Target="media/image8.jpeg"/><Relationship Id="rId24" Type="http://schemas.openxmlformats.org/officeDocument/2006/relationships/image" Target="media/image8.jpeg" TargetMode="External"/><Relationship Id="rId25" Type="http://schemas.openxmlformats.org/officeDocument/2006/relationships/image" Target="media/image9.jpeg"/><Relationship Id="rId26" Type="http://schemas.openxmlformats.org/officeDocument/2006/relationships/image" Target="media/image9.jpeg" TargetMode="External"/><Relationship Id="rId27" Type="http://schemas.openxmlformats.org/officeDocument/2006/relationships/image" Target="media/image10.jpeg"/><Relationship Id="rId28" Type="http://schemas.openxmlformats.org/officeDocument/2006/relationships/image" Target="media/image10.jpeg" TargetMode="External"/><Relationship Id="rId29" Type="http://schemas.openxmlformats.org/officeDocument/2006/relationships/image" Target="media/image11.jpeg"/><Relationship Id="rId30" Type="http://schemas.openxmlformats.org/officeDocument/2006/relationships/image" Target="media/image11.jpeg" TargetMode="External"/><Relationship Id="rId31" Type="http://schemas.openxmlformats.org/officeDocument/2006/relationships/image" Target="media/image12.jpeg"/><Relationship Id="rId32" Type="http://schemas.openxmlformats.org/officeDocument/2006/relationships/image" Target="media/image12.jpeg" TargetMode="External"/><Relationship Id="rId33" Type="http://schemas.openxmlformats.org/officeDocument/2006/relationships/image" Target="media/image13.jpeg"/><Relationship Id="rId34" Type="http://schemas.openxmlformats.org/officeDocument/2006/relationships/image" Target="media/image13.jpeg" TargetMode="External"/><Relationship Id="rId35" Type="http://schemas.openxmlformats.org/officeDocument/2006/relationships/image" Target="media/image14.jpeg"/><Relationship Id="rId36" Type="http://schemas.openxmlformats.org/officeDocument/2006/relationships/image" Target="media/image14.jpeg" TargetMode="External"/><Relationship Id="rId37" Type="http://schemas.openxmlformats.org/officeDocument/2006/relationships/image" Target="media/image15.jpeg"/><Relationship Id="rId38" Type="http://schemas.openxmlformats.org/officeDocument/2006/relationships/image" Target="media/image15.jpeg" TargetMode="External"/><Relationship Id="rId39" Type="http://schemas.openxmlformats.org/officeDocument/2006/relationships/image" Target="media/image16.jpeg"/><Relationship Id="rId40" Type="http://schemas.openxmlformats.org/officeDocument/2006/relationships/image" Target="media/image16.jpeg" TargetMode="External"/><Relationship Id="rId41" Type="http://schemas.openxmlformats.org/officeDocument/2006/relationships/image" Target="media/image17.jpeg"/><Relationship Id="rId42" Type="http://schemas.openxmlformats.org/officeDocument/2006/relationships/image" Target="media/image17.jpeg" TargetMode="External"/><Relationship Id="rId43" Type="http://schemas.openxmlformats.org/officeDocument/2006/relationships/image" Target="media/image18.jpeg"/><Relationship Id="rId44" Type="http://schemas.openxmlformats.org/officeDocument/2006/relationships/image" Target="media/image18.jpeg" TargetMode="External"/><Relationship Id="rId45" Type="http://schemas.openxmlformats.org/officeDocument/2006/relationships/image" Target="media/image19.jpeg"/><Relationship Id="rId46" Type="http://schemas.openxmlformats.org/officeDocument/2006/relationships/image" Target="media/image19.jpeg" TargetMode="External"/><Relationship Id="rId47" Type="http://schemas.openxmlformats.org/officeDocument/2006/relationships/image" Target="media/image20.jpeg"/><Relationship Id="rId48" Type="http://schemas.openxmlformats.org/officeDocument/2006/relationships/image" Target="media/image20.jpeg" TargetMode="External"/><Relationship Id="rId49" Type="http://schemas.openxmlformats.org/officeDocument/2006/relationships/image" Target="media/image21.jpeg"/><Relationship Id="rId50" Type="http://schemas.openxmlformats.org/officeDocument/2006/relationships/image" Target="media/image21.jpeg" TargetMode="External"/><Relationship Id="rId51" Type="http://schemas.openxmlformats.org/officeDocument/2006/relationships/image" Target="media/image22.jpeg"/><Relationship Id="rId52" Type="http://schemas.openxmlformats.org/officeDocument/2006/relationships/image" Target="media/image22.jpeg" TargetMode="External"/><Relationship Id="rId53" Type="http://schemas.openxmlformats.org/officeDocument/2006/relationships/image" Target="media/image23.jpeg"/><Relationship Id="rId54" Type="http://schemas.openxmlformats.org/officeDocument/2006/relationships/image" Target="media/image23.jpeg" TargetMode="External"/><Relationship Id="rId55" Type="http://schemas.openxmlformats.org/officeDocument/2006/relationships/image" Target="media/image24.jpeg"/><Relationship Id="rId56" Type="http://schemas.openxmlformats.org/officeDocument/2006/relationships/image" Target="media/image24.jpeg" TargetMode="External"/><Relationship Id="rId57" Type="http://schemas.openxmlformats.org/officeDocument/2006/relationships/image" Target="media/image25.jpeg"/><Relationship Id="rId58" Type="http://schemas.openxmlformats.org/officeDocument/2006/relationships/image" Target="media/image25.jpeg" TargetMode="External"/><Relationship Id="rId59" Type="http://schemas.openxmlformats.org/officeDocument/2006/relationships/image" Target="media/image26.jpeg"/><Relationship Id="rId60" Type="http://schemas.openxmlformats.org/officeDocument/2006/relationships/image" Target="media/image26.jpeg" TargetMode="External"/><Relationship Id="rId61" Type="http://schemas.openxmlformats.org/officeDocument/2006/relationships/image" Target="media/image27.jpeg"/><Relationship Id="rId62" Type="http://schemas.openxmlformats.org/officeDocument/2006/relationships/image" Target="media/image27.jpeg" TargetMode="External"/><Relationship Id="rId63" Type="http://schemas.openxmlformats.org/officeDocument/2006/relationships/image" Target="media/image28.jpeg"/><Relationship Id="rId64" Type="http://schemas.openxmlformats.org/officeDocument/2006/relationships/image" Target="media/image28.jpeg" TargetMode="External"/><Relationship Id="rId65" Type="http://schemas.openxmlformats.org/officeDocument/2006/relationships/image" Target="media/image29.jpeg"/><Relationship Id="rId66" Type="http://schemas.openxmlformats.org/officeDocument/2006/relationships/image" Target="media/image29.jpeg" TargetMode="External"/><Relationship Id="rId67" Type="http://schemas.openxmlformats.org/officeDocument/2006/relationships/image" Target="media/image30.jpeg"/><Relationship Id="rId68" Type="http://schemas.openxmlformats.org/officeDocument/2006/relationships/image" Target="media/image30.jpeg" TargetMode="External"/><Relationship Id="rId69" Type="http://schemas.openxmlformats.org/officeDocument/2006/relationships/image" Target="media/image31.jpeg"/><Relationship Id="rId70" Type="http://schemas.openxmlformats.org/officeDocument/2006/relationships/image" Target="media/image31.jpeg" TargetMode="External"/><Relationship Id="rId71" Type="http://schemas.openxmlformats.org/officeDocument/2006/relationships/image" Target="media/image32.jpeg"/><Relationship Id="rId72" Type="http://schemas.openxmlformats.org/officeDocument/2006/relationships/image" Target="media/image32.jpeg" TargetMode="External"/><Relationship Id="rId73" Type="http://schemas.openxmlformats.org/officeDocument/2006/relationships/image" Target="media/image33.jpeg"/><Relationship Id="rId74" Type="http://schemas.openxmlformats.org/officeDocument/2006/relationships/image" Target="media/image33.jpeg" TargetMode="External"/><Relationship Id="rId75" Type="http://schemas.openxmlformats.org/officeDocument/2006/relationships/image" Target="media/image34.jpeg"/><Relationship Id="rId76" Type="http://schemas.openxmlformats.org/officeDocument/2006/relationships/image" Target="media/image34.jpeg" TargetMode="External"/><Relationship Id="rId77" Type="http://schemas.openxmlformats.org/officeDocument/2006/relationships/image" Target="media/image35.png"/><Relationship Id="rId78" Type="http://schemas.openxmlformats.org/officeDocument/2006/relationships/image" Target="media/image35.png" TargetMode="External"/><Relationship Id="rId79" Type="http://schemas.openxmlformats.org/officeDocument/2006/relationships/image" Target="media/image36.jpeg"/><Relationship Id="rId80" Type="http://schemas.openxmlformats.org/officeDocument/2006/relationships/image" Target="media/image36.jpeg" TargetMode="External"/><Relationship Id="rId81" Type="http://schemas.openxmlformats.org/officeDocument/2006/relationships/image" Target="media/image37.jpeg"/><Relationship Id="rId82" Type="http://schemas.openxmlformats.org/officeDocument/2006/relationships/image" Target="media/image37.jpeg" TargetMode="External"/><Relationship Id="rId83" Type="http://schemas.openxmlformats.org/officeDocument/2006/relationships/image" Target="media/image38.jpeg"/><Relationship Id="rId84" Type="http://schemas.openxmlformats.org/officeDocument/2006/relationships/image" Target="media/image38.jpeg" TargetMode="External"/><Relationship Id="rId85" Type="http://schemas.openxmlformats.org/officeDocument/2006/relationships/image" Target="media/image39.jpeg"/><Relationship Id="rId86" Type="http://schemas.openxmlformats.org/officeDocument/2006/relationships/image" Target="media/image39.jpeg" TargetMode="External"/><Relationship Id="rId87" Type="http://schemas.openxmlformats.org/officeDocument/2006/relationships/image" Target="media/image40.jpeg"/><Relationship Id="rId88" Type="http://schemas.openxmlformats.org/officeDocument/2006/relationships/image" Target="media/image40.jpeg" TargetMode="External"/><Relationship Id="rId89" Type="http://schemas.openxmlformats.org/officeDocument/2006/relationships/image" Target="media/image41.jpeg"/><Relationship Id="rId90" Type="http://schemas.openxmlformats.org/officeDocument/2006/relationships/image" Target="media/image41.jpeg" TargetMode="External"/><Relationship Id="rId91" Type="http://schemas.openxmlformats.org/officeDocument/2006/relationships/image" Target="media/image42.jpeg"/><Relationship Id="rId92" Type="http://schemas.openxmlformats.org/officeDocument/2006/relationships/image" Target="media/image42.jpeg" TargetMode="External"/><Relationship Id="rId93" Type="http://schemas.openxmlformats.org/officeDocument/2006/relationships/image" Target="media/image43.jpeg"/><Relationship Id="rId94" Type="http://schemas.openxmlformats.org/officeDocument/2006/relationships/image" Target="media/image43.jpeg" TargetMode="External"/><Relationship Id="rId95" Type="http://schemas.openxmlformats.org/officeDocument/2006/relationships/image" Target="media/image44.png"/><Relationship Id="rId96" Type="http://schemas.openxmlformats.org/officeDocument/2006/relationships/image" Target="media/image44.png" TargetMode="External"/><Relationship Id="rId97" Type="http://schemas.openxmlformats.org/officeDocument/2006/relationships/image" Target="media/image45.png"/><Relationship Id="rId98" Type="http://schemas.openxmlformats.org/officeDocument/2006/relationships/image" Target="media/image45.png" TargetMode="External"/><Relationship Id="rId99" Type="http://schemas.openxmlformats.org/officeDocument/2006/relationships/image" Target="media/image46.png"/><Relationship Id="rId100" Type="http://schemas.openxmlformats.org/officeDocument/2006/relationships/image" Target="media/image46.png" TargetMode="External"/><Relationship Id="rId101" Type="http://schemas.openxmlformats.org/officeDocument/2006/relationships/image" Target="media/image47.jpeg"/><Relationship Id="rId102" Type="http://schemas.openxmlformats.org/officeDocument/2006/relationships/image" Target="media/image47.jpeg" TargetMode="External"/><Relationship Id="rId103" Type="http://schemas.openxmlformats.org/officeDocument/2006/relationships/image" Target="media/image48.jpeg"/><Relationship Id="rId104" Type="http://schemas.openxmlformats.org/officeDocument/2006/relationships/image" Target="media/image48.jpeg" TargetMode="External"/><Relationship Id="rId105" Type="http://schemas.openxmlformats.org/officeDocument/2006/relationships/image" Target="media/image49.jpeg"/><Relationship Id="rId106" Type="http://schemas.openxmlformats.org/officeDocument/2006/relationships/image" Target="media/image49.jpeg" TargetMode="External"/><Relationship Id="rId107" Type="http://schemas.openxmlformats.org/officeDocument/2006/relationships/image" Target="media/image50.jpeg"/><Relationship Id="rId108" Type="http://schemas.openxmlformats.org/officeDocument/2006/relationships/image" Target="media/image50.jpeg" TargetMode="External"/><Relationship Id="rId109" Type="http://schemas.openxmlformats.org/officeDocument/2006/relationships/image" Target="media/image51.jpeg"/><Relationship Id="rId110" Type="http://schemas.openxmlformats.org/officeDocument/2006/relationships/image" Target="media/image51.jpeg" TargetMode="External"/><Relationship Id="rId111" Type="http://schemas.openxmlformats.org/officeDocument/2006/relationships/image" Target="media/image52.jpeg"/><Relationship Id="rId112" Type="http://schemas.openxmlformats.org/officeDocument/2006/relationships/image" Target="media/image52.jpeg" TargetMode="External"/><Relationship Id="rId113" Type="http://schemas.openxmlformats.org/officeDocument/2006/relationships/image" Target="media/image53.jpeg"/><Relationship Id="rId114" Type="http://schemas.openxmlformats.org/officeDocument/2006/relationships/image" Target="media/image53.jpeg" TargetMode="External"/><Relationship Id="rId115" Type="http://schemas.openxmlformats.org/officeDocument/2006/relationships/image" Target="media/image54.jpeg"/><Relationship Id="rId116" Type="http://schemas.openxmlformats.org/officeDocument/2006/relationships/image" Target="media/image54.jpeg" TargetMode="External"/><Relationship Id="rId117" Type="http://schemas.openxmlformats.org/officeDocument/2006/relationships/image" Target="media/image55.jpeg"/><Relationship Id="rId118" Type="http://schemas.openxmlformats.org/officeDocument/2006/relationships/image" Target="media/image55.jpeg" TargetMode="External"/><Relationship Id="rId119" Type="http://schemas.openxmlformats.org/officeDocument/2006/relationships/header" Target="header3.xml"/><Relationship Id="rId120" Type="http://schemas.openxmlformats.org/officeDocument/2006/relationships/footer" Target="footer3.xml"/><Relationship Id="rId121" Type="http://schemas.openxmlformats.org/officeDocument/2006/relationships/header" Target="header4.xml"/><Relationship Id="rId122" Type="http://schemas.openxmlformats.org/officeDocument/2006/relationships/footer" Target="footer4.xml"/><Relationship Id="rId123" Type="http://schemas.openxmlformats.org/officeDocument/2006/relationships/image" Target="media/image56.jpeg"/><Relationship Id="rId124" Type="http://schemas.openxmlformats.org/officeDocument/2006/relationships/image" Target="media/image56.jpeg" TargetMode="External"/><Relationship Id="rId125" Type="http://schemas.openxmlformats.org/officeDocument/2006/relationships/image" Target="media/image57.jpeg"/><Relationship Id="rId126" Type="http://schemas.openxmlformats.org/officeDocument/2006/relationships/image" Target="media/image57.jpeg" TargetMode="External"/><Relationship Id="rId127" Type="http://schemas.openxmlformats.org/officeDocument/2006/relationships/header" Target="header5.xml"/><Relationship Id="rId128" Type="http://schemas.openxmlformats.org/officeDocument/2006/relationships/footer" Target="footer5.xml"/><Relationship Id="rId129" Type="http://schemas.openxmlformats.org/officeDocument/2006/relationships/header" Target="header6.xml"/><Relationship Id="rId130" Type="http://schemas.openxmlformats.org/officeDocument/2006/relationships/footer" Target="footer6.xml"/><Relationship Id="rId131" Type="http://schemas.openxmlformats.org/officeDocument/2006/relationships/image" Target="media/image58.jpeg"/><Relationship Id="rId132" Type="http://schemas.openxmlformats.org/officeDocument/2006/relationships/image" Target="media/image58.jpeg" TargetMode="External"/><Relationship Id="rId133" Type="http://schemas.openxmlformats.org/officeDocument/2006/relationships/image" Target="media/image59.jpeg"/><Relationship Id="rId134" Type="http://schemas.openxmlformats.org/officeDocument/2006/relationships/image" Target="media/image59.jpeg" TargetMode="External"/><Relationship Id="rId135" Type="http://schemas.openxmlformats.org/officeDocument/2006/relationships/image" Target="media/image60.jpeg"/><Relationship Id="rId136" Type="http://schemas.openxmlformats.org/officeDocument/2006/relationships/image" Target="media/image60.jpeg" TargetMode="External"/><Relationship Id="rId137" Type="http://schemas.openxmlformats.org/officeDocument/2006/relationships/image" Target="media/image61.jpeg"/><Relationship Id="rId138" Type="http://schemas.openxmlformats.org/officeDocument/2006/relationships/image" Target="media/image61.jpeg" TargetMode="External"/><Relationship Id="rId139" Type="http://schemas.openxmlformats.org/officeDocument/2006/relationships/image" Target="media/image62.jpeg"/><Relationship Id="rId140" Type="http://schemas.openxmlformats.org/officeDocument/2006/relationships/image" Target="media/image62.jpeg" TargetMode="External"/><Relationship Id="rId141" Type="http://schemas.openxmlformats.org/officeDocument/2006/relationships/image" Target="media/image63.jpeg"/><Relationship Id="rId142" Type="http://schemas.openxmlformats.org/officeDocument/2006/relationships/image" Target="media/image63.jpeg" TargetMode="External"/><Relationship Id="rId143" Type="http://schemas.openxmlformats.org/officeDocument/2006/relationships/image" Target="media/image64.jpeg"/><Relationship Id="rId144" Type="http://schemas.openxmlformats.org/officeDocument/2006/relationships/image" Target="media/image64.jpeg" TargetMode="External"/><Relationship Id="rId145" Type="http://schemas.openxmlformats.org/officeDocument/2006/relationships/image" Target="media/image65.jpeg"/><Relationship Id="rId146" Type="http://schemas.openxmlformats.org/officeDocument/2006/relationships/image" Target="media/image65.jpeg" TargetMode="External"/><Relationship Id="rId147" Type="http://schemas.openxmlformats.org/officeDocument/2006/relationships/image" Target="media/image66.jpeg"/><Relationship Id="rId148" Type="http://schemas.openxmlformats.org/officeDocument/2006/relationships/image" Target="media/image66.jpeg" TargetMode="External"/><Relationship Id="rId149" Type="http://schemas.openxmlformats.org/officeDocument/2006/relationships/image" Target="media/image67.jpeg"/><Relationship Id="rId150" Type="http://schemas.openxmlformats.org/officeDocument/2006/relationships/image" Target="media/image67.jpeg" TargetMode="External"/><Relationship Id="rId151" Type="http://schemas.openxmlformats.org/officeDocument/2006/relationships/image" Target="media/image68.jpeg"/><Relationship Id="rId152" Type="http://schemas.openxmlformats.org/officeDocument/2006/relationships/image" Target="media/image68.jpeg" TargetMode="External"/><Relationship Id="rId153" Type="http://schemas.openxmlformats.org/officeDocument/2006/relationships/image" Target="media/image69.jpeg"/><Relationship Id="rId154" Type="http://schemas.openxmlformats.org/officeDocument/2006/relationships/image" Target="media/image69.jpeg" TargetMode="External"/><Relationship Id="rId155" Type="http://schemas.openxmlformats.org/officeDocument/2006/relationships/image" Target="media/image70.jpeg"/><Relationship Id="rId156" Type="http://schemas.openxmlformats.org/officeDocument/2006/relationships/image" Target="media/image70.jpeg" TargetMode="External"/><Relationship Id="rId157" Type="http://schemas.openxmlformats.org/officeDocument/2006/relationships/image" Target="media/image71.jpeg"/><Relationship Id="rId158" Type="http://schemas.openxmlformats.org/officeDocument/2006/relationships/image" Target="media/image71.jpeg" TargetMode="External"/><Relationship Id="rId159" Type="http://schemas.openxmlformats.org/officeDocument/2006/relationships/image" Target="media/image72.jpeg"/><Relationship Id="rId160" Type="http://schemas.openxmlformats.org/officeDocument/2006/relationships/image" Target="media/image72.jpeg" TargetMode="External"/><Relationship Id="rId161" Type="http://schemas.openxmlformats.org/officeDocument/2006/relationships/image" Target="media/image73.jpeg"/><Relationship Id="rId162" Type="http://schemas.openxmlformats.org/officeDocument/2006/relationships/image" Target="media/image73.jpeg" TargetMode="External"/><Relationship Id="rId163" Type="http://schemas.openxmlformats.org/officeDocument/2006/relationships/image" Target="media/image74.jpeg"/><Relationship Id="rId164" Type="http://schemas.openxmlformats.org/officeDocument/2006/relationships/image" Target="media/image74.jpeg" TargetMode="External"/><Relationship Id="rId165" Type="http://schemas.openxmlformats.org/officeDocument/2006/relationships/image" Target="media/image75.jpeg"/><Relationship Id="rId166" Type="http://schemas.openxmlformats.org/officeDocument/2006/relationships/image" Target="media/image75.jpeg" TargetMode="External"/><Relationship Id="rId167" Type="http://schemas.openxmlformats.org/officeDocument/2006/relationships/image" Target="media/image76.jpeg"/><Relationship Id="rId168" Type="http://schemas.openxmlformats.org/officeDocument/2006/relationships/image" Target="media/image76.jpeg" TargetMode="External"/><Relationship Id="rId169" Type="http://schemas.openxmlformats.org/officeDocument/2006/relationships/image" Target="media/image77.jpeg"/><Relationship Id="rId170" Type="http://schemas.openxmlformats.org/officeDocument/2006/relationships/image" Target="media/image77.jpeg" TargetMode="External"/><Relationship Id="rId171" Type="http://schemas.openxmlformats.org/officeDocument/2006/relationships/image" Target="media/image78.png"/><Relationship Id="rId172" Type="http://schemas.openxmlformats.org/officeDocument/2006/relationships/image" Target="media/image78.png" TargetMode="External"/><Relationship Id="rId173" Type="http://schemas.openxmlformats.org/officeDocument/2006/relationships/image" Target="media/image79.jpeg"/><Relationship Id="rId174" Type="http://schemas.openxmlformats.org/officeDocument/2006/relationships/image" Target="media/image79.jpeg" TargetMode="External"/><Relationship Id="rId175" Type="http://schemas.openxmlformats.org/officeDocument/2006/relationships/image" Target="media/image80.jpeg"/><Relationship Id="rId176" Type="http://schemas.openxmlformats.org/officeDocument/2006/relationships/image" Target="media/image80.jpeg" TargetMode="External"/><Relationship Id="rId177" Type="http://schemas.openxmlformats.org/officeDocument/2006/relationships/image" Target="media/image81.png"/><Relationship Id="rId178" Type="http://schemas.openxmlformats.org/officeDocument/2006/relationships/image" Target="media/image81.png" TargetMode="External"/><Relationship Id="rId179" Type="http://schemas.openxmlformats.org/officeDocument/2006/relationships/image" Target="media/image82.jpeg"/><Relationship Id="rId180" Type="http://schemas.openxmlformats.org/officeDocument/2006/relationships/image" Target="media/image82.jpeg" TargetMode="External"/><Relationship Id="rId181" Type="http://schemas.openxmlformats.org/officeDocument/2006/relationships/image" Target="media/image83.jpeg"/><Relationship Id="rId182" Type="http://schemas.openxmlformats.org/officeDocument/2006/relationships/image" Target="media/image83.jpeg" TargetMode="External"/><Relationship Id="rId183" Type="http://schemas.openxmlformats.org/officeDocument/2006/relationships/image" Target="media/image84.png"/><Relationship Id="rId184" Type="http://schemas.openxmlformats.org/officeDocument/2006/relationships/image" Target="media/image84.png" TargetMode="External"/><Relationship Id="rId185" Type="http://schemas.openxmlformats.org/officeDocument/2006/relationships/image" Target="media/image85.jpeg"/><Relationship Id="rId186" Type="http://schemas.openxmlformats.org/officeDocument/2006/relationships/image" Target="media/image85.jpeg" TargetMode="External"/><Relationship Id="rId187" Type="http://schemas.openxmlformats.org/officeDocument/2006/relationships/image" Target="media/image86.jpeg"/><Relationship Id="rId188" Type="http://schemas.openxmlformats.org/officeDocument/2006/relationships/image" Target="media/image86.jpeg" TargetMode="External"/><Relationship Id="rId189" Type="http://schemas.openxmlformats.org/officeDocument/2006/relationships/image" Target="media/image87.jpeg"/><Relationship Id="rId190" Type="http://schemas.openxmlformats.org/officeDocument/2006/relationships/image" Target="media/image87.jpeg" TargetMode="External"/><Relationship Id="rId191" Type="http://schemas.openxmlformats.org/officeDocument/2006/relationships/image" Target="media/image88.jpeg"/><Relationship Id="rId192" Type="http://schemas.openxmlformats.org/officeDocument/2006/relationships/image" Target="media/image88.jpeg" TargetMode="External"/><Relationship Id="rId193" Type="http://schemas.openxmlformats.org/officeDocument/2006/relationships/image" Target="media/image89.png"/><Relationship Id="rId194" Type="http://schemas.openxmlformats.org/officeDocument/2006/relationships/image" Target="media/image89.png" TargetMode="External"/><Relationship Id="rId195" Type="http://schemas.openxmlformats.org/officeDocument/2006/relationships/image" Target="media/image90.jpeg"/><Relationship Id="rId196" Type="http://schemas.openxmlformats.org/officeDocument/2006/relationships/image" Target="media/image90.jpeg" TargetMode="External"/><Relationship Id="rId197" Type="http://schemas.openxmlformats.org/officeDocument/2006/relationships/header" Target="header7.xml"/><Relationship Id="rId198" Type="http://schemas.openxmlformats.org/officeDocument/2006/relationships/footer" Target="footer7.xml"/><Relationship Id="rId199" Type="http://schemas.openxmlformats.org/officeDocument/2006/relationships/header" Target="header8.xml"/><Relationship Id="rId200" Type="http://schemas.openxmlformats.org/officeDocument/2006/relationships/footer" Target="footer8.xml"/><Relationship Id="rId201" Type="http://schemas.openxmlformats.org/officeDocument/2006/relationships/image" Target="media/image91.jpeg"/><Relationship Id="rId202" Type="http://schemas.openxmlformats.org/officeDocument/2006/relationships/image" Target="media/image91.jpeg" TargetMode="External"/><Relationship Id="rId203" Type="http://schemas.openxmlformats.org/officeDocument/2006/relationships/image" Target="media/image92.jpeg"/><Relationship Id="rId204" Type="http://schemas.openxmlformats.org/officeDocument/2006/relationships/image" Target="media/image92.jpeg" TargetMode="External"/><Relationship Id="rId205" Type="http://schemas.openxmlformats.org/officeDocument/2006/relationships/image" Target="media/image93.jpeg"/><Relationship Id="rId206" Type="http://schemas.openxmlformats.org/officeDocument/2006/relationships/image" Target="media/image93.jpeg" TargetMode="External"/><Relationship Id="rId207" Type="http://schemas.openxmlformats.org/officeDocument/2006/relationships/image" Target="media/image94.jpeg"/><Relationship Id="rId208" Type="http://schemas.openxmlformats.org/officeDocument/2006/relationships/image" Target="media/image94.jpeg" TargetMode="External"/><Relationship Id="rId209" Type="http://schemas.openxmlformats.org/officeDocument/2006/relationships/image" Target="media/image95.jpeg"/><Relationship Id="rId210" Type="http://schemas.openxmlformats.org/officeDocument/2006/relationships/image" Target="media/image95.jpeg" TargetMode="External"/><Relationship Id="rId211" Type="http://schemas.openxmlformats.org/officeDocument/2006/relationships/header" Target="header9.xml"/><Relationship Id="rId212" Type="http://schemas.openxmlformats.org/officeDocument/2006/relationships/footer" Target="footer9.xml"/><Relationship Id="rId213" Type="http://schemas.openxmlformats.org/officeDocument/2006/relationships/header" Target="header10.xml"/><Relationship Id="rId214" Type="http://schemas.openxmlformats.org/officeDocument/2006/relationships/footer" Target="footer10.xml"/><Relationship Id="rId215" Type="http://schemas.openxmlformats.org/officeDocument/2006/relationships/image" Target="media/image96.jpeg"/><Relationship Id="rId216" Type="http://schemas.openxmlformats.org/officeDocument/2006/relationships/image" Target="media/image96.jpeg" TargetMode="External"/><Relationship Id="rId217" Type="http://schemas.openxmlformats.org/officeDocument/2006/relationships/header" Target="header11.xml"/><Relationship Id="rId218" Type="http://schemas.openxmlformats.org/officeDocument/2006/relationships/footer" Target="footer11.xml"/><Relationship Id="rId219" Type="http://schemas.openxmlformats.org/officeDocument/2006/relationships/header" Target="header12.xml"/><Relationship Id="rId220" Type="http://schemas.openxmlformats.org/officeDocument/2006/relationships/footer" Target="footer12.xml"/><Relationship Id="rId221" Type="http://schemas.openxmlformats.org/officeDocument/2006/relationships/image" Target="media/image97.jpeg"/><Relationship Id="rId222" Type="http://schemas.openxmlformats.org/officeDocument/2006/relationships/image" Target="media/image97.jpeg" TargetMode="External"/><Relationship Id="rId223" Type="http://schemas.openxmlformats.org/officeDocument/2006/relationships/image" Target="media/image98.jpeg"/><Relationship Id="rId224" Type="http://schemas.openxmlformats.org/officeDocument/2006/relationships/image" Target="media/image98.jpeg" TargetMode="External"/><Relationship Id="rId225" Type="http://schemas.openxmlformats.org/officeDocument/2006/relationships/image" Target="media/image99.jpeg"/><Relationship Id="rId226" Type="http://schemas.openxmlformats.org/officeDocument/2006/relationships/image" Target="media/image99.jpeg" TargetMode="External"/><Relationship Id="rId227" Type="http://schemas.openxmlformats.org/officeDocument/2006/relationships/header" Target="header13.xml"/><Relationship Id="rId228" Type="http://schemas.openxmlformats.org/officeDocument/2006/relationships/footer" Target="footer13.xml"/><Relationship Id="rId229" Type="http://schemas.openxmlformats.org/officeDocument/2006/relationships/header" Target="header14.xml"/><Relationship Id="rId230" Type="http://schemas.openxmlformats.org/officeDocument/2006/relationships/footer" Target="footer14.xml"/><Relationship Id="rId231" Type="http://schemas.openxmlformats.org/officeDocument/2006/relationships/image" Target="media/image100.jpeg"/><Relationship Id="rId232" Type="http://schemas.openxmlformats.org/officeDocument/2006/relationships/image" Target="media/image100.jpeg" TargetMode="External"/><Relationship Id="rId233" Type="http://schemas.openxmlformats.org/officeDocument/2006/relationships/header" Target="header15.xml"/><Relationship Id="rId234" Type="http://schemas.openxmlformats.org/officeDocument/2006/relationships/footer" Target="footer15.xml"/><Relationship Id="rId235" Type="http://schemas.openxmlformats.org/officeDocument/2006/relationships/header" Target="header16.xml"/><Relationship Id="rId236" Type="http://schemas.openxmlformats.org/officeDocument/2006/relationships/footer" Target="footer16.xml"/><Relationship Id="rId237" Type="http://schemas.openxmlformats.org/officeDocument/2006/relationships/image" Target="media/image101.jpeg"/><Relationship Id="rId238" Type="http://schemas.openxmlformats.org/officeDocument/2006/relationships/image" Target="media/image101.jpeg" TargetMode="External"/><Relationship Id="rId239" Type="http://schemas.openxmlformats.org/officeDocument/2006/relationships/image" Target="media/image102.jpeg"/><Relationship Id="rId240" Type="http://schemas.openxmlformats.org/officeDocument/2006/relationships/image" Target="media/image102.jpeg" TargetMode="External"/><Relationship Id="rId241" Type="http://schemas.openxmlformats.org/officeDocument/2006/relationships/image" Target="media/image103.jpeg"/><Relationship Id="rId242" Type="http://schemas.openxmlformats.org/officeDocument/2006/relationships/image" Target="media/image103.jpeg" TargetMode="External"/><Relationship Id="rId243" Type="http://schemas.openxmlformats.org/officeDocument/2006/relationships/image" Target="media/image104.jpeg"/><Relationship Id="rId244" Type="http://schemas.openxmlformats.org/officeDocument/2006/relationships/image" Target="media/image104.jpeg" TargetMode="External"/><Relationship Id="rId245" Type="http://schemas.openxmlformats.org/officeDocument/2006/relationships/image" Target="media/image105.jpeg"/><Relationship Id="rId246" Type="http://schemas.openxmlformats.org/officeDocument/2006/relationships/image" Target="media/image105.jpeg" TargetMode="External"/><Relationship Id="rId247" Type="http://schemas.openxmlformats.org/officeDocument/2006/relationships/image" Target="media/image106.jpeg"/><Relationship Id="rId248" Type="http://schemas.openxmlformats.org/officeDocument/2006/relationships/image" Target="media/image106.jpeg" TargetMode="External"/><Relationship Id="rId249" Type="http://schemas.openxmlformats.org/officeDocument/2006/relationships/image" Target="media/image107.jpeg"/><Relationship Id="rId250" Type="http://schemas.openxmlformats.org/officeDocument/2006/relationships/image" Target="media/image107.jpeg" TargetMode="External"/><Relationship Id="rId251" Type="http://schemas.openxmlformats.org/officeDocument/2006/relationships/header" Target="header17.xml"/><Relationship Id="rId252" Type="http://schemas.openxmlformats.org/officeDocument/2006/relationships/footer" Target="footer17.xml"/><Relationship Id="rId253" Type="http://schemas.openxmlformats.org/officeDocument/2006/relationships/header" Target="header18.xml"/><Relationship Id="rId254" Type="http://schemas.openxmlformats.org/officeDocument/2006/relationships/footer" Target="footer18.xml"/><Relationship Id="rId255" Type="http://schemas.openxmlformats.org/officeDocument/2006/relationships/header" Target="header19.xml"/><Relationship Id="rId256" Type="http://schemas.openxmlformats.org/officeDocument/2006/relationships/footer" Target="footer19.xml"/><Relationship Id="rId257" Type="http://schemas.openxmlformats.org/officeDocument/2006/relationships/header" Target="header20.xml"/><Relationship Id="rId258" Type="http://schemas.openxmlformats.org/officeDocument/2006/relationships/footer" Target="footer20.xml"/><Relationship Id="rId259" Type="http://schemas.openxmlformats.org/officeDocument/2006/relationships/image" Target="media/image108.jpeg"/><Relationship Id="rId260" Type="http://schemas.openxmlformats.org/officeDocument/2006/relationships/image" Target="media/image108.jpeg" TargetMode="External"/><Relationship Id="rId261" Type="http://schemas.openxmlformats.org/officeDocument/2006/relationships/image" Target="media/image109.jpeg"/><Relationship Id="rId262" Type="http://schemas.openxmlformats.org/officeDocument/2006/relationships/image" Target="media/image109.jpeg" TargetMode="External"/><Relationship Id="rId263" Type="http://schemas.openxmlformats.org/officeDocument/2006/relationships/image" Target="media/image110.jpeg"/><Relationship Id="rId264" Type="http://schemas.openxmlformats.org/officeDocument/2006/relationships/image" Target="media/image110.jpeg" TargetMode="External"/><Relationship Id="rId265" Type="http://schemas.openxmlformats.org/officeDocument/2006/relationships/image" Target="media/image111.jpeg"/><Relationship Id="rId266" Type="http://schemas.openxmlformats.org/officeDocument/2006/relationships/image" Target="media/image111.jpeg" TargetMode="External"/><Relationship Id="rId267" Type="http://schemas.openxmlformats.org/officeDocument/2006/relationships/image" Target="media/image112.jpeg"/><Relationship Id="rId268" Type="http://schemas.openxmlformats.org/officeDocument/2006/relationships/image" Target="media/image112.jpeg" TargetMode="External"/><Relationship Id="rId269" Type="http://schemas.openxmlformats.org/officeDocument/2006/relationships/image" Target="media/image113.jpeg"/><Relationship Id="rId270" Type="http://schemas.openxmlformats.org/officeDocument/2006/relationships/image" Target="media/image113.jpeg" TargetMode="External"/><Relationship Id="rId271" Type="http://schemas.openxmlformats.org/officeDocument/2006/relationships/header" Target="header21.xml"/><Relationship Id="rId272" Type="http://schemas.openxmlformats.org/officeDocument/2006/relationships/footer" Target="footer21.xml"/><Relationship Id="rId273" Type="http://schemas.openxmlformats.org/officeDocument/2006/relationships/header" Target="header22.xml"/><Relationship Id="rId274" Type="http://schemas.openxmlformats.org/officeDocument/2006/relationships/footer" Target="footer22.xml"/><Relationship Id="rId275" Type="http://schemas.openxmlformats.org/officeDocument/2006/relationships/image" Target="media/image114.jpeg"/><Relationship Id="rId276" Type="http://schemas.openxmlformats.org/officeDocument/2006/relationships/image" Target="media/image114.jpeg" TargetMode="External"/><Relationship Id="rId277" Type="http://schemas.openxmlformats.org/officeDocument/2006/relationships/image" Target="media/image115.jpeg"/><Relationship Id="rId278" Type="http://schemas.openxmlformats.org/officeDocument/2006/relationships/image" Target="media/image115.jpeg" TargetMode="External"/><Relationship Id="rId279" Type="http://schemas.openxmlformats.org/officeDocument/2006/relationships/image" Target="media/image116.jpeg"/><Relationship Id="rId280" Type="http://schemas.openxmlformats.org/officeDocument/2006/relationships/image" Target="media/image116.jpeg" TargetMode="External"/><Relationship Id="rId281" Type="http://schemas.openxmlformats.org/officeDocument/2006/relationships/image" Target="media/image117.jpeg"/><Relationship Id="rId282" Type="http://schemas.openxmlformats.org/officeDocument/2006/relationships/image" Target="media/image117.jpeg" TargetMode="External"/><Relationship Id="rId283" Type="http://schemas.openxmlformats.org/officeDocument/2006/relationships/image" Target="media/image118.jpeg"/><Relationship Id="rId284" Type="http://schemas.openxmlformats.org/officeDocument/2006/relationships/image" Target="media/image118.jpeg" TargetMode="External"/><Relationship Id="rId285" Type="http://schemas.openxmlformats.org/officeDocument/2006/relationships/image" Target="media/image119.jpeg"/><Relationship Id="rId286" Type="http://schemas.openxmlformats.org/officeDocument/2006/relationships/image" Target="media/image119.jpeg" TargetMode="External"/><Relationship Id="rId287" Type="http://schemas.openxmlformats.org/officeDocument/2006/relationships/image" Target="media/image120.jpeg"/><Relationship Id="rId288" Type="http://schemas.openxmlformats.org/officeDocument/2006/relationships/image" Target="media/image120.jpeg" TargetMode="External"/><Relationship Id="rId289" Type="http://schemas.openxmlformats.org/officeDocument/2006/relationships/header" Target="header23.xml"/><Relationship Id="rId290" Type="http://schemas.openxmlformats.org/officeDocument/2006/relationships/footer" Target="footer23.xml"/><Relationship Id="rId291" Type="http://schemas.openxmlformats.org/officeDocument/2006/relationships/header" Target="header24.xml"/><Relationship Id="rId292" Type="http://schemas.openxmlformats.org/officeDocument/2006/relationships/footer" Target="footer24.xml"/><Relationship Id="rId293" Type="http://schemas.openxmlformats.org/officeDocument/2006/relationships/header" Target="header25.xml"/><Relationship Id="rId294" Type="http://schemas.openxmlformats.org/officeDocument/2006/relationships/footer" Target="footer25.xml"/><Relationship Id="rId295" Type="http://schemas.openxmlformats.org/officeDocument/2006/relationships/header" Target="header26.xml"/><Relationship Id="rId296" Type="http://schemas.openxmlformats.org/officeDocument/2006/relationships/footer" Target="footer26.xml"/><Relationship Id="rId297" Type="http://schemas.openxmlformats.org/officeDocument/2006/relationships/image" Target="media/image121.jpeg"/><Relationship Id="rId298" Type="http://schemas.openxmlformats.org/officeDocument/2006/relationships/image" Target="media/image121.jpeg" TargetMode="External"/><Relationship Id="rId299" Type="http://schemas.openxmlformats.org/officeDocument/2006/relationships/image" Target="media/image122.jpeg"/><Relationship Id="rId300" Type="http://schemas.openxmlformats.org/officeDocument/2006/relationships/image" Target="media/image122.jpeg" TargetMode="External"/><Relationship Id="rId301" Type="http://schemas.openxmlformats.org/officeDocument/2006/relationships/image" Target="media/image123.jpeg"/><Relationship Id="rId302" Type="http://schemas.openxmlformats.org/officeDocument/2006/relationships/image" Target="media/image123.jpeg" TargetMode="External"/><Relationship Id="rId303" Type="http://schemas.openxmlformats.org/officeDocument/2006/relationships/image" Target="media/image124.jpeg"/><Relationship Id="rId304" Type="http://schemas.openxmlformats.org/officeDocument/2006/relationships/image" Target="media/image124.jpeg" TargetMode="External"/><Relationship Id="rId305" Type="http://schemas.openxmlformats.org/officeDocument/2006/relationships/image" Target="media/image125.jpeg"/><Relationship Id="rId306" Type="http://schemas.openxmlformats.org/officeDocument/2006/relationships/image" Target="media/image125.jpeg" TargetMode="External"/><Relationship Id="rId307" Type="http://schemas.openxmlformats.org/officeDocument/2006/relationships/image" Target="media/image126.jpeg"/><Relationship Id="rId308" Type="http://schemas.openxmlformats.org/officeDocument/2006/relationships/image" Target="media/image126.jpeg" TargetMode="External"/><Relationship Id="rId309" Type="http://schemas.openxmlformats.org/officeDocument/2006/relationships/image" Target="media/image127.jpeg"/><Relationship Id="rId310" Type="http://schemas.openxmlformats.org/officeDocument/2006/relationships/image" Target="media/image127.jpeg" TargetMode="External"/><Relationship Id="rId311" Type="http://schemas.openxmlformats.org/officeDocument/2006/relationships/image" Target="media/image128.jpeg"/><Relationship Id="rId312" Type="http://schemas.openxmlformats.org/officeDocument/2006/relationships/image" Target="media/image128.jpeg" TargetMode="External"/><Relationship Id="rId313" Type="http://schemas.openxmlformats.org/officeDocument/2006/relationships/image" Target="media/image129.jpeg"/><Relationship Id="rId314" Type="http://schemas.openxmlformats.org/officeDocument/2006/relationships/image" Target="media/image129.jpeg" TargetMode="External"/><Relationship Id="rId315" Type="http://schemas.openxmlformats.org/officeDocument/2006/relationships/image" Target="media/image130.jpeg"/><Relationship Id="rId316" Type="http://schemas.openxmlformats.org/officeDocument/2006/relationships/image" Target="media/image130.jpeg" TargetMode="External"/><Relationship Id="rId317" Type="http://schemas.openxmlformats.org/officeDocument/2006/relationships/image" Target="media/image131.jpeg"/><Relationship Id="rId318" Type="http://schemas.openxmlformats.org/officeDocument/2006/relationships/image" Target="media/image131.jpeg" TargetMode="External"/><Relationship Id="rId319" Type="http://schemas.openxmlformats.org/officeDocument/2006/relationships/image" Target="media/image132.jpeg"/><Relationship Id="rId320" Type="http://schemas.openxmlformats.org/officeDocument/2006/relationships/image" Target="media/image132.jpeg" TargetMode="External"/><Relationship Id="rId321" Type="http://schemas.openxmlformats.org/officeDocument/2006/relationships/image" Target="media/image133.jpeg"/><Relationship Id="rId322" Type="http://schemas.openxmlformats.org/officeDocument/2006/relationships/image" Target="media/image133.jpeg" TargetMode="External"/><Relationship Id="rId323" Type="http://schemas.openxmlformats.org/officeDocument/2006/relationships/image" Target="media/image134.jpeg"/><Relationship Id="rId324" Type="http://schemas.openxmlformats.org/officeDocument/2006/relationships/image" Target="media/image134.jpeg" TargetMode="External"/><Relationship Id="rId325" Type="http://schemas.openxmlformats.org/officeDocument/2006/relationships/image" Target="media/image135.jpeg"/><Relationship Id="rId326" Type="http://schemas.openxmlformats.org/officeDocument/2006/relationships/image" Target="media/image135.jpeg" TargetMode="External"/><Relationship Id="rId327" Type="http://schemas.openxmlformats.org/officeDocument/2006/relationships/image" Target="media/image136.jpeg"/><Relationship Id="rId328" Type="http://schemas.openxmlformats.org/officeDocument/2006/relationships/image" Target="media/image136.jpeg" TargetMode="External"/><Relationship Id="rId329" Type="http://schemas.openxmlformats.org/officeDocument/2006/relationships/image" Target="media/image137.jpeg"/><Relationship Id="rId330" Type="http://schemas.openxmlformats.org/officeDocument/2006/relationships/image" Target="media/image137.jpeg" TargetMode="External"/><Relationship Id="rId331" Type="http://schemas.openxmlformats.org/officeDocument/2006/relationships/image" Target="media/image138.jpeg"/><Relationship Id="rId332" Type="http://schemas.openxmlformats.org/officeDocument/2006/relationships/image" Target="media/image138.jpeg" TargetMode="External"/><Relationship Id="rId333" Type="http://schemas.openxmlformats.org/officeDocument/2006/relationships/image" Target="media/image139.jpeg"/><Relationship Id="rId334" Type="http://schemas.openxmlformats.org/officeDocument/2006/relationships/image" Target="media/image139.jpeg" TargetMode="External"/><Relationship Id="rId335" Type="http://schemas.openxmlformats.org/officeDocument/2006/relationships/image" Target="media/image140.jpeg"/><Relationship Id="rId336" Type="http://schemas.openxmlformats.org/officeDocument/2006/relationships/image" Target="media/image140.jpeg" TargetMode="External"/><Relationship Id="rId337" Type="http://schemas.openxmlformats.org/officeDocument/2006/relationships/image" Target="media/image141.jpeg"/><Relationship Id="rId338" Type="http://schemas.openxmlformats.org/officeDocument/2006/relationships/image" Target="media/image141.jpeg" TargetMode="External"/><Relationship Id="rId339" Type="http://schemas.openxmlformats.org/officeDocument/2006/relationships/image" Target="media/image142.jpeg"/><Relationship Id="rId340" Type="http://schemas.openxmlformats.org/officeDocument/2006/relationships/image" Target="media/image142.jpeg" TargetMode="External"/><Relationship Id="rId341" Type="http://schemas.openxmlformats.org/officeDocument/2006/relationships/image" Target="media/image143.jpeg"/><Relationship Id="rId342" Type="http://schemas.openxmlformats.org/officeDocument/2006/relationships/image" Target="media/image143.jpeg" TargetMode="External"/><Relationship Id="rId343" Type="http://schemas.openxmlformats.org/officeDocument/2006/relationships/image" Target="media/image144.jpeg"/><Relationship Id="rId344" Type="http://schemas.openxmlformats.org/officeDocument/2006/relationships/image" Target="media/image144.jpeg" TargetMode="External"/><Relationship Id="rId345" Type="http://schemas.openxmlformats.org/officeDocument/2006/relationships/image" Target="media/image145.jpeg"/><Relationship Id="rId346" Type="http://schemas.openxmlformats.org/officeDocument/2006/relationships/image" Target="media/image145.jpeg" TargetMode="External"/><Relationship Id="rId347" Type="http://schemas.openxmlformats.org/officeDocument/2006/relationships/image" Target="media/image146.jpeg"/><Relationship Id="rId348" Type="http://schemas.openxmlformats.org/officeDocument/2006/relationships/image" Target="media/image146.jpeg" TargetMode="External"/><Relationship Id="rId349" Type="http://schemas.openxmlformats.org/officeDocument/2006/relationships/image" Target="media/image147.jpeg"/><Relationship Id="rId350" Type="http://schemas.openxmlformats.org/officeDocument/2006/relationships/image" Target="media/image147.jpeg" TargetMode="External"/><Relationship Id="rId351" Type="http://schemas.openxmlformats.org/officeDocument/2006/relationships/image" Target="media/image148.jpeg"/><Relationship Id="rId352" Type="http://schemas.openxmlformats.org/officeDocument/2006/relationships/image" Target="media/image148.jpeg" TargetMode="External"/><Relationship Id="rId353" Type="http://schemas.openxmlformats.org/officeDocument/2006/relationships/image" Target="media/image149.jpeg"/><Relationship Id="rId354" Type="http://schemas.openxmlformats.org/officeDocument/2006/relationships/image" Target="media/image149.jpeg" TargetMode="External"/><Relationship Id="rId355" Type="http://schemas.openxmlformats.org/officeDocument/2006/relationships/image" Target="media/image150.jpeg"/><Relationship Id="rId356" Type="http://schemas.openxmlformats.org/officeDocument/2006/relationships/image" Target="media/image150.jpeg" TargetMode="External"/><Relationship Id="rId357" Type="http://schemas.openxmlformats.org/officeDocument/2006/relationships/image" Target="media/image151.jpeg"/><Relationship Id="rId358" Type="http://schemas.openxmlformats.org/officeDocument/2006/relationships/image" Target="media/image151.jpeg" TargetMode="External"/><Relationship Id="rId359" Type="http://schemas.openxmlformats.org/officeDocument/2006/relationships/image" Target="media/image152.jpeg"/><Relationship Id="rId360" Type="http://schemas.openxmlformats.org/officeDocument/2006/relationships/image" Target="media/image152.jpeg" TargetMode="External"/><Relationship Id="rId361" Type="http://schemas.openxmlformats.org/officeDocument/2006/relationships/image" Target="media/image153.jpeg"/><Relationship Id="rId362" Type="http://schemas.openxmlformats.org/officeDocument/2006/relationships/image" Target="media/image153.jpeg" TargetMode="External"/><Relationship Id="rId363" Type="http://schemas.openxmlformats.org/officeDocument/2006/relationships/image" Target="media/image154.jpeg"/><Relationship Id="rId364" Type="http://schemas.openxmlformats.org/officeDocument/2006/relationships/image" Target="media/image154.jpeg" TargetMode="External"/><Relationship Id="rId365" Type="http://schemas.openxmlformats.org/officeDocument/2006/relationships/image" Target="media/image155.jpeg"/><Relationship Id="rId366" Type="http://schemas.openxmlformats.org/officeDocument/2006/relationships/image" Target="media/image155.jpeg" TargetMode="External"/><Relationship Id="rId367" Type="http://schemas.openxmlformats.org/officeDocument/2006/relationships/image" Target="media/image156.jpeg"/><Relationship Id="rId368" Type="http://schemas.openxmlformats.org/officeDocument/2006/relationships/image" Target="media/image156.jpeg" TargetMode="External"/><Relationship Id="rId369" Type="http://schemas.openxmlformats.org/officeDocument/2006/relationships/image" Target="media/image157.jpeg"/><Relationship Id="rId370" Type="http://schemas.openxmlformats.org/officeDocument/2006/relationships/image" Target="media/image157.jpeg" TargetMode="External"/><Relationship Id="rId371" Type="http://schemas.openxmlformats.org/officeDocument/2006/relationships/image" Target="media/image158.jpeg"/><Relationship Id="rId372" Type="http://schemas.openxmlformats.org/officeDocument/2006/relationships/image" Target="media/image158.jpeg" TargetMode="External"/><Relationship Id="rId373" Type="http://schemas.openxmlformats.org/officeDocument/2006/relationships/image" Target="media/image159.jpeg"/><Relationship Id="rId374" Type="http://schemas.openxmlformats.org/officeDocument/2006/relationships/image" Target="media/image159.jpeg" TargetMode="External"/><Relationship Id="rId375" Type="http://schemas.openxmlformats.org/officeDocument/2006/relationships/image" Target="media/image160.jpeg"/><Relationship Id="rId376" Type="http://schemas.openxmlformats.org/officeDocument/2006/relationships/image" Target="media/image160.jpeg" TargetMode="External"/><Relationship Id="rId377" Type="http://schemas.openxmlformats.org/officeDocument/2006/relationships/image" Target="media/image161.jpeg"/><Relationship Id="rId378" Type="http://schemas.openxmlformats.org/officeDocument/2006/relationships/image" Target="media/image161.jpeg" TargetMode="External"/><Relationship Id="rId379" Type="http://schemas.openxmlformats.org/officeDocument/2006/relationships/image" Target="media/image162.jpeg"/><Relationship Id="rId380" Type="http://schemas.openxmlformats.org/officeDocument/2006/relationships/image" Target="media/image162.jpeg" TargetMode="External"/><Relationship Id="rId381" Type="http://schemas.openxmlformats.org/officeDocument/2006/relationships/image" Target="media/image163.jpeg"/><Relationship Id="rId382" Type="http://schemas.openxmlformats.org/officeDocument/2006/relationships/image" Target="media/image163.jpeg" TargetMode="External"/><Relationship Id="rId383" Type="http://schemas.openxmlformats.org/officeDocument/2006/relationships/image" Target="media/image164.jpeg"/><Relationship Id="rId384" Type="http://schemas.openxmlformats.org/officeDocument/2006/relationships/image" Target="media/image164.jpeg" TargetMode="External"/><Relationship Id="rId385" Type="http://schemas.openxmlformats.org/officeDocument/2006/relationships/image" Target="media/image165.jpeg"/><Relationship Id="rId386" Type="http://schemas.openxmlformats.org/officeDocument/2006/relationships/image" Target="media/image165.jpeg" TargetMode="External"/><Relationship Id="rId387" Type="http://schemas.openxmlformats.org/officeDocument/2006/relationships/image" Target="media/image166.jpeg"/><Relationship Id="rId388" Type="http://schemas.openxmlformats.org/officeDocument/2006/relationships/image" Target="media/image166.jpeg" TargetMode="External"/><Relationship Id="rId389" Type="http://schemas.openxmlformats.org/officeDocument/2006/relationships/image" Target="media/image167.jpeg"/><Relationship Id="rId390" Type="http://schemas.openxmlformats.org/officeDocument/2006/relationships/image" Target="media/image167.jpeg" TargetMode="External"/><Relationship Id="rId391" Type="http://schemas.openxmlformats.org/officeDocument/2006/relationships/image" Target="media/image168.jpeg"/><Relationship Id="rId392" Type="http://schemas.openxmlformats.org/officeDocument/2006/relationships/image" Target="media/image168.jpeg" TargetMode="External"/><Relationship Id="rId393" Type="http://schemas.openxmlformats.org/officeDocument/2006/relationships/image" Target="media/image169.jpeg"/><Relationship Id="rId394" Type="http://schemas.openxmlformats.org/officeDocument/2006/relationships/image" Target="media/image169.jpeg" TargetMode="External"/><Relationship Id="rId395" Type="http://schemas.openxmlformats.org/officeDocument/2006/relationships/image" Target="media/image170.jpeg"/><Relationship Id="rId396" Type="http://schemas.openxmlformats.org/officeDocument/2006/relationships/image" Target="media/image170.jpeg" TargetMode="External"/><Relationship Id="rId397" Type="http://schemas.openxmlformats.org/officeDocument/2006/relationships/image" Target="media/image171.jpeg"/><Relationship Id="rId398" Type="http://schemas.openxmlformats.org/officeDocument/2006/relationships/image" Target="media/image171.jpeg" TargetMode="External"/><Relationship Id="rId399" Type="http://schemas.openxmlformats.org/officeDocument/2006/relationships/image" Target="media/image172.jpeg"/><Relationship Id="rId400" Type="http://schemas.openxmlformats.org/officeDocument/2006/relationships/image" Target="media/image172.jpeg" TargetMode="External"/><Relationship Id="rId401" Type="http://schemas.openxmlformats.org/officeDocument/2006/relationships/image" Target="media/image173.jpeg"/><Relationship Id="rId402" Type="http://schemas.openxmlformats.org/officeDocument/2006/relationships/image" Target="media/image173.jpeg" TargetMode="External"/><Relationship Id="rId403" Type="http://schemas.openxmlformats.org/officeDocument/2006/relationships/image" Target="media/image174.jpeg"/><Relationship Id="rId404" Type="http://schemas.openxmlformats.org/officeDocument/2006/relationships/image" Target="media/image174.jpeg" TargetMode="External"/><Relationship Id="rId405" Type="http://schemas.openxmlformats.org/officeDocument/2006/relationships/image" Target="media/image175.jpeg"/><Relationship Id="rId406" Type="http://schemas.openxmlformats.org/officeDocument/2006/relationships/image" Target="media/image175.jpeg" TargetMode="External"/><Relationship Id="rId407" Type="http://schemas.openxmlformats.org/officeDocument/2006/relationships/image" Target="media/image176.jpeg"/><Relationship Id="rId408" Type="http://schemas.openxmlformats.org/officeDocument/2006/relationships/image" Target="media/image176.jpeg" TargetMode="External"/><Relationship Id="rId409" Type="http://schemas.openxmlformats.org/officeDocument/2006/relationships/image" Target="media/image177.jpeg"/><Relationship Id="rId410" Type="http://schemas.openxmlformats.org/officeDocument/2006/relationships/image" Target="media/image177.jpeg" TargetMode="External"/><Relationship Id="rId411" Type="http://schemas.openxmlformats.org/officeDocument/2006/relationships/image" Target="media/image178.jpeg"/><Relationship Id="rId412" Type="http://schemas.openxmlformats.org/officeDocument/2006/relationships/image" Target="media/image178.jpeg" TargetMode="External"/><Relationship Id="rId413" Type="http://schemas.openxmlformats.org/officeDocument/2006/relationships/image" Target="media/image179.jpeg"/><Relationship Id="rId414" Type="http://schemas.openxmlformats.org/officeDocument/2006/relationships/image" Target="media/image179.jpeg" TargetMode="External"/><Relationship Id="rId415" Type="http://schemas.openxmlformats.org/officeDocument/2006/relationships/image" Target="media/image180.jpeg"/><Relationship Id="rId416" Type="http://schemas.openxmlformats.org/officeDocument/2006/relationships/image" Target="media/image180.jpeg" TargetMode="External"/><Relationship Id="rId417" Type="http://schemas.openxmlformats.org/officeDocument/2006/relationships/header" Target="header27.xml"/><Relationship Id="rId418" Type="http://schemas.openxmlformats.org/officeDocument/2006/relationships/footer" Target="footer27.xml"/><Relationship Id="rId419" Type="http://schemas.openxmlformats.org/officeDocument/2006/relationships/header" Target="header28.xml"/><Relationship Id="rId420" Type="http://schemas.openxmlformats.org/officeDocument/2006/relationships/footer" Target="footer28.xml"/><Relationship Id="rId421" Type="http://schemas.openxmlformats.org/officeDocument/2006/relationships/image" Target="media/image181.jpeg"/><Relationship Id="rId422" Type="http://schemas.openxmlformats.org/officeDocument/2006/relationships/image" Target="media/image181.jpeg" TargetMode="External"/><Relationship Id="rId423" Type="http://schemas.openxmlformats.org/officeDocument/2006/relationships/header" Target="header29.xml"/><Relationship Id="rId424" Type="http://schemas.openxmlformats.org/officeDocument/2006/relationships/footer" Target="footer29.xml"/><Relationship Id="rId425" Type="http://schemas.openxmlformats.org/officeDocument/2006/relationships/header" Target="header30.xml"/><Relationship Id="rId426" Type="http://schemas.openxmlformats.org/officeDocument/2006/relationships/footer" Target="footer30.xml"/><Relationship Id="rId427" Type="http://schemas.openxmlformats.org/officeDocument/2006/relationships/image" Target="media/image182.jpeg"/><Relationship Id="rId428" Type="http://schemas.openxmlformats.org/officeDocument/2006/relationships/image" Target="media/image182.jpeg" TargetMode="External"/><Relationship Id="rId429" Type="http://schemas.openxmlformats.org/officeDocument/2006/relationships/image" Target="media/image183.jpeg"/><Relationship Id="rId430" Type="http://schemas.openxmlformats.org/officeDocument/2006/relationships/image" Target="media/image183.jpeg" TargetMode="External"/><Relationship Id="rId431" Type="http://schemas.openxmlformats.org/officeDocument/2006/relationships/image" Target="media/image184.jpeg"/><Relationship Id="rId432" Type="http://schemas.openxmlformats.org/officeDocument/2006/relationships/image" Target="media/image184.jpeg" TargetMode="External"/><Relationship Id="rId433" Type="http://schemas.openxmlformats.org/officeDocument/2006/relationships/header" Target="header31.xml"/><Relationship Id="rId434" Type="http://schemas.openxmlformats.org/officeDocument/2006/relationships/footer" Target="footer31.xml"/><Relationship Id="rId435" Type="http://schemas.openxmlformats.org/officeDocument/2006/relationships/header" Target="header32.xml"/><Relationship Id="rId436" Type="http://schemas.openxmlformats.org/officeDocument/2006/relationships/footer" Target="footer32.xml"/><Relationship Id="rId437" Type="http://schemas.openxmlformats.org/officeDocument/2006/relationships/header" Target="header33.xml"/><Relationship Id="rId438" Type="http://schemas.openxmlformats.org/officeDocument/2006/relationships/footer" Target="footer33.xml"/><Relationship Id="rId439" Type="http://schemas.openxmlformats.org/officeDocument/2006/relationships/image" Target="media/image185.jpeg"/><Relationship Id="rId440" Type="http://schemas.openxmlformats.org/officeDocument/2006/relationships/image" Target="media/image185.jpeg" TargetMode="External"/><Relationship Id="rId441" Type="http://schemas.openxmlformats.org/officeDocument/2006/relationships/header" Target="header34.xml"/><Relationship Id="rId442" Type="http://schemas.openxmlformats.org/officeDocument/2006/relationships/footer" Target="footer34.xml"/><Relationship Id="rId443" Type="http://schemas.openxmlformats.org/officeDocument/2006/relationships/header" Target="header35.xml"/><Relationship Id="rId444" Type="http://schemas.openxmlformats.org/officeDocument/2006/relationships/footer" Target="footer35.xml"/></Relationships>
</file>