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141414"/>
          <w:sz w:val="48"/>
          <w:szCs w:val="48"/>
        </w:rPr>
      </w:pPr>
      <w:bookmarkStart w:colFirst="0" w:colLast="0" w:name="_o3wxezjsxh6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48"/>
          <w:szCs w:val="48"/>
          <w:rtl w:val="0"/>
        </w:rPr>
        <w:t xml:space="preserve">Sam Ferree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6av0592k4zj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FULL STACK WEB ENGINEER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12232 Kimball Run, Fort Wayne IN, 46845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rtl w:val="0"/>
        </w:rPr>
        <w:t xml:space="preserve">sferree567@gmail.com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rtl w:val="0"/>
        </w:rPr>
        <w:t xml:space="preserve">(407) 558-8890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whhsdjnmuae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WHAT I 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contextualSpacing w:val="0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I design, build, update, and maintain web applications across the entire stack. I proactively communicate with all stakeholders from customers, management, and other members of the team to ensure no individuals needs are neglected, and no contribution goes unutilized. I make it a priority to continually educate myself in the latest industry best practices, and to inform my peers and colleagues so that projects I'm a part of are delivered with the highest standards of industry best practices. I am organized and efficient, enabling me to work independently and deliver on schedule.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ugbnn9412r4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SKILLS, TECHNOLOGIES, AND METHODS LEVERAGED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C#, .NET (Framework/Core), Entity Framework (Core), MVC/Web API, and Razor Pages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JavaScript, ES6, TypeScript, and Angular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HTML5/CSS3, Bootstrap, and Sass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Agile, Scrum, and Lean/Kanban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Git and GitHub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Continuous Integration, Continous Deployment, and Test Driven Development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Cloud Architecture with Azure, and Containerization with Docker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Comfortable in Linux, Mac, or Windows environment.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  <w:sectPr>
          <w:pgSz w:h="15840" w:w="12240"/>
          <w:pgMar w:bottom="1440" w:top="1440" w:left="1440" w:right="1440" w:header="0"/>
          <w:pgNumType w:start="1"/>
        </w:sectPr>
      </w:pPr>
      <w:bookmarkStart w:colFirst="0" w:colLast="0" w:name="_cpaaqmtpofv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Additional Technologies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JAVA, JPA, Hibernate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Ruby, Ruby on Rails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C/C++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58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1jwjptuekho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SEEKING POSITIONS THAT OFFER: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Remote Work, preferrably with flexible schedules.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Lead, Architecture, or Developer Advocate positions.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Freedom to use the best tools for a given problem.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Companies that embrace using and contributing to OSS.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1b22lugmwg3u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WORK EXPERIENCE</w:t>
      </w:r>
    </w:p>
    <w:tbl>
      <w:tblPr>
        <w:tblStyle w:val="Table1"/>
        <w:tblW w:w="891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40"/>
        <w:gridCol w:w="1095"/>
        <w:tblGridChange w:id="0">
          <w:tblGrid>
            <w:gridCol w:w="2775"/>
            <w:gridCol w:w="5040"/>
            <w:gridCol w:w="109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Lincoln Financial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C#, .NET, Entity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Implement Support Solutions to Critical Enterprise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JSF, PrimeFaces, 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Develop Full Stack Web Application for Critical Enterprise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DuCharme McMillan &amp; 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October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Develop service layers for enterprise tax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Struts, JavaScript, YUI, JSP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Maintain and Update Web Application as UI for Tax application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Extension Healthcare/Vocera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Solutions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May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Ruby on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Architect datasets and workflows, to adapt Extension platform to customer desired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Selenium, Twist/Gauge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Laid foundation for QA's automated testing effort, Help support and QA troubleshoot problems with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Junior 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Phase One Consulting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November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Javascript, 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Lead developer for enhancement to U.S. Dept of VA Public Quality and Safety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ASP.NET MVC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, jQuery, GoogleMaps API,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Frontend work on U.S. DOT Carpool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.NET WebForms, NHibernate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Full Stack developer for VA NUMI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Navistar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C#, .NET, JSP, Swing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Engine Diagnostics and Enterprise Services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Software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LHP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May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C#, .NET Windows Forms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, Quickbooks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Financial Analysis with Quickbooks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June 2006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58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l1my9mcbwea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bookmarkStart w:colFirst="0" w:colLast="0" w:name="_51u7udt079o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Studied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28"/>
          <w:szCs w:val="28"/>
          <w:rtl w:val="0"/>
        </w:rPr>
        <w:t xml:space="preserve">Computer Science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 at Indiana Institute of Technology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ACM Programming Team Captain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24"/>
          <w:szCs w:val="24"/>
          <w:rtl w:val="0"/>
        </w:rPr>
        <w:t xml:space="preserve">Sigma Phi Epislon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President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contextualSpacing w:val="0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bookmarkStart w:colFirst="0" w:colLast="0" w:name="_kpndqs45hse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Continuing Education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"https://pluralsight.com/profile/sam-ferree"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u w:val="single"/>
          <w:rtl w:val="0"/>
        </w:rPr>
        <w:t xml:space="preserve">Pluralsight Profile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"https://teamtreehouse.com/samuelferree"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u w:val="single"/>
          <w:rtl w:val="0"/>
        </w:rPr>
        <w:t xml:space="preserve">Treehouse Profile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