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云计算技术期末模拟试卷（C卷·提高版）参考答案</w:t>
      </w:r>
    </w:p>
    <w:p>
      <w:pPr>
        <w:jc w:val="center"/>
      </w:pPr>
      <w:r>
        <w:rPr>
          <w:rFonts w:ascii="宋体" w:hAnsi="宋体" w:eastAsia="宋体"/>
          <w:sz w:val="21"/>
        </w:rPr>
        <w:t>供复习自测使用，主观题按要点给分</w:t>
      </w:r>
    </w:p>
    <w:p>
      <w:pPr>
        <w:pStyle w:val="Heading1"/>
      </w:pPr>
      <w:r>
        <w:rPr>
          <w:b/>
        </w:rPr>
        <w:t>一、选择题答案</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r/>
            <w:r>
              <w:rPr>
                <w:rFonts w:ascii="宋体" w:hAnsi="宋体" w:eastAsia="宋体"/>
                <w:b/>
                <w:sz w:val="21"/>
              </w:rPr>
              <w:t>题号</w:t>
            </w:r>
          </w:p>
        </w:tc>
        <w:tc>
          <w:tcPr>
            <w:tcW w:type="dxa" w:w="2040"/>
            <w:vAlign w:val="center"/>
            <w:shd w:fill="D9EAF7"/>
          </w:tcPr>
          <w:p>
            <w:r/>
            <w:r>
              <w:rPr>
                <w:rFonts w:ascii="宋体" w:hAnsi="宋体" w:eastAsia="宋体"/>
                <w:b/>
                <w:sz w:val="21"/>
              </w:rPr>
              <w:t>答案</w:t>
            </w:r>
          </w:p>
        </w:tc>
        <w:tc>
          <w:tcPr>
            <w:tcW w:type="dxa" w:w="2040"/>
            <w:vAlign w:val="center"/>
            <w:shd w:fill="D9EAF7"/>
          </w:tcPr>
          <w:p>
            <w:r/>
            <w:r>
              <w:rPr>
                <w:rFonts w:ascii="宋体" w:hAnsi="宋体" w:eastAsia="宋体"/>
                <w:b/>
                <w:sz w:val="21"/>
              </w:rPr>
              <w:t>题号</w:t>
            </w:r>
          </w:p>
        </w:tc>
        <w:tc>
          <w:tcPr>
            <w:tcW w:type="dxa" w:w="2040"/>
            <w:vAlign w:val="center"/>
            <w:shd w:fill="D9EAF7"/>
          </w:tcPr>
          <w:p>
            <w:r/>
            <w:r>
              <w:rPr>
                <w:rFonts w:ascii="宋体" w:hAnsi="宋体" w:eastAsia="宋体"/>
                <w:b/>
                <w:sz w:val="21"/>
              </w:rPr>
              <w:t>答案</w:t>
            </w:r>
          </w:p>
        </w:tc>
        <w:tc>
          <w:tcPr>
            <w:tcW w:type="dxa" w:w="2040"/>
            <w:vAlign w:val="center"/>
            <w:shd w:fill="D9EAF7"/>
          </w:tcPr>
          <w:p>
            <w:r/>
            <w:r>
              <w:rPr>
                <w:rFonts w:ascii="宋体" w:hAnsi="宋体" w:eastAsia="宋体"/>
                <w:b/>
                <w:sz w:val="21"/>
              </w:rPr>
              <w:t>简要说明</w:t>
            </w:r>
          </w:p>
        </w:tc>
      </w:tr>
      <w:tr>
        <w:tc>
          <w:tcPr>
            <w:tcW w:type="dxa" w:w="2040"/>
            <w:vAlign w:val="center"/>
          </w:tcPr>
          <w:p>
            <w:r/>
            <w:r>
              <w:rPr>
                <w:rFonts w:ascii="宋体" w:hAnsi="宋体" w:eastAsia="宋体"/>
                <w:b/>
                <w:sz w:val="21"/>
              </w:rPr>
              <w:t>1</w:t>
            </w:r>
          </w:p>
        </w:tc>
        <w:tc>
          <w:tcPr>
            <w:tcW w:type="dxa" w:w="2040"/>
            <w:vAlign w:val="center"/>
          </w:tcPr>
          <w:p>
            <w:r/>
            <w:r>
              <w:rPr>
                <w:rFonts w:ascii="宋体" w:hAnsi="宋体" w:eastAsia="宋体"/>
                <w:b/>
                <w:sz w:val="21"/>
              </w:rPr>
              <w:t>C</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敏感数据本地/私有云，突发流量上公有云，是混合云典型场景。</w:t>
            </w:r>
          </w:p>
        </w:tc>
      </w:tr>
      <w:tr>
        <w:tc>
          <w:tcPr>
            <w:tcW w:type="dxa" w:w="2040"/>
            <w:vAlign w:val="center"/>
          </w:tcPr>
          <w:p>
            <w:r/>
            <w:r>
              <w:rPr>
                <w:rFonts w:ascii="宋体" w:hAnsi="宋体" w:eastAsia="宋体"/>
                <w:b/>
                <w:sz w:val="21"/>
              </w:rPr>
              <w:t>2</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PaaS 云商管理运行环境，用户主要负责应用代码和数据。</w:t>
            </w:r>
          </w:p>
        </w:tc>
      </w:tr>
      <w:tr>
        <w:tc>
          <w:tcPr>
            <w:tcW w:type="dxa" w:w="2040"/>
            <w:vAlign w:val="center"/>
          </w:tcPr>
          <w:p>
            <w:r/>
            <w:r>
              <w:rPr>
                <w:rFonts w:ascii="宋体" w:hAnsi="宋体" w:eastAsia="宋体"/>
                <w:b/>
                <w:sz w:val="21"/>
              </w:rPr>
              <w:t>3</w:t>
            </w:r>
          </w:p>
        </w:tc>
        <w:tc>
          <w:tcPr>
            <w:tcW w:type="dxa" w:w="2040"/>
            <w:vAlign w:val="center"/>
          </w:tcPr>
          <w:p>
            <w:r/>
            <w:r>
              <w:rPr>
                <w:rFonts w:ascii="宋体" w:hAnsi="宋体" w:eastAsia="宋体"/>
                <w:b/>
                <w:sz w:val="21"/>
              </w:rPr>
              <w:t>A</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若敏感指令不陷入，VMM 就无法可靠截获 Guest OS 的特权行为。</w:t>
            </w:r>
          </w:p>
        </w:tc>
      </w:tr>
      <w:tr>
        <w:tc>
          <w:tcPr>
            <w:tcW w:type="dxa" w:w="2040"/>
            <w:vAlign w:val="center"/>
          </w:tcPr>
          <w:p>
            <w:r/>
            <w:r>
              <w:rPr>
                <w:rFonts w:ascii="宋体" w:hAnsi="宋体" w:eastAsia="宋体"/>
                <w:b/>
                <w:sz w:val="21"/>
              </w:rPr>
              <w:t>4</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SPT 是软件方案，EPT 是硬件辅助两级地址转换。</w:t>
            </w:r>
          </w:p>
        </w:tc>
      </w:tr>
      <w:tr>
        <w:tc>
          <w:tcPr>
            <w:tcW w:type="dxa" w:w="2040"/>
            <w:vAlign w:val="center"/>
          </w:tcPr>
          <w:p>
            <w:r/>
            <w:r>
              <w:rPr>
                <w:rFonts w:ascii="宋体" w:hAnsi="宋体" w:eastAsia="宋体"/>
                <w:b/>
                <w:sz w:val="21"/>
              </w:rPr>
              <w:t>5</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PID 视图隔离靠 Namespace，CPU 等资源限额靠 Cgroup。</w:t>
            </w:r>
          </w:p>
        </w:tc>
      </w:tr>
      <w:tr>
        <w:tc>
          <w:tcPr>
            <w:tcW w:type="dxa" w:w="2040"/>
            <w:vAlign w:val="center"/>
          </w:tcPr>
          <w:p>
            <w:r/>
            <w:r>
              <w:rPr>
                <w:rFonts w:ascii="宋体" w:hAnsi="宋体" w:eastAsia="宋体"/>
                <w:b/>
                <w:sz w:val="21"/>
              </w:rPr>
              <w:t>6</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镜像分层可复用基础层，拉取和构建只传变化层。</w:t>
            </w:r>
          </w:p>
        </w:tc>
      </w:tr>
      <w:tr>
        <w:tc>
          <w:tcPr>
            <w:tcW w:type="dxa" w:w="2040"/>
            <w:vAlign w:val="center"/>
          </w:tcPr>
          <w:p>
            <w:r/>
            <w:r>
              <w:rPr>
                <w:rFonts w:ascii="宋体" w:hAnsi="宋体" w:eastAsia="宋体"/>
                <w:b/>
                <w:sz w:val="21"/>
              </w:rPr>
              <w:t>7</w:t>
            </w:r>
          </w:p>
        </w:tc>
        <w:tc>
          <w:tcPr>
            <w:tcW w:type="dxa" w:w="2040"/>
            <w:vAlign w:val="center"/>
          </w:tcPr>
          <w:p>
            <w:r/>
            <w:r>
              <w:rPr>
                <w:rFonts w:ascii="宋体" w:hAnsi="宋体" w:eastAsia="宋体"/>
                <w:b/>
                <w:sz w:val="21"/>
              </w:rPr>
              <w:t>A</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声明式 API 强调描述期望状态，由系统自动调谐。</w:t>
            </w:r>
          </w:p>
        </w:tc>
      </w:tr>
      <w:tr>
        <w:tc>
          <w:tcPr>
            <w:tcW w:type="dxa" w:w="2040"/>
            <w:vAlign w:val="center"/>
          </w:tcPr>
          <w:p>
            <w:r/>
            <w:r>
              <w:rPr>
                <w:rFonts w:ascii="宋体" w:hAnsi="宋体" w:eastAsia="宋体"/>
                <w:b/>
                <w:sz w:val="21"/>
              </w:rPr>
              <w:t>8</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Open 冷却后进入 Half-Open，用少量请求试探恢复。</w:t>
            </w:r>
          </w:p>
        </w:tc>
      </w:tr>
      <w:tr>
        <w:tc>
          <w:tcPr>
            <w:tcW w:type="dxa" w:w="2040"/>
            <w:vAlign w:val="center"/>
          </w:tcPr>
          <w:p>
            <w:r/>
            <w:r>
              <w:rPr>
                <w:rFonts w:ascii="宋体" w:hAnsi="宋体" w:eastAsia="宋体"/>
                <w:b/>
                <w:sz w:val="21"/>
              </w:rPr>
              <w:t>9</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ceil(13×20%)=3，floor(13×30%)=3，所以最多 16、最少 10。</w:t>
            </w:r>
          </w:p>
        </w:tc>
      </w:tr>
      <w:tr>
        <w:tc>
          <w:tcPr>
            <w:tcW w:type="dxa" w:w="2040"/>
            <w:vAlign w:val="center"/>
          </w:tcPr>
          <w:p>
            <w:r/>
            <w:r>
              <w:rPr>
                <w:rFonts w:ascii="宋体" w:hAnsi="宋体" w:eastAsia="宋体"/>
                <w:b/>
                <w:sz w:val="21"/>
              </w:rPr>
              <w:t>10</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Guaranteed 要求每个容器 CPU/内存 requests 与 limits 都设置且相等；该 Pod 不满足。</w:t>
            </w:r>
          </w:p>
        </w:tc>
      </w:tr>
      <w:tr>
        <w:tc>
          <w:tcPr>
            <w:tcW w:type="dxa" w:w="2040"/>
            <w:vAlign w:val="center"/>
          </w:tcPr>
          <w:p>
            <w:r/>
            <w:r>
              <w:rPr>
                <w:rFonts w:ascii="宋体" w:hAnsi="宋体" w:eastAsia="宋体"/>
                <w:b/>
                <w:sz w:val="21"/>
              </w:rPr>
              <w:t>11</w:t>
            </w:r>
          </w:p>
        </w:tc>
        <w:tc>
          <w:tcPr>
            <w:tcW w:type="dxa" w:w="2040"/>
            <w:vAlign w:val="center"/>
          </w:tcPr>
          <w:p>
            <w:r/>
            <w:r>
              <w:rPr>
                <w:rFonts w:ascii="宋体" w:hAnsi="宋体" w:eastAsia="宋体"/>
                <w:b/>
                <w:sz w:val="21"/>
              </w:rPr>
              <w:t>A</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Headless Service 的 clusterIP 为 None，常配合 StatefulSet 提供稳定 DNS。</w:t>
            </w:r>
          </w:p>
        </w:tc>
      </w:tr>
      <w:tr>
        <w:tc>
          <w:tcPr>
            <w:tcW w:type="dxa" w:w="2040"/>
            <w:vAlign w:val="center"/>
          </w:tcPr>
          <w:p>
            <w:r/>
            <w:r>
              <w:rPr>
                <w:rFonts w:ascii="宋体" w:hAnsi="宋体" w:eastAsia="宋体"/>
                <w:b/>
                <w:sz w:val="21"/>
              </w:rPr>
              <w:t>12</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DestinationRule 定义子集，VirtualService 定义按权重路由。</w:t>
            </w:r>
          </w:p>
        </w:tc>
      </w:tr>
      <w:tr>
        <w:tc>
          <w:tcPr>
            <w:tcW w:type="dxa" w:w="2040"/>
            <w:vAlign w:val="center"/>
          </w:tcPr>
          <w:p>
            <w:r/>
            <w:r>
              <w:rPr>
                <w:rFonts w:ascii="宋体" w:hAnsi="宋体" w:eastAsia="宋体"/>
                <w:b/>
                <w:sz w:val="21"/>
              </w:rPr>
              <w:t>13</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消费并行度受 min(分区数，消费者数) 限制，即 9。</w:t>
            </w:r>
          </w:p>
        </w:tc>
      </w:tr>
      <w:tr>
        <w:tc>
          <w:tcPr>
            <w:tcW w:type="dxa" w:w="2040"/>
            <w:vAlign w:val="center"/>
          </w:tcPr>
          <w:p>
            <w:r/>
            <w:r>
              <w:rPr>
                <w:rFonts w:ascii="宋体" w:hAnsi="宋体" w:eastAsia="宋体"/>
                <w:b/>
                <w:sz w:val="21"/>
              </w:rPr>
              <w:t>14</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同一 key 进入同一分区，分区内 Offset 有序。</w:t>
            </w:r>
          </w:p>
        </w:tc>
      </w:tr>
      <w:tr>
        <w:tc>
          <w:tcPr>
            <w:tcW w:type="dxa" w:w="2040"/>
            <w:vAlign w:val="center"/>
          </w:tcPr>
          <w:p>
            <w:r/>
            <w:r>
              <w:rPr>
                <w:rFonts w:ascii="宋体" w:hAnsi="宋体" w:eastAsia="宋体"/>
                <w:b/>
                <w:sz w:val="21"/>
              </w:rPr>
              <w:t>15</w:t>
            </w:r>
          </w:p>
        </w:tc>
        <w:tc>
          <w:tcPr>
            <w:tcW w:type="dxa" w:w="2040"/>
            <w:vAlign w:val="center"/>
          </w:tcPr>
          <w:p>
            <w:r/>
            <w:r>
              <w:rPr>
                <w:rFonts w:ascii="宋体" w:hAnsi="宋体" w:eastAsia="宋体"/>
                <w:b/>
                <w:sz w:val="21"/>
              </w:rPr>
              <w:t>A</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82 顺时针越过 75 后绕回 A@10。</w:t>
            </w:r>
          </w:p>
        </w:tc>
      </w:tr>
      <w:tr>
        <w:tc>
          <w:tcPr>
            <w:tcW w:type="dxa" w:w="2040"/>
            <w:vAlign w:val="center"/>
          </w:tcPr>
          <w:p>
            <w:r/>
            <w:r>
              <w:rPr>
                <w:rFonts w:ascii="宋体" w:hAnsi="宋体" w:eastAsia="宋体"/>
                <w:b/>
                <w:sz w:val="21"/>
              </w:rPr>
              <w:t>16</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新增 D@60 只接管原先归 C 的 (40,60] 区间。</w:t>
            </w:r>
          </w:p>
        </w:tc>
      </w:tr>
      <w:tr>
        <w:tc>
          <w:tcPr>
            <w:tcW w:type="dxa" w:w="2040"/>
            <w:vAlign w:val="center"/>
          </w:tcPr>
          <w:p>
            <w:r/>
            <w:r>
              <w:rPr>
                <w:rFonts w:ascii="宋体" w:hAnsi="宋体" w:eastAsia="宋体"/>
                <w:b/>
                <w:sz w:val="21"/>
              </w:rPr>
              <w:t>17</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S=1/(0.25+0.75/6)=1/0.375≈2.67。</w:t>
            </w:r>
          </w:p>
        </w:tc>
      </w:tr>
      <w:tr>
        <w:tc>
          <w:tcPr>
            <w:tcW w:type="dxa" w:w="2040"/>
            <w:vAlign w:val="center"/>
          </w:tcPr>
          <w:p>
            <w:r/>
            <w:r>
              <w:rPr>
                <w:rFonts w:ascii="宋体" w:hAnsi="宋体" w:eastAsia="宋体"/>
                <w:b/>
                <w:sz w:val="21"/>
              </w:rPr>
              <w:t>18</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Average 需要保留总和与计数，否则局部平均再平均会出错。</w:t>
            </w:r>
          </w:p>
        </w:tc>
      </w:tr>
      <w:tr>
        <w:tc>
          <w:tcPr>
            <w:tcW w:type="dxa" w:w="2040"/>
            <w:vAlign w:val="center"/>
          </w:tcPr>
          <w:p>
            <w:r/>
            <w:r>
              <w:rPr>
                <w:rFonts w:ascii="宋体" w:hAnsi="宋体" w:eastAsia="宋体"/>
                <w:b/>
                <w:sz w:val="21"/>
              </w:rPr>
              <w:t>19</w:t>
            </w:r>
          </w:p>
        </w:tc>
        <w:tc>
          <w:tcPr>
            <w:tcW w:type="dxa" w:w="2040"/>
            <w:vAlign w:val="center"/>
          </w:tcPr>
          <w:p>
            <w:r/>
            <w:r>
              <w:rPr>
                <w:rFonts w:ascii="宋体" w:hAnsi="宋体" w:eastAsia="宋体"/>
                <w:b/>
                <w:sz w:val="21"/>
              </w:rPr>
              <w:t>C</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reduceByKey 是宽依赖并触发 Shuffle，是 Stage 边界。</w:t>
            </w:r>
          </w:p>
        </w:tc>
      </w:tr>
      <w:tr>
        <w:tc>
          <w:tcPr>
            <w:tcW w:type="dxa" w:w="2040"/>
            <w:vAlign w:val="center"/>
          </w:tcPr>
          <w:p>
            <w:r/>
            <w:r>
              <w:rPr>
                <w:rFonts w:ascii="宋体" w:hAnsi="宋体" w:eastAsia="宋体"/>
                <w:b/>
                <w:sz w:val="21"/>
              </w:rPr>
              <w:t>20</w:t>
            </w:r>
          </w:p>
        </w:tc>
        <w:tc>
          <w:tcPr>
            <w:tcW w:type="dxa" w:w="2040"/>
            <w:vAlign w:val="center"/>
          </w:tcPr>
          <w:p>
            <w:r/>
            <w:r>
              <w:rPr>
                <w:rFonts w:ascii="宋体" w:hAnsi="宋体" w:eastAsia="宋体"/>
                <w:b/>
                <w:sz w:val="21"/>
              </w:rPr>
              <w:t>B</w:t>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21"/>
              </w:rPr>
            </w:r>
          </w:p>
        </w:tc>
        <w:tc>
          <w:tcPr>
            <w:tcW w:type="dxa" w:w="2040"/>
            <w:vAlign w:val="center"/>
          </w:tcPr>
          <w:p>
            <w:r/>
            <w:r>
              <w:rPr>
                <w:rFonts w:ascii="宋体" w:hAnsi="宋体" w:eastAsia="宋体"/>
                <w:b w:val="0"/>
                <w:sz w:val="18"/>
              </w:rPr>
              <w:t>协调循环持续比较 spec 与 status，使实际状态收敛到期望状态。</w:t>
            </w:r>
          </w:p>
        </w:tc>
      </w:tr>
    </w:tbl>
    <w:p>
      <w:pPr>
        <w:pStyle w:val="Heading1"/>
      </w:pPr>
      <w:r>
        <w:rPr>
          <w:b/>
        </w:rPr>
        <w:t>二、填空题答案</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rFonts w:ascii="宋体" w:hAnsi="宋体" w:eastAsia="宋体"/>
                <w:b/>
                <w:sz w:val="21"/>
              </w:rPr>
              <w:t>题号</w:t>
            </w:r>
          </w:p>
        </w:tc>
        <w:tc>
          <w:tcPr>
            <w:tcW w:type="dxa" w:w="3400"/>
            <w:vAlign w:val="center"/>
            <w:shd w:fill="D9EAF7"/>
          </w:tcPr>
          <w:p>
            <w:r/>
            <w:r>
              <w:rPr>
                <w:rFonts w:ascii="宋体" w:hAnsi="宋体" w:eastAsia="宋体"/>
                <w:b/>
                <w:sz w:val="21"/>
              </w:rPr>
              <w:t>参考答案</w:t>
            </w:r>
          </w:p>
        </w:tc>
        <w:tc>
          <w:tcPr>
            <w:tcW w:type="dxa" w:w="3400"/>
            <w:vAlign w:val="center"/>
            <w:shd w:fill="D9EAF7"/>
          </w:tcPr>
          <w:p>
            <w:r/>
            <w:r>
              <w:rPr>
                <w:rFonts w:ascii="宋体" w:hAnsi="宋体" w:eastAsia="宋体"/>
                <w:b/>
                <w:sz w:val="21"/>
              </w:rPr>
              <w:t>说明</w:t>
            </w:r>
          </w:p>
        </w:tc>
      </w:tr>
      <w:tr>
        <w:tc>
          <w:tcPr>
            <w:tcW w:type="dxa" w:w="3400"/>
            <w:vAlign w:val="center"/>
          </w:tcPr>
          <w:p>
            <w:r/>
            <w:r>
              <w:rPr>
                <w:rFonts w:ascii="宋体" w:hAnsi="宋体" w:eastAsia="宋体"/>
                <w:b/>
                <w:sz w:val="21"/>
              </w:rPr>
              <w:t>1</w:t>
            </w:r>
          </w:p>
        </w:tc>
        <w:tc>
          <w:tcPr>
            <w:tcW w:type="dxa" w:w="3400"/>
            <w:vAlign w:val="center"/>
          </w:tcPr>
          <w:p>
            <w:r/>
            <w:r>
              <w:rPr>
                <w:rFonts w:ascii="宋体" w:hAnsi="宋体" w:eastAsia="宋体"/>
                <w:b w:val="0"/>
                <w:sz w:val="21"/>
              </w:rPr>
              <w:t>广泛网络访问 / Broad network access</w:t>
            </w:r>
          </w:p>
        </w:tc>
        <w:tc>
          <w:tcPr>
            <w:tcW w:type="dxa" w:w="3400"/>
            <w:vAlign w:val="center"/>
          </w:tcPr>
          <w:p>
            <w:r/>
            <w:r>
              <w:rPr>
                <w:rFonts w:ascii="宋体" w:hAnsi="宋体" w:eastAsia="宋体"/>
                <w:b w:val="0"/>
                <w:sz w:val="18"/>
              </w:rPr>
              <w:t>广泛网络访问强调通过标准网络机制和多类终端访问。</w:t>
            </w:r>
          </w:p>
        </w:tc>
      </w:tr>
      <w:tr>
        <w:tc>
          <w:tcPr>
            <w:tcW w:type="dxa" w:w="3400"/>
            <w:vAlign w:val="center"/>
          </w:tcPr>
          <w:p>
            <w:r/>
            <w:r>
              <w:rPr>
                <w:rFonts w:ascii="宋体" w:hAnsi="宋体" w:eastAsia="宋体"/>
                <w:b/>
                <w:sz w:val="21"/>
              </w:rPr>
              <w:t>2</w:t>
            </w:r>
          </w:p>
        </w:tc>
        <w:tc>
          <w:tcPr>
            <w:tcW w:type="dxa" w:w="3400"/>
            <w:vAlign w:val="center"/>
          </w:tcPr>
          <w:p>
            <w:r/>
            <w:r>
              <w:rPr>
                <w:rFonts w:ascii="宋体" w:hAnsi="宋体" w:eastAsia="宋体"/>
                <w:b w:val="0"/>
                <w:sz w:val="21"/>
              </w:rPr>
              <w:t>IaaS / 基础设施即服务</w:t>
            </w:r>
          </w:p>
        </w:tc>
        <w:tc>
          <w:tcPr>
            <w:tcW w:type="dxa" w:w="3400"/>
            <w:vAlign w:val="center"/>
          </w:tcPr>
          <w:p>
            <w:r/>
            <w:r>
              <w:rPr>
                <w:rFonts w:ascii="宋体" w:hAnsi="宋体" w:eastAsia="宋体"/>
                <w:b w:val="0"/>
                <w:sz w:val="18"/>
              </w:rPr>
              <w:t>三者中 IaaS 的用户管理范围最大，SaaS 最小。</w:t>
            </w:r>
          </w:p>
        </w:tc>
      </w:tr>
      <w:tr>
        <w:tc>
          <w:tcPr>
            <w:tcW w:type="dxa" w:w="3400"/>
            <w:vAlign w:val="center"/>
          </w:tcPr>
          <w:p>
            <w:r/>
            <w:r>
              <w:rPr>
                <w:rFonts w:ascii="宋体" w:hAnsi="宋体" w:eastAsia="宋体"/>
                <w:b/>
                <w:sz w:val="21"/>
              </w:rPr>
              <w:t>3</w:t>
            </w:r>
          </w:p>
        </w:tc>
        <w:tc>
          <w:tcPr>
            <w:tcW w:type="dxa" w:w="3400"/>
            <w:vAlign w:val="center"/>
          </w:tcPr>
          <w:p>
            <w:r/>
            <w:r>
              <w:rPr>
                <w:rFonts w:ascii="宋体" w:hAnsi="宋体" w:eastAsia="宋体"/>
                <w:b w:val="0"/>
                <w:sz w:val="21"/>
              </w:rPr>
              <w:t>Non-root / 非根</w:t>
            </w:r>
          </w:p>
        </w:tc>
        <w:tc>
          <w:tcPr>
            <w:tcW w:type="dxa" w:w="3400"/>
            <w:vAlign w:val="center"/>
          </w:tcPr>
          <w:p>
            <w:r/>
            <w:r>
              <w:rPr>
                <w:rFonts w:ascii="宋体" w:hAnsi="宋体" w:eastAsia="宋体"/>
                <w:b w:val="0"/>
                <w:sz w:val="18"/>
              </w:rPr>
              <w:t>VT-x 中 VMM 在 Root，Guest OS 在 Non-root。</w:t>
            </w:r>
          </w:p>
        </w:tc>
      </w:tr>
      <w:tr>
        <w:tc>
          <w:tcPr>
            <w:tcW w:type="dxa" w:w="3400"/>
            <w:vAlign w:val="center"/>
          </w:tcPr>
          <w:p>
            <w:r/>
            <w:r>
              <w:rPr>
                <w:rFonts w:ascii="宋体" w:hAnsi="宋体" w:eastAsia="宋体"/>
                <w:b/>
                <w:sz w:val="21"/>
              </w:rPr>
              <w:t>4</w:t>
            </w:r>
          </w:p>
        </w:tc>
        <w:tc>
          <w:tcPr>
            <w:tcW w:type="dxa" w:w="3400"/>
            <w:vAlign w:val="center"/>
          </w:tcPr>
          <w:p>
            <w:r/>
            <w:r>
              <w:rPr>
                <w:rFonts w:ascii="宋体" w:hAnsi="宋体" w:eastAsia="宋体"/>
                <w:b w:val="0"/>
                <w:sz w:val="21"/>
              </w:rPr>
              <w:t>VM-Exit</w:t>
            </w:r>
          </w:p>
        </w:tc>
        <w:tc>
          <w:tcPr>
            <w:tcW w:type="dxa" w:w="3400"/>
            <w:vAlign w:val="center"/>
          </w:tcPr>
          <w:p>
            <w:r/>
            <w:r>
              <w:rPr>
                <w:rFonts w:ascii="宋体" w:hAnsi="宋体" w:eastAsia="宋体"/>
                <w:b w:val="0"/>
                <w:sz w:val="18"/>
              </w:rPr>
              <w:t>VM-Exit 是 Guest 陷入 VMM 的典型过程。</w:t>
            </w:r>
          </w:p>
        </w:tc>
      </w:tr>
      <w:tr>
        <w:tc>
          <w:tcPr>
            <w:tcW w:type="dxa" w:w="3400"/>
            <w:vAlign w:val="center"/>
          </w:tcPr>
          <w:p>
            <w:r/>
            <w:r>
              <w:rPr>
                <w:rFonts w:ascii="宋体" w:hAnsi="宋体" w:eastAsia="宋体"/>
                <w:b/>
                <w:sz w:val="21"/>
              </w:rPr>
              <w:t>5</w:t>
            </w:r>
          </w:p>
        </w:tc>
        <w:tc>
          <w:tcPr>
            <w:tcW w:type="dxa" w:w="3400"/>
            <w:vAlign w:val="center"/>
          </w:tcPr>
          <w:p>
            <w:r/>
            <w:r>
              <w:rPr>
                <w:rFonts w:ascii="宋体" w:hAnsi="宋体" w:eastAsia="宋体"/>
                <w:b w:val="0"/>
                <w:sz w:val="21"/>
              </w:rPr>
              <w:t>可写</w:t>
            </w:r>
          </w:p>
        </w:tc>
        <w:tc>
          <w:tcPr>
            <w:tcW w:type="dxa" w:w="3400"/>
            <w:vAlign w:val="center"/>
          </w:tcPr>
          <w:p>
            <w:r/>
            <w:r>
              <w:rPr>
                <w:rFonts w:ascii="宋体" w:hAnsi="宋体" w:eastAsia="宋体"/>
                <w:b w:val="0"/>
                <w:sz w:val="18"/>
              </w:rPr>
              <w:t>容器运行时在只读镜像层上加可写层。</w:t>
            </w:r>
          </w:p>
        </w:tc>
      </w:tr>
      <w:tr>
        <w:tc>
          <w:tcPr>
            <w:tcW w:type="dxa" w:w="3400"/>
            <w:vAlign w:val="center"/>
          </w:tcPr>
          <w:p>
            <w:r/>
            <w:r>
              <w:rPr>
                <w:rFonts w:ascii="宋体" w:hAnsi="宋体" w:eastAsia="宋体"/>
                <w:b/>
                <w:sz w:val="21"/>
              </w:rPr>
              <w:t>6</w:t>
            </w:r>
          </w:p>
        </w:tc>
        <w:tc>
          <w:tcPr>
            <w:tcW w:type="dxa" w:w="3400"/>
            <w:vAlign w:val="center"/>
          </w:tcPr>
          <w:p>
            <w:r/>
            <w:r>
              <w:rPr>
                <w:rFonts w:ascii="宋体" w:hAnsi="宋体" w:eastAsia="宋体"/>
                <w:b w:val="0"/>
                <w:sz w:val="21"/>
              </w:rPr>
              <w:t>CLONE_NEWNET</w:t>
            </w:r>
          </w:p>
        </w:tc>
        <w:tc>
          <w:tcPr>
            <w:tcW w:type="dxa" w:w="3400"/>
            <w:vAlign w:val="center"/>
          </w:tcPr>
          <w:p>
            <w:r/>
            <w:r>
              <w:rPr>
                <w:rFonts w:ascii="宋体" w:hAnsi="宋体" w:eastAsia="宋体"/>
                <w:b w:val="0"/>
                <w:sz w:val="18"/>
              </w:rPr>
              <w:t>CLONE_NEWNET 用于创建新的网络命名空间。</w:t>
            </w:r>
          </w:p>
        </w:tc>
      </w:tr>
      <w:tr>
        <w:tc>
          <w:tcPr>
            <w:tcW w:type="dxa" w:w="3400"/>
            <w:vAlign w:val="center"/>
          </w:tcPr>
          <w:p>
            <w:r/>
            <w:r>
              <w:rPr>
                <w:rFonts w:ascii="宋体" w:hAnsi="宋体" w:eastAsia="宋体"/>
                <w:b/>
                <w:sz w:val="21"/>
              </w:rPr>
              <w:t>7</w:t>
            </w:r>
          </w:p>
        </w:tc>
        <w:tc>
          <w:tcPr>
            <w:tcW w:type="dxa" w:w="3400"/>
            <w:vAlign w:val="center"/>
          </w:tcPr>
          <w:p>
            <w:r/>
            <w:r>
              <w:rPr>
                <w:rFonts w:ascii="宋体" w:hAnsi="宋体" w:eastAsia="宋体"/>
                <w:b w:val="0"/>
                <w:sz w:val="21"/>
              </w:rPr>
              <w:t>上</w:t>
            </w:r>
          </w:p>
        </w:tc>
        <w:tc>
          <w:tcPr>
            <w:tcW w:type="dxa" w:w="3400"/>
            <w:vAlign w:val="center"/>
          </w:tcPr>
          <w:p>
            <w:r/>
            <w:r>
              <w:rPr>
                <w:rFonts w:ascii="宋体" w:hAnsi="宋体" w:eastAsia="宋体"/>
                <w:b w:val="0"/>
                <w:sz w:val="18"/>
              </w:rPr>
              <w:t>K8s 规则：maxSurge 向上取整，maxUnavailable 向下取整。</w:t>
            </w:r>
          </w:p>
        </w:tc>
      </w:tr>
      <w:tr>
        <w:tc>
          <w:tcPr>
            <w:tcW w:type="dxa" w:w="3400"/>
            <w:vAlign w:val="center"/>
          </w:tcPr>
          <w:p>
            <w:r/>
            <w:r>
              <w:rPr>
                <w:rFonts w:ascii="宋体" w:hAnsi="宋体" w:eastAsia="宋体"/>
                <w:b/>
                <w:sz w:val="21"/>
              </w:rPr>
              <w:t>8</w:t>
            </w:r>
          </w:p>
        </w:tc>
        <w:tc>
          <w:tcPr>
            <w:tcW w:type="dxa" w:w="3400"/>
            <w:vAlign w:val="center"/>
          </w:tcPr>
          <w:p>
            <w:r/>
            <w:r>
              <w:rPr>
                <w:rFonts w:ascii="宋体" w:hAnsi="宋体" w:eastAsia="宋体"/>
                <w:b w:val="0"/>
                <w:sz w:val="21"/>
              </w:rPr>
              <w:t>VirtualService</w:t>
            </w:r>
          </w:p>
        </w:tc>
        <w:tc>
          <w:tcPr>
            <w:tcW w:type="dxa" w:w="3400"/>
            <w:vAlign w:val="center"/>
          </w:tcPr>
          <w:p>
            <w:r/>
            <w:r>
              <w:rPr>
                <w:rFonts w:ascii="宋体" w:hAnsi="宋体" w:eastAsia="宋体"/>
                <w:b w:val="0"/>
                <w:sz w:val="18"/>
              </w:rPr>
              <w:t>VirtualService 负责流量匹配与权重路由。</w:t>
            </w:r>
          </w:p>
        </w:tc>
      </w:tr>
      <w:tr>
        <w:tc>
          <w:tcPr>
            <w:tcW w:type="dxa" w:w="3400"/>
            <w:vAlign w:val="center"/>
          </w:tcPr>
          <w:p>
            <w:r/>
            <w:r>
              <w:rPr>
                <w:rFonts w:ascii="宋体" w:hAnsi="宋体" w:eastAsia="宋体"/>
                <w:b/>
                <w:sz w:val="21"/>
              </w:rPr>
              <w:t>9</w:t>
            </w:r>
          </w:p>
        </w:tc>
        <w:tc>
          <w:tcPr>
            <w:tcW w:type="dxa" w:w="3400"/>
            <w:vAlign w:val="center"/>
          </w:tcPr>
          <w:p>
            <w:r/>
            <w:r>
              <w:rPr>
                <w:rFonts w:ascii="宋体" w:hAnsi="宋体" w:eastAsia="宋体"/>
                <w:b w:val="0"/>
                <w:sz w:val="21"/>
              </w:rPr>
              <w:t>Offset</w:t>
            </w:r>
          </w:p>
        </w:tc>
        <w:tc>
          <w:tcPr>
            <w:tcW w:type="dxa" w:w="3400"/>
            <w:vAlign w:val="center"/>
          </w:tcPr>
          <w:p>
            <w:r/>
            <w:r>
              <w:rPr>
                <w:rFonts w:ascii="宋体" w:hAnsi="宋体" w:eastAsia="宋体"/>
                <w:b w:val="0"/>
                <w:sz w:val="18"/>
              </w:rPr>
              <w:t>分区内 Offset 单调递增，用于消费进度和顺序。</w:t>
            </w:r>
          </w:p>
        </w:tc>
      </w:tr>
      <w:tr>
        <w:tc>
          <w:tcPr>
            <w:tcW w:type="dxa" w:w="3400"/>
            <w:vAlign w:val="center"/>
          </w:tcPr>
          <w:p>
            <w:r/>
            <w:r>
              <w:rPr>
                <w:rFonts w:ascii="宋体" w:hAnsi="宋体" w:eastAsia="宋体"/>
                <w:b/>
                <w:sz w:val="21"/>
              </w:rPr>
              <w:t>10</w:t>
            </w:r>
          </w:p>
        </w:tc>
        <w:tc>
          <w:tcPr>
            <w:tcW w:type="dxa" w:w="3400"/>
            <w:vAlign w:val="center"/>
          </w:tcPr>
          <w:p>
            <w:r/>
            <w:r>
              <w:rPr>
                <w:rFonts w:ascii="宋体" w:hAnsi="宋体" w:eastAsia="宋体"/>
                <w:b w:val="0"/>
                <w:sz w:val="21"/>
              </w:rPr>
              <w:t>RADOS</w:t>
            </w:r>
          </w:p>
        </w:tc>
        <w:tc>
          <w:tcPr>
            <w:tcW w:type="dxa" w:w="3400"/>
            <w:vAlign w:val="center"/>
          </w:tcPr>
          <w:p>
            <w:r/>
            <w:r>
              <w:rPr>
                <w:rFonts w:ascii="宋体" w:hAnsi="宋体" w:eastAsia="宋体"/>
                <w:b w:val="0"/>
                <w:sz w:val="18"/>
              </w:rPr>
              <w:t>Ceph 以 RADOS 为底层统一对象存储系统。</w:t>
            </w:r>
          </w:p>
        </w:tc>
      </w:tr>
    </w:tbl>
    <w:p>
      <w:pPr>
        <w:pStyle w:val="Heading1"/>
      </w:pPr>
      <w:r>
        <w:rPr>
          <w:b/>
        </w:rPr>
        <w:t>三、判断题答案</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rFonts w:ascii="宋体" w:hAnsi="宋体" w:eastAsia="宋体"/>
                <w:b/>
                <w:sz w:val="21"/>
              </w:rPr>
              <w:t>题号</w:t>
            </w:r>
          </w:p>
        </w:tc>
        <w:tc>
          <w:tcPr>
            <w:tcW w:type="dxa" w:w="3400"/>
            <w:vAlign w:val="center"/>
            <w:shd w:fill="D9EAF7"/>
          </w:tcPr>
          <w:p>
            <w:r/>
            <w:r>
              <w:rPr>
                <w:rFonts w:ascii="宋体" w:hAnsi="宋体" w:eastAsia="宋体"/>
                <w:b/>
                <w:sz w:val="21"/>
              </w:rPr>
              <w:t>答案</w:t>
            </w:r>
          </w:p>
        </w:tc>
        <w:tc>
          <w:tcPr>
            <w:tcW w:type="dxa" w:w="3400"/>
            <w:vAlign w:val="center"/>
            <w:shd w:fill="D9EAF7"/>
          </w:tcPr>
          <w:p>
            <w:r/>
            <w:r>
              <w:rPr>
                <w:rFonts w:ascii="宋体" w:hAnsi="宋体" w:eastAsia="宋体"/>
                <w:b/>
                <w:sz w:val="21"/>
              </w:rPr>
              <w:t>说明</w:t>
            </w:r>
          </w:p>
        </w:tc>
      </w:tr>
      <w:tr>
        <w:tc>
          <w:tcPr>
            <w:tcW w:type="dxa" w:w="3400"/>
            <w:vAlign w:val="center"/>
          </w:tcPr>
          <w:p>
            <w:r/>
            <w:r>
              <w:rPr>
                <w:rFonts w:ascii="宋体" w:hAnsi="宋体" w:eastAsia="宋体"/>
                <w:b/>
                <w:sz w:val="21"/>
              </w:rPr>
              <w:t>1</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计量可覆盖 CPU、存储、带宽、活跃用户等抽象资源。</w:t>
            </w:r>
          </w:p>
        </w:tc>
      </w:tr>
      <w:tr>
        <w:tc>
          <w:tcPr>
            <w:tcW w:type="dxa" w:w="3400"/>
            <w:vAlign w:val="center"/>
          </w:tcPr>
          <w:p>
            <w:r/>
            <w:r>
              <w:rPr>
                <w:rFonts w:ascii="宋体" w:hAnsi="宋体" w:eastAsia="宋体"/>
                <w:b/>
                <w:sz w:val="21"/>
              </w:rPr>
              <w:t>2</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这是混合云的典型优势：安全与弹性兼顾。</w:t>
            </w:r>
          </w:p>
        </w:tc>
      </w:tr>
      <w:tr>
        <w:tc>
          <w:tcPr>
            <w:tcW w:type="dxa" w:w="3400"/>
            <w:vAlign w:val="center"/>
          </w:tcPr>
          <w:p>
            <w:r/>
            <w:r>
              <w:rPr>
                <w:rFonts w:ascii="宋体" w:hAnsi="宋体" w:eastAsia="宋体"/>
                <w:b/>
                <w:sz w:val="21"/>
              </w:rPr>
              <w:t>3</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裸机虚拟化没有 Host OS 转发开销，性能通常更好。</w:t>
            </w:r>
          </w:p>
        </w:tc>
      </w:tr>
      <w:tr>
        <w:tc>
          <w:tcPr>
            <w:tcW w:type="dxa" w:w="3400"/>
            <w:vAlign w:val="center"/>
          </w:tcPr>
          <w:p>
            <w:r/>
            <w:r>
              <w:rPr>
                <w:rFonts w:ascii="宋体" w:hAnsi="宋体" w:eastAsia="宋体"/>
                <w:b/>
                <w:sz w:val="21"/>
              </w:rPr>
              <w:t>4</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共享内核是容器轻量的原因，也使隔离弱于 VM。</w:t>
            </w:r>
          </w:p>
        </w:tc>
      </w:tr>
      <w:tr>
        <w:tc>
          <w:tcPr>
            <w:tcW w:type="dxa" w:w="3400"/>
            <w:vAlign w:val="center"/>
          </w:tcPr>
          <w:p>
            <w:r/>
            <w:r>
              <w:rPr>
                <w:rFonts w:ascii="宋体" w:hAnsi="宋体" w:eastAsia="宋体"/>
                <w:b/>
                <w:sz w:val="21"/>
              </w:rPr>
              <w:t>5</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Namespace 管隔离视图，Cgroup 管资源限制。</w:t>
            </w:r>
          </w:p>
        </w:tc>
      </w:tr>
      <w:tr>
        <w:tc>
          <w:tcPr>
            <w:tcW w:type="dxa" w:w="3400"/>
            <w:vAlign w:val="center"/>
          </w:tcPr>
          <w:p>
            <w:r/>
            <w:r>
              <w:rPr>
                <w:rFonts w:ascii="宋体" w:hAnsi="宋体" w:eastAsia="宋体"/>
                <w:b/>
                <w:sz w:val="21"/>
              </w:rPr>
              <w:t>6</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驱逐优先级通常 BestEffort 最高风险，Guaranteed 最稳定。</w:t>
            </w:r>
          </w:p>
        </w:tc>
      </w:tr>
      <w:tr>
        <w:tc>
          <w:tcPr>
            <w:tcW w:type="dxa" w:w="3400"/>
            <w:vAlign w:val="center"/>
          </w:tcPr>
          <w:p>
            <w:r/>
            <w:r>
              <w:rPr>
                <w:rFonts w:ascii="宋体" w:hAnsi="宋体" w:eastAsia="宋体"/>
                <w:b/>
                <w:sz w:val="21"/>
              </w:rPr>
              <w:t>7</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StatefulSet 需要稳定网络身份和持久存储。</w:t>
            </w:r>
          </w:p>
        </w:tc>
      </w:tr>
      <w:tr>
        <w:tc>
          <w:tcPr>
            <w:tcW w:type="dxa" w:w="3400"/>
            <w:vAlign w:val="center"/>
          </w:tcPr>
          <w:p>
            <w:r/>
            <w:r>
              <w:rPr>
                <w:rFonts w:ascii="宋体" w:hAnsi="宋体" w:eastAsia="宋体"/>
                <w:b/>
                <w:sz w:val="21"/>
              </w:rPr>
              <w:t>8</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Exactly Once 成本高，工程上常用 At Least Once + 幂等。</w:t>
            </w:r>
          </w:p>
        </w:tc>
      </w:tr>
      <w:tr>
        <w:tc>
          <w:tcPr>
            <w:tcW w:type="dxa" w:w="3400"/>
            <w:vAlign w:val="center"/>
          </w:tcPr>
          <w:p>
            <w:r/>
            <w:r>
              <w:rPr>
                <w:rFonts w:ascii="宋体" w:hAnsi="宋体" w:eastAsia="宋体"/>
                <w:b/>
                <w:sz w:val="21"/>
              </w:rPr>
              <w:t>9</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对象由唯一标识、数据和元数据组成。</w:t>
            </w:r>
          </w:p>
        </w:tc>
      </w:tr>
      <w:tr>
        <w:tc>
          <w:tcPr>
            <w:tcW w:type="dxa" w:w="3400"/>
            <w:vAlign w:val="center"/>
          </w:tcPr>
          <w:p>
            <w:r/>
            <w:r>
              <w:rPr>
                <w:rFonts w:ascii="宋体" w:hAnsi="宋体" w:eastAsia="宋体"/>
                <w:b/>
                <w:sz w:val="21"/>
              </w:rPr>
              <w:t>10</w:t>
            </w:r>
          </w:p>
        </w:tc>
        <w:tc>
          <w:tcPr>
            <w:tcW w:type="dxa" w:w="3400"/>
            <w:vAlign w:val="center"/>
          </w:tcPr>
          <w:p>
            <w:r/>
            <w:r>
              <w:rPr>
                <w:rFonts w:ascii="宋体" w:hAnsi="宋体" w:eastAsia="宋体"/>
                <w:b/>
                <w:sz w:val="21"/>
              </w:rPr>
              <w:t>×</w:t>
            </w:r>
          </w:p>
        </w:tc>
        <w:tc>
          <w:tcPr>
            <w:tcW w:type="dxa" w:w="3400"/>
            <w:vAlign w:val="center"/>
          </w:tcPr>
          <w:p>
            <w:r/>
            <w:r>
              <w:rPr>
                <w:rFonts w:ascii="宋体" w:hAnsi="宋体" w:eastAsia="宋体"/>
                <w:b w:val="0"/>
                <w:sz w:val="18"/>
              </w:rPr>
              <w:t>Transformation 惰性记录血缘，Action 才触发计算。</w:t>
            </w:r>
          </w:p>
        </w:tc>
      </w:tr>
    </w:tbl>
    <w:p>
      <w:pPr>
        <w:pStyle w:val="Heading1"/>
      </w:pPr>
      <w:r>
        <w:rPr>
          <w:b/>
        </w:rPr>
        <w:t>四、简答题参考答案</w:t>
      </w:r>
    </w:p>
    <w:p>
      <w:pPr>
        <w:spacing w:line="259" w:lineRule="auto" w:after="80"/>
      </w:pPr>
      <w:r>
        <w:rPr>
          <w:rFonts w:ascii="宋体" w:hAnsi="宋体" w:eastAsia="宋体"/>
          <w:b/>
        </w:rPr>
        <w:t xml:space="preserve">1. </w:t>
      </w:r>
      <w:r>
        <w:rPr>
          <w:rFonts w:ascii="宋体" w:hAnsi="宋体" w:eastAsia="宋体"/>
        </w:rPr>
        <w:t>replicas=27。maxSurge=27×15%=4.05，向上取整为 5，因此最多 Pod 数为 27+5=32。maxUnavailable=27×10%=2.7，向下取整为 2，因此最少可用 Pod 数为 27-2=25。取整规则是：maxSurge 向上取整，保证允许额外创建的数量不低估；maxUnavailable 向下取整，避免不可用 Pod 数过多。</w:t>
      </w:r>
    </w:p>
    <w:p>
      <w:pPr>
        <w:spacing w:line="259" w:lineRule="auto" w:after="80"/>
      </w:pPr>
      <w:r>
        <w:rPr>
          <w:rFonts w:ascii="宋体" w:hAnsi="宋体" w:eastAsia="宋体"/>
          <w:b/>
        </w:rPr>
        <w:t xml:space="preserve">2. </w:t>
      </w:r>
      <w:r>
        <w:rPr>
          <w:rFonts w:ascii="宋体" w:hAnsi="宋体" w:eastAsia="宋体"/>
        </w:rPr>
        <w:t>按顺时针找到第一个大于等于键位置的节点：k1=12 落到 A@15；k2=30 落到 B@45；k3=64 落到 C@70；k4=88 落到 D@90。新增 E@60 后，只接管原来属于 C 的 (45,60] 区间。四个键中没有位于该区间的键，因此都不迁移。若有 hash=50 或 58 的键，则会由 C 迁移到 E。这体现一致性哈希增删节点只影响相邻区间，迁移量较小。</w:t>
      </w:r>
    </w:p>
    <w:p>
      <w:pPr>
        <w:spacing w:line="259" w:lineRule="auto" w:after="80"/>
      </w:pPr>
      <w:r>
        <w:rPr>
          <w:rFonts w:ascii="宋体" w:hAnsi="宋体" w:eastAsia="宋体"/>
          <w:b/>
        </w:rPr>
        <w:t xml:space="preserve">3. </w:t>
      </w:r>
      <w:r>
        <w:rPr>
          <w:rFonts w:ascii="宋体" w:hAnsi="宋体" w:eastAsia="宋体"/>
        </w:rPr>
        <w:t>Amdahl 定律：S=1/(s+p/N)。其中 s=0.3，p=0.7，N=8，所以 S=1/(0.3+0.7/8)=1/(0.3+0.0875)=1/0.3875≈2.58。处理器数趋于无穷时，并行部分耗时趋近于 0，上限为 1/s=1/0.3≈3.33。由于理论上限小于 5，因此仅靠增加处理器无法达到 5 倍加速，必须降低串行比例或改变算法。</w:t>
      </w:r>
    </w:p>
    <w:p>
      <w:pPr>
        <w:spacing w:line="259" w:lineRule="auto" w:after="80"/>
      </w:pPr>
      <w:r>
        <w:rPr>
          <w:rFonts w:ascii="宋体" w:hAnsi="宋体" w:eastAsia="宋体"/>
          <w:b/>
        </w:rPr>
        <w:t xml:space="preserve">4. </w:t>
      </w:r>
      <w:r>
        <w:rPr>
          <w:rFonts w:ascii="宋体" w:hAnsi="宋体" w:eastAsia="宋体"/>
        </w:rPr>
        <w:t>Map 输入一条成绩记录，输出 (课程ID, (分数,1))。Combiner 对同一课程的本地记录求和与计数，输出 (课程ID, (localSum, localCount))。Reduce 汇总所有局部二元组，输出 (课程ID, totalSum/totalCount)。Combiner 不能只输出局部平均值，因为不同 Map 分区中的样本数量可能不同，直接对局部平均值再平均会破坏权重，导致结果错误。</w:t>
      </w:r>
    </w:p>
    <w:p>
      <w:pPr>
        <w:spacing w:line="259" w:lineRule="auto" w:after="80"/>
      </w:pPr>
      <w:r>
        <w:rPr>
          <w:rFonts w:ascii="宋体" w:hAnsi="宋体" w:eastAsia="宋体"/>
          <w:b/>
        </w:rPr>
        <w:t xml:space="preserve">5. </w:t>
      </w:r>
      <w:r>
        <w:rPr>
          <w:rFonts w:ascii="宋体" w:hAnsi="宋体" w:eastAsia="宋体"/>
        </w:rPr>
        <w:t>map、filter 通常是窄依赖；join 通常需要按 key 跨分区对齐，属于宽依赖并触发 Shuffle；join 后的 mapValues 是窄依赖；reduceByKey 再次按 key 聚合，通常也是宽依赖并触发第二次 Shuffle；saveAsTextFile 是 Action。Stage 以 Shuffle 为边界，最少可划分为 3 个 Stage：join 前一段、join 后到 reduceByKey 前一段、reduceByKey 后到保存结果。</w:t>
      </w:r>
    </w:p>
    <w:p>
      <w:pPr>
        <w:pStyle w:val="Heading1"/>
      </w:pPr>
      <w:r>
        <w:rPr>
          <w:b/>
        </w:rPr>
        <w:t>五、问答题参考答案</w:t>
      </w:r>
    </w:p>
    <w:p>
      <w:pPr>
        <w:spacing w:line="259" w:lineRule="auto" w:after="100"/>
      </w:pPr>
      <w:r>
        <w:rPr>
          <w:rFonts w:ascii="宋体" w:hAnsi="宋体" w:eastAsia="宋体"/>
          <w:b/>
        </w:rPr>
        <w:t xml:space="preserve">1. </w:t>
      </w:r>
      <w:r>
        <w:rPr>
          <w:rFonts w:ascii="宋体" w:hAnsi="宋体" w:eastAsia="宋体"/>
        </w:rPr>
        <w:t>大型电商系统可把核心交易、订单和用户数据放在私有云或专有资源中，以满足安全、合规和可控要求；把商品浏览、活动页面、推荐接口等弹性流量部署在公有云上，形成混合云架构。服务模式上，底层数据库、网络和存储可使用 IaaS 以保留较高控制权；应用开发、日志分析、消息中间件可使用 PaaS 降低运维复杂度；办公协同、客服系统等可使用 SaaS 直接交付。本质特征上，活动高峰时利用快速弹性自动扩容，平时缩容；通过资源池化和多租户共享提高利用率；用户和运维人员通过广泛网络访问管理平台；资源按 CPU、带宽、存储和请求量计量付费。成本上，避免为峰值长期购买硬件，用按量计费匹配业务波动，同时要考虑数据出云、跨云网络、灾备和安全治理成本。</w:t>
      </w:r>
    </w:p>
    <w:p>
      <w:pPr>
        <w:spacing w:line="259" w:lineRule="auto" w:after="100"/>
      </w:pPr>
      <w:r>
        <w:rPr>
          <w:rFonts w:ascii="宋体" w:hAnsi="宋体" w:eastAsia="宋体"/>
          <w:b/>
        </w:rPr>
        <w:t xml:space="preserve">2. </w:t>
      </w:r>
      <w:r>
        <w:rPr>
          <w:rFonts w:ascii="宋体" w:hAnsi="宋体" w:eastAsia="宋体"/>
        </w:rPr>
        <w:t>软件虚拟化主要依靠 VMM 的截获与翻译机制模拟特权指令，例如二进制翻译或 trap-and-emulate，兼容性较好但开销较大。早期 x86 存在敏感指令不陷入的问题，导致 VMM 无法完全可靠地控制 Guest OS。硬件辅助虚拟化通过 Intel VT-x/AMD-V 引入 Root/Non-root 两套运行环境，VMM 在 Root 模式运行，Guest OS 在 Non-root 模式运行；Guest 执行敏感操作时触发 VM-Exit 交给 VMM 处理。内存虚拟化中，SPT 由 Hypervisor 维护影子页表，需要拦截和同步地址转换；EPT 由硬件 MMU 支持两级地址转换，效率更高。容器不虚拟化完整硬件，而是共享宿主机内核，使用 Namespace 隔离 PID、网络、挂载、用户等视图，用 Cgroup 限制 CPU、内存、I/O 等资源，用镜像分层和写时复制提高构建、分发和启动效率。虚拟机隔离强但重，容器轻量但隔离弱，二者适用场景不同。</w:t>
      </w:r>
    </w:p>
    <w:p>
      <w:pPr>
        <w:spacing w:line="259" w:lineRule="auto" w:after="100"/>
      </w:pPr>
      <w:r>
        <w:rPr>
          <w:rFonts w:ascii="宋体" w:hAnsi="宋体" w:eastAsia="宋体"/>
          <w:b/>
        </w:rPr>
        <w:t xml:space="preserve">3. </w:t>
      </w:r>
      <w:r>
        <w:rPr>
          <w:rFonts w:ascii="宋体" w:hAnsi="宋体" w:eastAsia="宋体"/>
        </w:rPr>
        <w:t>无状态 Web 服务适合使用 Deployment，通过 replicas 保持副本数，并用滚动更新策略控制 maxSurge 与 maxUnavailable，实现无停机发布。Redis 属于有状态组件，适合使用 StatefulSet，因为它需要稳定网络身份、稳定存储和有序启停。Headless Service 不分配 ClusterIP，能够让 redis-0、redis-1 等副本获得可单独寻址的稳定 DNS；VolumeClaimTemplates 为每个 Redis 副本创建独立 PVC/PV，保证 Pod 重建后仍能挂回原数据。资源紧张时，应为关键组件设置合理 requests 和 limits，使核心服务尽量达到 Guaranteed 或至少 Burstable，降低被驱逐风险。新版本灰度发布可用 Istio：DestinationRule 定义 v1、v2 subset，VirtualService 设置权重，如 v1 90%、v2 10%，观察指标后逐步放量。若异常，可将权重迅速切回 v1，实现快速回滚。</w:t>
      </w:r>
    </w:p>
    <w:p>
      <w:pPr>
        <w:spacing w:line="259" w:lineRule="auto" w:after="100"/>
      </w:pPr>
      <w:r>
        <w:rPr>
          <w:rFonts w:ascii="宋体" w:hAnsi="宋体" w:eastAsia="宋体"/>
          <w:b/>
        </w:rPr>
        <w:t xml:space="preserve">4. </w:t>
      </w:r>
      <w:r>
        <w:rPr>
          <w:rFonts w:ascii="宋体" w:hAnsi="宋体" w:eastAsia="宋体"/>
        </w:rPr>
        <w:t>订单事件处理系统可将 Topic 按订单 ID 或用户 ID 作为 key 分区，使同一订单或同一用户的事件进入同一 Partition，利用分区内 Offset 顺序保证局部有序；不同用户或订单分散到多个分区，实现并行消费。可靠性上，可选择 At Least Once 投递语义，保证消息不丢，但消费端必须做幂等，例如使用订单事件唯一 ID、数据库唯一键、去重表或状态机校验，避免重复扣款、重复发货等副作用。At Most Once 可能丢失订单事件，不适合核心交易；Exactly Once 语义理想但实现成本高，需要事务、幂等 Producer、消费位点和业务状态一致提交等机制。CAP/BASE 角度，在网络分区下若系统偏 CP，可牺牲部分可用性保证订单状态一致；若偏 AP，可保持接单可用但接受短暂不一致，之后通过补偿、对账和最终一致修正。实际订单系统通常对支付、库存扣减偏 CP，对通知、日志、推荐等链路偏 AP。</w:t>
      </w:r>
    </w:p>
    <w:p>
      <w:pPr>
        <w:spacing w:line="259" w:lineRule="auto" w:after="100"/>
      </w:pPr>
      <w:r>
        <w:rPr>
          <w:rFonts w:ascii="宋体" w:hAnsi="宋体" w:eastAsia="宋体"/>
          <w:b/>
        </w:rPr>
        <w:t xml:space="preserve">5. </w:t>
      </w:r>
      <w:r>
        <w:rPr>
          <w:rFonts w:ascii="宋体" w:hAnsi="宋体" w:eastAsia="宋体"/>
        </w:rPr>
        <w:t>GFS 通过大块 chunk、Master 元数据管理和多副本机制支持大规模文件存储。大块设计减少 Client 与 Master 交互、降低元数据规模，但小文件高频访问可能形成热点。Ceph 以 RADOS 为底层，向上提供 RBD 块存储、CephFS 文件存储和 RGW 对象存储，统一支持多种存储接口；对象存储使用 Key、Value、Metadata 扁平化管理，适合海量非结构化数据。MapReduce 通过 Map、Shuffle、Reduce 实现批处理并行计算，Combiner 可减少网络传输；Spark 通过 RDD 血缘、DAG 调度和内存计算提升效率，宽依赖触发 Shuffle 并形成 Stage 边界，分区丢失可按血缘重算。图计算中 PageRank 依靠入链贡献和阻尼因子迭代，Neo4j 适合持久化图查询，NetworkX 适合内存原型。云原生平台方面，Helm 把多个 YAML 打包成 Chart，实现参数化安装、升级和回滚；Operator 通过 CRD 表达期望状态，由控制器 Reconcile Loop 持续调谐，实现数据库、监控系统或 Spark 作业的自动化运维。</w:t>
      </w:r>
    </w:p>
    <w:p>
      <w:pPr>
        <w:pStyle w:val="Heading1"/>
      </w:pPr>
      <w:r>
        <w:rPr>
          <w:b/>
        </w:rPr>
        <w:t>主观题评分建议</w:t>
      </w:r>
    </w:p>
    <w:p>
      <w:r>
        <w:t>简答题每题 4 分，按关键词、计算过程和结论给分；问答题每题 4 分，建议按概念准确性、结构完整性、场景分析、表达清晰度分配。若答案表述不同但核心含义一致，可酌情给分。</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