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云计算技术期末模拟试卷（D卷·拔高版）参考答案</w:t>
      </w:r>
    </w:p>
    <w:p>
      <w:pPr>
        <w:jc w:val="center"/>
      </w:pPr>
      <w:r>
        <w:rPr>
          <w:rFonts w:ascii="宋体" w:hAnsi="宋体" w:eastAsia="宋体"/>
          <w:sz w:val="21"/>
        </w:rPr>
        <w:t>供复习自测使用，主观题按要点给分</w:t>
      </w:r>
    </w:p>
    <w:p>
      <w:pPr>
        <w:pStyle w:val="Heading1"/>
      </w:pPr>
      <w:r>
        <w:rPr>
          <w:b/>
        </w:rPr>
        <w:t>一、选择题答案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题号</w:t>
            </w:r>
          </w:p>
        </w:tc>
        <w:tc>
          <w:tcPr>
            <w:tcW w:type="dxa" w:w="204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答案</w:t>
            </w:r>
          </w:p>
        </w:tc>
        <w:tc>
          <w:tcPr>
            <w:tcW w:type="dxa" w:w="204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题号</w:t>
            </w:r>
          </w:p>
        </w:tc>
        <w:tc>
          <w:tcPr>
            <w:tcW w:type="dxa" w:w="204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答案</w:t>
            </w:r>
          </w:p>
        </w:tc>
        <w:tc>
          <w:tcPr>
            <w:tcW w:type="dxa" w:w="204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简要说明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自行创建资源体现按需自服务，按 GPU/存储/流量计费体现可计量服务。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2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C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用户控制程度通常 IaaS 最高，PaaS 次之，SaaS 最低。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3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C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社区云面向特定组织或行业共同体共享基础设施。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4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B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裸机虚拟化直接运行在硬件上，性能较好但部署要求高。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5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B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VT-x 通过 Root/Non-root 和 VM-Exit 让 VMM 获得控制权。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6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B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EPT 是硬件辅助的两级地址转换，涉及 GVA/GPA/HPA。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B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资源限制主要由 Cgroup 负责。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8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只读层共享，可写层写时复制，容器间互不影响。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9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C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不可变基础设施强调重建和替换，而不是原地修改。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B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ceil(31×12%)=4，floor(31×17%)=5，最多 35，最少 26。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11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B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Guaranteed 要求每个容器 CPU 和内存 requests/limits 都设置且相等，B 容器缺 memory limit。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12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VolumeClaimTemplates 为每个 StatefulSet 副本生成独立 PVC。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13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DestinationRule 定义 subset 后，权重主要在 VirtualService 中调整。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14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B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组内并行度受 min(消费者数, 分区数) 限制，G1 为 4，G2 为 7。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15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B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同一订单必须进入同一分区，同时需要监控热点 key。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16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67 顺时针到 D@90，5 顺时针到 A@8。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B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E@50 接管原来属于 C 的 (35,50] 区间。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18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B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分区时暂停写入以保证一致性，偏 CP。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19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C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reduceByKey 和 join 通常是宽依赖，都会触发 Shuffle。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20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Operator = CRD + 控制器，核心是期望状态与实际状态的持续协调。</w:t>
            </w:r>
          </w:p>
        </w:tc>
      </w:tr>
    </w:tbl>
    <w:p>
      <w:pPr>
        <w:pStyle w:val="Heading1"/>
      </w:pPr>
      <w:r>
        <w:rPr>
          <w:b/>
        </w:rPr>
        <w:t>二、填空题答案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题号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参考答案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Complexity / 复杂度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Complexity 表示复杂度高、分析难度上升。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2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快速弹性 / Rapid elasticity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快速弹性对应自动扩缩容能力。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3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Non-root / 非根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Guest OS 在 Non-root，VMM 在 Root。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4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影子页表 / SPT / Shadow Page Table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SPT 由 Hypervisor 软件维护映射。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5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Namespace / 命名空间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Namespace 负责隔离视图。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6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写时复制 / CoW / Copy-on-Write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CoW 使基础镜像层可共享且不被直接修改。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7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None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Headless Service 的 clusterIP: None。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8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幂等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幂等可让重复消息不产生重复副作用。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9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Eventually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BASE 的 E 是 Eventually consistent，最终一致。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10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Shuffle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宽依赖需要跨分区重分布数据，即 Shuffle。</w:t>
            </w:r>
          </w:p>
        </w:tc>
      </w:tr>
    </w:tbl>
    <w:p>
      <w:pPr>
        <w:pStyle w:val="Heading1"/>
      </w:pPr>
      <w:r>
        <w:rPr>
          <w:b/>
        </w:rPr>
        <w:t>三、判断题答案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题号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答案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资源池化并不等于无隔离，多租户必须保证安全边界。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2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×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这是 SaaS 描述；PaaS 用户仍需管理代码和数据。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3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硬件辅助降低开销，但 VM-Exit、I/O 虚拟化等仍有成本。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4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EPT 由硬件 MMU 辅助两级翻译，提升效率。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5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×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二者反了：Namespace 管视图，Cgroup 管限额。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6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×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不可变基础设施反对原地手工修补。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7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这是 K8s QoS Guaranteed 的核心条件。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8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一个分区同一时刻只能被组内一个消费者消费。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9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这正是一致性哈希减少迁移量的优点。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10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×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RDD 丢失分区时可按血缘重算相关分区，不必全量重算。</w:t>
            </w:r>
          </w:p>
        </w:tc>
      </w:tr>
    </w:tbl>
    <w:p>
      <w:pPr>
        <w:pStyle w:val="Heading1"/>
      </w:pPr>
      <w:r>
        <w:rPr>
          <w:b/>
        </w:rPr>
        <w:t>四、简答题参考答案</w:t>
      </w:r>
    </w:p>
    <w:p>
      <w:pPr>
        <w:spacing w:line="259" w:lineRule="auto" w:after="80"/>
      </w:pPr>
      <w:r>
        <w:rPr>
          <w:rFonts w:ascii="宋体" w:hAnsi="宋体" w:eastAsia="宋体"/>
          <w:b/>
        </w:rPr>
        <w:t xml:space="preserve">1. </w:t>
      </w:r>
      <w:r>
        <w:rPr>
          <w:rFonts w:ascii="宋体" w:hAnsi="宋体" w:eastAsia="宋体"/>
        </w:rPr>
        <w:t>replicas=31。maxSurge=31×12%=3.72，向上取整为 4，因此滚动更新期间最多 Pod 数为 31+4=35。maxUnavailable=31×17%=5.27，向下取整为 5，因此最少可用 Pod 数为 31-5=26。若当前已有 29 个 Pod 可用，则 29≥26，没有低于最少可用要求；但仍应继续观察新旧 Pod 的 readiness，避免后续批次导致可用数下降。</w:t>
      </w:r>
    </w:p>
    <w:p>
      <w:pPr>
        <w:spacing w:line="259" w:lineRule="auto" w:after="80"/>
      </w:pPr>
      <w:r>
        <w:rPr>
          <w:rFonts w:ascii="宋体" w:hAnsi="宋体" w:eastAsia="宋体"/>
          <w:b/>
        </w:rPr>
        <w:t xml:space="preserve">2. </w:t>
      </w:r>
      <w:r>
        <w:rPr>
          <w:rFonts w:ascii="宋体" w:hAnsi="宋体" w:eastAsia="宋体"/>
        </w:rPr>
        <w:t>Pod A：Guaranteed，因为每个容器 CPU 和内存的 requests 与 limits 都设置且相等。Pod B：Burstable，因为设置了 requests 但不满足 Guaranteed 条件。Pod C：BestEffort，因为 requests 和 limits 都没有设置。资源紧张时通常先驱逐 BestEffort，再考虑 Burstable，最后才是 Guaranteed，因此风险从高到低为 Pod C、Pod B、Pod A。</w:t>
      </w:r>
    </w:p>
    <w:p>
      <w:pPr>
        <w:spacing w:line="259" w:lineRule="auto" w:after="80"/>
      </w:pPr>
      <w:r>
        <w:rPr>
          <w:rFonts w:ascii="宋体" w:hAnsi="宋体" w:eastAsia="宋体"/>
          <w:b/>
        </w:rPr>
        <w:t xml:space="preserve">3. </w:t>
      </w:r>
      <w:r>
        <w:rPr>
          <w:rFonts w:ascii="宋体" w:hAnsi="宋体" w:eastAsia="宋体"/>
        </w:rPr>
        <w:t>按顺时针找到第一个大于等于键位置的节点：k1=5 落到 A@8；k2=37 落到 C@66；k3=52 落到 C@66；k4=81 落到 D@90；k5=96 超过 D 后绕回 A@8。新增 E@50 后，E 接管原来属于 C 的 (35,50] 区间。五个键中 k2=37 位于该区间，会由 C 迁移到 E；k3=52 不属于 (35,50]，仍落到 C；其他键不变。这体现新增节点只影响相邻区间。</w:t>
      </w:r>
    </w:p>
    <w:p>
      <w:pPr>
        <w:spacing w:line="259" w:lineRule="auto" w:after="80"/>
      </w:pPr>
      <w:r>
        <w:rPr>
          <w:rFonts w:ascii="宋体" w:hAnsi="宋体" w:eastAsia="宋体"/>
          <w:b/>
        </w:rPr>
        <w:t xml:space="preserve">4. </w:t>
      </w:r>
      <w:r>
        <w:rPr>
          <w:rFonts w:ascii="宋体" w:hAnsi="宋体" w:eastAsia="宋体"/>
        </w:rPr>
        <w:t>单个 Consumer Group 内，一个 Partition 同一时刻只能由一个消费者消费。G1 有 4 个消费者、Topic 有 7 个 Partition，因此最多 4 个消费者同时消费，还有 3 个 Partition 会分配给其中一些消费者。G2 有 9 个消费者、Topic 有 7 个 Partition，因此最多 7 个消费者同时消费，2 个消费者空闲。不同 Consumer Group 维护各自的消费位点和分区分配，彼此独立，因此 G1 和 G2 都可以读取同一 Topic，不会相互抢占同一个组内的 Partition。</w:t>
      </w:r>
    </w:p>
    <w:p>
      <w:pPr>
        <w:spacing w:line="259" w:lineRule="auto" w:after="80"/>
      </w:pPr>
      <w:r>
        <w:rPr>
          <w:rFonts w:ascii="宋体" w:hAnsi="宋体" w:eastAsia="宋体"/>
          <w:b/>
        </w:rPr>
        <w:t xml:space="preserve">5. </w:t>
      </w:r>
      <w:r>
        <w:rPr>
          <w:rFonts w:ascii="宋体" w:hAnsi="宋体" w:eastAsia="宋体"/>
        </w:rPr>
        <w:t>textFile 是数据源；map 是窄依赖；reduceByKey 需要按 key 跨分区聚合，属于宽依赖并触发第一次 Shuffle；filter 是窄依赖；join 通常需要两个 RDD 按 key 对齐，属于宽依赖并触发第二次 Shuffle；mapValues 是窄依赖；count 是 Action，触发整个作业执行。Stage 以 Shuffle 为边界，因此最少可划分为 3 个 Stage：reduceByKey 前一段、reduceByKey 后到 join 前一段、join 后到 count 的一段。若 join 两侧分区器已完全一致，实际 Shuffle 可能被优化，但按一般考法按宽依赖处理。</w:t>
      </w:r>
    </w:p>
    <w:p>
      <w:pPr>
        <w:pStyle w:val="Heading1"/>
      </w:pPr>
      <w:r>
        <w:rPr>
          <w:b/>
        </w:rPr>
        <w:t>五、问答题参考答案</w:t>
      </w:r>
    </w:p>
    <w:p>
      <w:pPr>
        <w:spacing w:line="259" w:lineRule="auto" w:after="100"/>
      </w:pPr>
      <w:r>
        <w:rPr>
          <w:rFonts w:ascii="宋体" w:hAnsi="宋体" w:eastAsia="宋体"/>
          <w:b/>
        </w:rPr>
        <w:t xml:space="preserve">1. </w:t>
      </w:r>
      <w:r>
        <w:rPr>
          <w:rFonts w:ascii="宋体" w:hAnsi="宋体" w:eastAsia="宋体"/>
        </w:rPr>
        <w:t>在线教育平台可采用混合云或公有云为主、关键数据加专有存储的方案。期末周访问突增明显，适合利用云计算快速弹性进行自动扩容；平时缩容以降低成本，并用按量计费匹配流量波动。服务模式上，Web 与计算节点可使用 IaaS 获得较高控制权；题库服务、数据库、消息队列、日志分析等可使用 PaaS 降低运维负担；办公协同、邮件通知等可使用 SaaS。答题记录应写入可靠存储，核心成绩数据在网络分区时应偏 CP，宁可短暂拒绝写入也要避免成绩冲突；学习行为日志、推荐特征等可偏 AP，允许短暂不一致后按 BASE 最终一致修复。消息队列可采用 At Least Once 保证不丢，同时以答题记录 ID、提交版本号或数据库唯一键做幂等，避免重复提交导致成绩重复计算。整体方案要兼顾弹性、成本、可靠性和合规。</w:t>
      </w:r>
    </w:p>
    <w:p>
      <w:pPr>
        <w:spacing w:line="259" w:lineRule="auto" w:after="100"/>
      </w:pPr>
      <w:r>
        <w:rPr>
          <w:rFonts w:ascii="宋体" w:hAnsi="宋体" w:eastAsia="宋体"/>
          <w:b/>
        </w:rPr>
        <w:t xml:space="preserve">2. </w:t>
      </w:r>
      <w:r>
        <w:rPr>
          <w:rFonts w:ascii="宋体" w:hAnsi="宋体" w:eastAsia="宋体"/>
        </w:rPr>
        <w:t>虚拟机通过 Hypervisor/VMM 把物理 CPU、内存、磁盘和网络映射成虚拟资源，每个 VM 运行完整 Guest OS，隔离强、安全边界清晰，但启动慢、镜像大、资源开销高。早期软件虚拟化依靠二进制翻译或 trap-and-emulate 处理特权指令，开销较大；硬件辅助虚拟化通过 VT-x/AMD-V 引入 Root/Non-root 模式，Guest 敏感操作触发 VM-Exit 交给 VMM，降低了无法捕获敏感指令的问题。内存方面，SPT 由 Hypervisor 维护映射，开销大；EPT 由硬件支持两级地址转换，效率更好。容器共享宿主机内核，不虚拟化完整硬件，只隔离应用及依赖，启动可达毫秒/秒级，空间常为 MB 级。Namespace 隔离 PID、NET、MNT、UTS、IPC、USER 等视图，Cgroup 限制 CPU、内存和 I/O，镜像分层与 CoW 支持快速构建和分发。容器性能和密度更好，但共享内核导致隔离弱于 VM，适合微服务与云原生；VM 适合强隔离、多内核或异构 OS 场景。</w:t>
      </w:r>
    </w:p>
    <w:p>
      <w:pPr>
        <w:spacing w:line="259" w:lineRule="auto" w:after="100"/>
      </w:pPr>
      <w:r>
        <w:rPr>
          <w:rFonts w:ascii="宋体" w:hAnsi="宋体" w:eastAsia="宋体"/>
          <w:b/>
        </w:rPr>
        <w:t xml:space="preserve">3. </w:t>
      </w:r>
      <w:r>
        <w:rPr>
          <w:rFonts w:ascii="宋体" w:hAnsi="宋体" w:eastAsia="宋体"/>
        </w:rPr>
        <w:t>无状态 Web 层应使用 Deployment 管理副本，通过 replicas 和滚动更新策略控制可用性，例如设置合理 maxSurge 和 maxUnavailable，保证更新期间仍有足够可用 Pod。服务暴露可使用普通 Service。Redis 是有状态组件，应使用 StatefulSet，因为它需要稳定身份、稳定存储和有序启停。Headless Service 设置 clusterIP: None，使 redis-0、redis-1 等获得可预测 DNS；VolumeClaimTemplates 为每个副本创建独立 PVC/PV，Pod 重建后仍挂载原数据。资源驱逐方面，关键组件应设置 CPU/内存 requests 和 limits，核心 Redis 尽量达到 Guaranteed，Web 至少 Burstable，降低资源紧张时被杀风险。灰度发布可通过 Istio 实现：DestinationRule 定义 v1、v2 subset，VirtualService 设置权重，如 v1 95%、v2 5%，观察错误率、延迟和业务指标后逐步放量。若 v2 异常，可快速把权重切回 v1。更进一步，可用 Helm 打包 YAML，用 Operator 管理 Redis 的备份、扩容、故障恢复等运维动作。</w:t>
      </w:r>
    </w:p>
    <w:p>
      <w:pPr>
        <w:spacing w:line="259" w:lineRule="auto" w:after="100"/>
      </w:pPr>
      <w:r>
        <w:rPr>
          <w:rFonts w:ascii="宋体" w:hAnsi="宋体" w:eastAsia="宋体"/>
          <w:b/>
        </w:rPr>
        <w:t xml:space="preserve">4. </w:t>
      </w:r>
      <w:r>
        <w:rPr>
          <w:rFonts w:ascii="宋体" w:hAnsi="宋体" w:eastAsia="宋体"/>
        </w:rPr>
        <w:t>日志、图片、视频等非结构化数据适合对象存储，使用 Key、Value、Metadata 管理，容量弹性大、适合海量数据；高性能数据库磁盘适合块存储；共享目录和训练数据集可用文件存储。GFS 思路通过大 chunk、Master 元数据和多副本提高大文件吞吐，优点是减少元数据与网络交互，缺点是小文件热点问题；Ceph 以 RADOS 为底层，向上提供 RBD、CephFS、RGW，统一支持块、文件、对象。批处理方面，MapReduce 适合离线大规模批处理，Map、Shuffle、Reduce 清晰但中间结果落盘较多；Spark 通过 RDD、DAG、内存计算和血缘容错提升迭代计算效率，宽依赖触发 Shuffle 并划分 Stage。图分析方面，可用 Spark GraphX 或类似框架迭代 PageRank，利用入链贡献和阻尼因子评估节点重要性；若需要持久化图查询、关系遍历和事务，可使用 Neo4j，Cypher 查询朋友的朋友、路径发现等更方便。整条链路体现云平台对存储、计算和图查询的分层支持。</w:t>
      </w:r>
    </w:p>
    <w:p>
      <w:pPr>
        <w:spacing w:line="259" w:lineRule="auto" w:after="100"/>
      </w:pPr>
      <w:r>
        <w:rPr>
          <w:rFonts w:ascii="宋体" w:hAnsi="宋体" w:eastAsia="宋体"/>
          <w:b/>
        </w:rPr>
        <w:t xml:space="preserve">5. </w:t>
      </w:r>
      <w:r>
        <w:rPr>
          <w:rFonts w:ascii="宋体" w:hAnsi="宋体" w:eastAsia="宋体"/>
        </w:rPr>
        <w:t>支付接口超时时，应引入熔断器和限流降级。Closed 状态下当失败率超过阈值进入 Open，直接快速失败，避免线程和连接被耗尽；冷却后进入 Half-Open，用少量请求探测恢复，成功再回 Closed，失败回 Open。订单消息重复投递可采用 At Least Once 保证不丢，同时以订单事件 ID、幂等键、数据库唯一约束和状态机校验避免重复扣款或重复发货。新版本服务错误率升高时，应通过 Istio 金丝雀发布控制流量，DestinationRule 定义 v1/v2，VirtualService 先给 v2 5% 或 10%，监控异常后立即切回 v1，并结合 Kubernetes 滚动更新和 readinessProbe 防止坏实例进入流量。跨云数据同步延迟是混合云常见问题，核心订单和支付链路应偏 CP，必要时暂停写入或使用主库强一致；日志、推荐、通知等可偏 AP，接受最终一致并通过补偿任务修复。整体上要把核心交易的正确性、外围链路的可用性和大促弹性扩缩容结合起来。</w:t>
      </w:r>
    </w:p>
    <w:p>
      <w:pPr>
        <w:pStyle w:val="Heading1"/>
      </w:pPr>
      <w:r>
        <w:rPr>
          <w:b/>
        </w:rPr>
        <w:t>主观题评分建议</w:t>
      </w:r>
    </w:p>
    <w:p>
      <w:r>
        <w:t>简答题每题 4 分，按关键词、计算过程和结论给分；问答题每题 4 分，建议按概念准确性、结构完整性、场景分析、表达清晰度分配。若答案表述不同但核心含义一致，可酌情给分。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