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18979A">
      <w:pPr>
        <w:spacing w:line="24" w:lineRule="atLeast"/>
        <w:jc w:val="center"/>
        <w:rPr>
          <w:rFonts w:eastAsia="黑体"/>
          <w:b/>
          <w:bCs/>
          <w:sz w:val="44"/>
        </w:rPr>
      </w:pPr>
      <w:r>
        <w:drawing>
          <wp:inline distT="0" distB="0" distL="0" distR="0">
            <wp:extent cx="3848100" cy="895350"/>
            <wp:effectExtent l="0" t="0" r="0" b="0"/>
            <wp:docPr id="2" name="图片 2" descr="Untitled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Untitled-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89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8D07E6">
      <w:pPr>
        <w:spacing w:line="24" w:lineRule="atLeast"/>
        <w:jc w:val="center"/>
        <w:rPr>
          <w:color w:val="000000"/>
        </w:rPr>
      </w:pPr>
    </w:p>
    <w:p w14:paraId="645A74F6">
      <w:pPr>
        <w:spacing w:line="24" w:lineRule="atLeast"/>
        <w:jc w:val="center"/>
        <w:rPr>
          <w:color w:val="000000"/>
        </w:rPr>
      </w:pPr>
      <w:r>
        <w:rPr>
          <w:rFonts w:hint="eastAsia"/>
          <w:color w:val="000000"/>
        </w:rPr>
        <w:drawing>
          <wp:inline distT="0" distB="0" distL="0" distR="0">
            <wp:extent cx="1076325" cy="1076325"/>
            <wp:effectExtent l="0" t="0" r="0" b="0"/>
            <wp:docPr id="1" name="图片 1" descr="标志 圆型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标志 圆型"/>
                    <pic:cNvPicPr preferRelativeResize="0">
                      <a:picLocks noChangeArrowheads="1"/>
                    </pic:cNvPicPr>
                  </pic:nvPicPr>
                  <pic:blipFill>
                    <a:blip r:embed="rId9" cstate="print">
                      <a:lum bright="20000" contrast="2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76325" cy="107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FBDD1A">
      <w:pPr>
        <w:spacing w:line="24" w:lineRule="atLeast"/>
        <w:jc w:val="center"/>
        <w:rPr>
          <w:color w:val="000000"/>
        </w:rPr>
      </w:pPr>
    </w:p>
    <w:p w14:paraId="19630974">
      <w:pPr>
        <w:spacing w:line="24" w:lineRule="atLeast"/>
        <w:jc w:val="center"/>
        <w:rPr>
          <w:rFonts w:ascii="黑体" w:hAnsi="宋体" w:eastAsia="黑体"/>
          <w:b/>
          <w:sz w:val="52"/>
          <w:szCs w:val="52"/>
        </w:rPr>
      </w:pPr>
      <w:r>
        <w:rPr>
          <w:rFonts w:hint="eastAsia" w:ascii="黑体" w:hAnsi="宋体" w:eastAsia="黑体"/>
          <w:b/>
          <w:sz w:val="52"/>
          <w:szCs w:val="52"/>
        </w:rPr>
        <w:t>智能</w:t>
      </w:r>
      <w:r>
        <w:rPr>
          <w:rFonts w:hint="eastAsia" w:ascii="黑体" w:hAnsi="宋体" w:eastAsia="黑体"/>
          <w:b/>
          <w:sz w:val="52"/>
          <w:szCs w:val="52"/>
          <w:lang w:val="en-US" w:eastAsia="zh-CN"/>
        </w:rPr>
        <w:t>交通</w:t>
      </w:r>
    </w:p>
    <w:p w14:paraId="74703EDF">
      <w:pPr>
        <w:spacing w:line="24" w:lineRule="atLeast"/>
        <w:jc w:val="center"/>
        <w:rPr>
          <w:rFonts w:hint="eastAsia"/>
          <w:b/>
          <w:bCs/>
        </w:rPr>
      </w:pPr>
      <w:r>
        <w:rPr>
          <w:rFonts w:hint="eastAsia" w:ascii="黑体" w:hAnsi="宋体" w:eastAsia="黑体"/>
          <w:b/>
          <w:sz w:val="52"/>
          <w:szCs w:val="52"/>
          <w:lang w:val="en-US" w:eastAsia="zh-CN"/>
        </w:rPr>
        <w:t>大作业</w:t>
      </w:r>
      <w:r>
        <w:rPr>
          <w:rFonts w:hint="eastAsia" w:ascii="黑体" w:hAnsi="宋体" w:eastAsia="黑体"/>
          <w:b/>
          <w:sz w:val="52"/>
          <w:szCs w:val="52"/>
        </w:rPr>
        <w:t>报告</w:t>
      </w:r>
    </w:p>
    <w:tbl>
      <w:tblPr>
        <w:tblStyle w:val="34"/>
        <w:tblpPr w:leftFromText="180" w:rightFromText="180" w:vertAnchor="text" w:horzAnchor="page" w:tblpX="1680" w:tblpY="372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4"/>
        <w:gridCol w:w="5164"/>
      </w:tblGrid>
      <w:tr w14:paraId="1836B8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64" w:type="dxa"/>
            <w:tcBorders>
              <w:tl2br w:val="nil"/>
              <w:tr2bl w:val="nil"/>
            </w:tcBorders>
          </w:tcPr>
          <w:p w14:paraId="5B307D57">
            <w:pPr>
              <w:keepNext w:val="0"/>
              <w:keepLines w:val="0"/>
              <w:widowControl w:val="0"/>
              <w:suppressLineNumbers w:val="0"/>
              <w:tabs>
                <w:tab w:val="center" w:pos="4153"/>
                <w:tab w:val="left" w:pos="6525"/>
              </w:tabs>
              <w:spacing w:before="0" w:beforeAutospacing="0" w:after="0" w:afterAutospacing="0" w:line="480" w:lineRule="auto"/>
              <w:ind w:right="0"/>
              <w:jc w:val="right"/>
              <w:rPr>
                <w:rFonts w:hint="default" w:ascii="楷体_GB2312" w:hAnsi="Times New Roman" w:eastAsia="楷体_GB2312" w:cs="楷体_GB2312"/>
                <w:bCs/>
                <w:kern w:val="2"/>
                <w:sz w:val="32"/>
                <w:szCs w:val="32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sz w:val="32"/>
                <w:szCs w:val="32"/>
              </w:rPr>
              <w:t>报告题目：</w:t>
            </w:r>
          </w:p>
        </w:tc>
        <w:tc>
          <w:tcPr>
            <w:tcW w:w="5164" w:type="dxa"/>
            <w:tcBorders>
              <w:tl2br w:val="nil"/>
              <w:tr2bl w:val="nil"/>
            </w:tcBorders>
          </w:tcPr>
          <w:p w14:paraId="1C68842E">
            <w:pPr>
              <w:keepNext w:val="0"/>
              <w:keepLines w:val="0"/>
              <w:widowControl w:val="0"/>
              <w:suppressLineNumbers w:val="0"/>
              <w:tabs>
                <w:tab w:val="center" w:pos="4153"/>
                <w:tab w:val="left" w:pos="6525"/>
              </w:tabs>
              <w:spacing w:before="0" w:beforeAutospacing="0" w:after="0" w:afterAutospacing="0" w:line="240" w:lineRule="auto"/>
              <w:ind w:right="0"/>
              <w:jc w:val="left"/>
              <w:rPr>
                <w:rFonts w:hint="default" w:ascii="Times New Roman" w:hAnsi="Times New Roman" w:eastAsia="楷体_GB2312" w:cs="Times New Roman"/>
                <w:bCs/>
                <w:kern w:val="2"/>
                <w:sz w:val="32"/>
                <w:szCs w:val="32"/>
                <w:u w:val="singl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sz w:val="32"/>
                <w:szCs w:val="32"/>
                <w:u w:val="single"/>
              </w:rPr>
              <w:t>基于 Transformer 的交通流预测</w:t>
            </w:r>
          </w:p>
        </w:tc>
      </w:tr>
      <w:tr w14:paraId="06F6E7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64" w:type="dxa"/>
            <w:tcBorders>
              <w:tl2br w:val="nil"/>
              <w:tr2bl w:val="nil"/>
            </w:tcBorders>
          </w:tcPr>
          <w:p w14:paraId="4CBE3EEB">
            <w:pPr>
              <w:keepNext w:val="0"/>
              <w:keepLines w:val="0"/>
              <w:widowControl w:val="0"/>
              <w:suppressLineNumbers w:val="0"/>
              <w:tabs>
                <w:tab w:val="center" w:pos="4153"/>
                <w:tab w:val="left" w:pos="6525"/>
              </w:tabs>
              <w:spacing w:before="0" w:beforeAutospacing="0" w:after="0" w:afterAutospacing="0" w:line="480" w:lineRule="auto"/>
              <w:ind w:right="0"/>
              <w:jc w:val="right"/>
              <w:rPr>
                <w:rFonts w:hint="default" w:ascii="楷体_GB2312" w:hAnsi="Times New Roman" w:eastAsia="楷体_GB2312" w:cs="楷体_GB2312"/>
                <w:bCs/>
                <w:kern w:val="2"/>
                <w:sz w:val="32"/>
                <w:szCs w:val="32"/>
                <w:vertAlign w:val="baseline"/>
                <w:lang w:val="en-US" w:eastAsia="zh-CN" w:bidi="ar"/>
              </w:rPr>
            </w:pPr>
            <w:r>
              <w:rPr>
                <w:rFonts w:hint="default" w:ascii="楷体_GB2312" w:hAnsi="Times New Roman" w:eastAsia="楷体_GB2312" w:cs="楷体_GB2312"/>
                <w:bCs/>
                <w:kern w:val="2"/>
                <w:sz w:val="32"/>
                <w:szCs w:val="32"/>
                <w:lang w:val="en-US" w:eastAsia="zh-CN" w:bidi="ar"/>
              </w:rPr>
              <w:t>设计人员：</w:t>
            </w:r>
          </w:p>
        </w:tc>
        <w:tc>
          <w:tcPr>
            <w:tcW w:w="5164" w:type="dxa"/>
            <w:tcBorders>
              <w:tl2br w:val="nil"/>
              <w:tr2bl w:val="nil"/>
            </w:tcBorders>
          </w:tcPr>
          <w:p w14:paraId="690995AE">
            <w:pPr>
              <w:keepNext w:val="0"/>
              <w:keepLines w:val="0"/>
              <w:widowControl w:val="0"/>
              <w:suppressLineNumbers w:val="0"/>
              <w:tabs>
                <w:tab w:val="center" w:pos="4153"/>
                <w:tab w:val="left" w:pos="6525"/>
              </w:tabs>
              <w:spacing w:before="0" w:beforeAutospacing="0" w:after="0" w:afterAutospacing="0" w:line="240" w:lineRule="auto"/>
              <w:ind w:left="0" w:leftChars="0" w:right="0" w:firstLine="0" w:firstLineChars="0"/>
              <w:jc w:val="left"/>
              <w:rPr>
                <w:rFonts w:hint="default" w:ascii="楷体_GB2312" w:hAnsi="Times New Roman" w:eastAsia="楷体_GB2312" w:cs="楷体_GB2312"/>
                <w:bCs/>
                <w:kern w:val="2"/>
                <w:sz w:val="32"/>
                <w:szCs w:val="32"/>
                <w:u w:val="single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楷体_GB2312" w:cs="Times New Roman"/>
                <w:bCs/>
                <w:kern w:val="2"/>
                <w:sz w:val="32"/>
                <w:szCs w:val="32"/>
                <w:u w:val="single"/>
                <w:lang w:val="en-US" w:eastAsia="zh-CN" w:bidi="ar"/>
              </w:rPr>
              <w:t>2023112621</w:t>
            </w:r>
            <w:r>
              <w:rPr>
                <w:rFonts w:hint="default" w:ascii="楷体_GB2312" w:hAnsi="Times New Roman" w:eastAsia="楷体_GB2312" w:cs="楷体_GB2312"/>
                <w:bCs/>
                <w:kern w:val="2"/>
                <w:sz w:val="32"/>
                <w:szCs w:val="32"/>
                <w:u w:val="single"/>
                <w:lang w:val="en-US" w:eastAsia="zh-CN" w:bidi="ar"/>
              </w:rPr>
              <w:t>－程泽凯</w:t>
            </w:r>
          </w:p>
        </w:tc>
      </w:tr>
      <w:tr w14:paraId="53F9CA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64" w:type="dxa"/>
            <w:tcBorders>
              <w:tl2br w:val="nil"/>
              <w:tr2bl w:val="nil"/>
            </w:tcBorders>
          </w:tcPr>
          <w:p w14:paraId="6FAAE7D2">
            <w:pPr>
              <w:keepNext w:val="0"/>
              <w:keepLines w:val="0"/>
              <w:widowControl w:val="0"/>
              <w:suppressLineNumbers w:val="0"/>
              <w:tabs>
                <w:tab w:val="center" w:pos="4153"/>
                <w:tab w:val="left" w:pos="6525"/>
              </w:tabs>
              <w:spacing w:before="0" w:beforeAutospacing="0" w:after="0" w:afterAutospacing="0" w:line="480" w:lineRule="auto"/>
              <w:ind w:right="0"/>
              <w:jc w:val="right"/>
              <w:rPr>
                <w:rFonts w:hint="default" w:ascii="楷体_GB2312" w:hAnsi="Times New Roman" w:eastAsia="楷体_GB2312" w:cs="楷体_GB2312"/>
                <w:bCs/>
                <w:kern w:val="2"/>
                <w:sz w:val="32"/>
                <w:szCs w:val="32"/>
                <w:vertAlign w:val="baseline"/>
                <w:lang w:val="en-US" w:eastAsia="zh-CN" w:bidi="ar"/>
              </w:rPr>
            </w:pPr>
          </w:p>
        </w:tc>
        <w:tc>
          <w:tcPr>
            <w:tcW w:w="5164" w:type="dxa"/>
            <w:tcBorders>
              <w:tl2br w:val="nil"/>
              <w:tr2bl w:val="nil"/>
            </w:tcBorders>
          </w:tcPr>
          <w:p w14:paraId="4C518DCF">
            <w:pPr>
              <w:keepNext w:val="0"/>
              <w:keepLines w:val="0"/>
              <w:widowControl w:val="0"/>
              <w:suppressLineNumbers w:val="0"/>
              <w:tabs>
                <w:tab w:val="center" w:pos="4153"/>
                <w:tab w:val="left" w:pos="6525"/>
              </w:tabs>
              <w:spacing w:before="0" w:beforeAutospacing="0" w:after="0" w:afterAutospacing="0" w:line="240" w:lineRule="auto"/>
              <w:ind w:right="0"/>
              <w:jc w:val="left"/>
              <w:rPr>
                <w:rFonts w:hint="default" w:ascii="楷体_GB2312" w:hAnsi="Times New Roman" w:eastAsia="楷体_GB2312" w:cs="楷体_GB2312"/>
                <w:bCs/>
                <w:kern w:val="2"/>
                <w:sz w:val="32"/>
                <w:szCs w:val="32"/>
                <w:u w:val="single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楷体_GB2312" w:cs="Times New Roman"/>
                <w:bCs/>
                <w:kern w:val="2"/>
                <w:sz w:val="32"/>
                <w:szCs w:val="32"/>
                <w:u w:val="single"/>
                <w:lang w:val="en-US" w:eastAsia="zh-CN" w:bidi="ar"/>
              </w:rPr>
              <w:t>2023114</w:t>
            </w:r>
            <w:r>
              <w:rPr>
                <w:rFonts w:hint="eastAsia" w:ascii="Times New Roman" w:hAnsi="Times New Roman" w:eastAsia="楷体_GB2312" w:cs="Times New Roman"/>
                <w:bCs/>
                <w:kern w:val="2"/>
                <w:sz w:val="32"/>
                <w:szCs w:val="32"/>
                <w:u w:val="single"/>
                <w:lang w:val="en-US" w:eastAsia="zh-CN" w:bidi="ar"/>
              </w:rPr>
              <w:t>337</w:t>
            </w:r>
            <w:r>
              <w:rPr>
                <w:rFonts w:hint="default" w:ascii="楷体_GB2312" w:hAnsi="Times New Roman" w:eastAsia="楷体_GB2312" w:cs="楷体_GB2312"/>
                <w:bCs/>
                <w:kern w:val="2"/>
                <w:sz w:val="32"/>
                <w:szCs w:val="32"/>
                <w:u w:val="single"/>
                <w:lang w:val="en-US" w:eastAsia="zh-CN" w:bidi="ar"/>
              </w:rPr>
              <w:t>－</w:t>
            </w:r>
            <w:r>
              <w:rPr>
                <w:rFonts w:hint="eastAsia" w:ascii="楷体_GB2312" w:hAnsi="Times New Roman" w:eastAsia="楷体_GB2312" w:cs="楷体_GB2312"/>
                <w:bCs/>
                <w:kern w:val="2"/>
                <w:sz w:val="32"/>
                <w:szCs w:val="32"/>
                <w:u w:val="single"/>
                <w:lang w:val="en-US" w:eastAsia="zh-CN" w:bidi="ar"/>
              </w:rPr>
              <w:t>王晨羽</w:t>
            </w:r>
          </w:p>
        </w:tc>
      </w:tr>
      <w:tr w14:paraId="5C4166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64" w:type="dxa"/>
            <w:tcBorders>
              <w:tl2br w:val="nil"/>
              <w:tr2bl w:val="nil"/>
            </w:tcBorders>
          </w:tcPr>
          <w:p w14:paraId="090831F2">
            <w:pPr>
              <w:keepNext w:val="0"/>
              <w:keepLines w:val="0"/>
              <w:widowControl w:val="0"/>
              <w:suppressLineNumbers w:val="0"/>
              <w:tabs>
                <w:tab w:val="center" w:pos="4153"/>
                <w:tab w:val="left" w:pos="6525"/>
              </w:tabs>
              <w:spacing w:before="0" w:beforeAutospacing="0" w:after="0" w:afterAutospacing="0" w:line="480" w:lineRule="auto"/>
              <w:ind w:right="0"/>
              <w:jc w:val="right"/>
              <w:rPr>
                <w:rFonts w:hint="default" w:ascii="楷体_GB2312" w:hAnsi="Times New Roman" w:eastAsia="楷体_GB2312" w:cs="楷体_GB2312"/>
                <w:bCs/>
                <w:kern w:val="2"/>
                <w:sz w:val="32"/>
                <w:szCs w:val="32"/>
                <w:vertAlign w:val="baseline"/>
                <w:lang w:val="en-US" w:eastAsia="zh-CN" w:bidi="ar"/>
              </w:rPr>
            </w:pPr>
          </w:p>
        </w:tc>
        <w:tc>
          <w:tcPr>
            <w:tcW w:w="5164" w:type="dxa"/>
            <w:tcBorders>
              <w:tl2br w:val="nil"/>
              <w:tr2bl w:val="nil"/>
            </w:tcBorders>
          </w:tcPr>
          <w:p w14:paraId="581C2065">
            <w:pPr>
              <w:keepNext w:val="0"/>
              <w:keepLines w:val="0"/>
              <w:widowControl w:val="0"/>
              <w:suppressLineNumbers w:val="0"/>
              <w:tabs>
                <w:tab w:val="center" w:pos="4153"/>
                <w:tab w:val="left" w:pos="6525"/>
              </w:tabs>
              <w:spacing w:before="0" w:beforeAutospacing="0" w:after="0" w:afterAutospacing="0" w:line="240" w:lineRule="auto"/>
              <w:ind w:right="0"/>
              <w:jc w:val="left"/>
              <w:rPr>
                <w:rFonts w:hint="default" w:ascii="楷体_GB2312" w:hAnsi="Times New Roman" w:eastAsia="楷体_GB2312" w:cs="楷体_GB2312"/>
                <w:bCs/>
                <w:kern w:val="2"/>
                <w:sz w:val="32"/>
                <w:szCs w:val="32"/>
                <w:u w:val="single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楷体_GB2312" w:cs="Times New Roman"/>
                <w:bCs/>
                <w:kern w:val="2"/>
                <w:sz w:val="32"/>
                <w:szCs w:val="32"/>
                <w:u w:val="single"/>
                <w:lang w:val="en-US" w:eastAsia="zh-CN" w:bidi="ar"/>
              </w:rPr>
              <w:t>2023114956</w:t>
            </w:r>
            <w:r>
              <w:rPr>
                <w:rFonts w:hint="default" w:ascii="楷体_GB2312" w:hAnsi="Times New Roman" w:eastAsia="楷体_GB2312" w:cs="楷体_GB2312"/>
                <w:bCs/>
                <w:kern w:val="2"/>
                <w:sz w:val="32"/>
                <w:szCs w:val="32"/>
                <w:u w:val="single"/>
                <w:lang w:val="en-US" w:eastAsia="zh-CN" w:bidi="ar"/>
              </w:rPr>
              <w:t>－金井直</w:t>
            </w:r>
          </w:p>
        </w:tc>
      </w:tr>
      <w:tr w14:paraId="1F4FDE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64" w:type="dxa"/>
            <w:tcBorders>
              <w:tl2br w:val="nil"/>
              <w:tr2bl w:val="nil"/>
            </w:tcBorders>
          </w:tcPr>
          <w:p w14:paraId="4FCDCA08">
            <w:pPr>
              <w:keepNext w:val="0"/>
              <w:keepLines w:val="0"/>
              <w:widowControl w:val="0"/>
              <w:suppressLineNumbers w:val="0"/>
              <w:tabs>
                <w:tab w:val="center" w:pos="4153"/>
                <w:tab w:val="left" w:pos="6525"/>
              </w:tabs>
              <w:spacing w:before="0" w:beforeAutospacing="0" w:after="0" w:afterAutospacing="0" w:line="480" w:lineRule="auto"/>
              <w:ind w:right="0"/>
              <w:jc w:val="right"/>
              <w:rPr>
                <w:rFonts w:hint="default" w:ascii="楷体_GB2312" w:hAnsi="Times New Roman" w:eastAsia="楷体_GB2312" w:cs="楷体_GB2312"/>
                <w:bCs/>
                <w:kern w:val="2"/>
                <w:sz w:val="32"/>
                <w:szCs w:val="32"/>
                <w:vertAlign w:val="baseline"/>
                <w:lang w:val="en-US" w:eastAsia="zh-CN" w:bidi="ar"/>
              </w:rPr>
            </w:pPr>
            <w:r>
              <w:rPr>
                <w:rFonts w:hint="default" w:ascii="楷体_GB2312" w:hAnsi="Times New Roman" w:eastAsia="楷体_GB2312" w:cs="楷体_GB2312"/>
                <w:bCs/>
                <w:kern w:val="2"/>
                <w:sz w:val="32"/>
                <w:szCs w:val="32"/>
                <w:lang w:val="en-US" w:eastAsia="zh-CN" w:bidi="ar"/>
              </w:rPr>
              <w:t>指导教师</w:t>
            </w:r>
            <w:r>
              <w:rPr>
                <w:rFonts w:hint="default" w:ascii="Times New Roman" w:hAnsi="Times New Roman" w:eastAsia="楷体_GB2312" w:cs="Times New Roman"/>
                <w:bCs/>
                <w:kern w:val="2"/>
                <w:sz w:val="32"/>
                <w:szCs w:val="32"/>
                <w:lang w:val="en-US" w:eastAsia="zh-CN" w:bidi="ar"/>
              </w:rPr>
              <w:t xml:space="preserve"> </w:t>
            </w:r>
            <w:r>
              <w:rPr>
                <w:rFonts w:hint="eastAsia" w:ascii="Times New Roman" w:hAnsi="Times New Roman" w:eastAsia="楷体_GB2312" w:cs="Times New Roman"/>
                <w:bCs/>
                <w:kern w:val="2"/>
                <w:sz w:val="32"/>
                <w:szCs w:val="32"/>
                <w:lang w:val="en-US" w:eastAsia="zh-CN" w:bidi="ar"/>
              </w:rPr>
              <w:t>：</w:t>
            </w:r>
          </w:p>
        </w:tc>
        <w:tc>
          <w:tcPr>
            <w:tcW w:w="5164" w:type="dxa"/>
            <w:tcBorders>
              <w:tl2br w:val="nil"/>
              <w:tr2bl w:val="nil"/>
            </w:tcBorders>
          </w:tcPr>
          <w:p w14:paraId="20AB37B2">
            <w:pPr>
              <w:keepNext w:val="0"/>
              <w:keepLines w:val="0"/>
              <w:widowControl w:val="0"/>
              <w:suppressLineNumbers w:val="0"/>
              <w:tabs>
                <w:tab w:val="center" w:pos="4153"/>
                <w:tab w:val="left" w:pos="6525"/>
              </w:tabs>
              <w:spacing w:before="0" w:beforeAutospacing="0" w:after="0" w:afterAutospacing="0" w:line="240" w:lineRule="auto"/>
              <w:ind w:right="0"/>
              <w:jc w:val="left"/>
              <w:rPr>
                <w:rFonts w:hint="default" w:ascii="楷体_GB2312" w:hAnsi="Times New Roman" w:eastAsia="楷体_GB2312" w:cs="楷体_GB2312"/>
                <w:bCs/>
                <w:kern w:val="2"/>
                <w:sz w:val="32"/>
                <w:szCs w:val="32"/>
                <w:u w:val="single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楷体_GB2312" w:cs="Times New Roman"/>
                <w:bCs/>
                <w:kern w:val="2"/>
                <w:sz w:val="32"/>
                <w:szCs w:val="32"/>
                <w:u w:val="single"/>
                <w:lang w:val="en-US" w:eastAsia="zh-CN" w:bidi="ar"/>
              </w:rPr>
              <w:t>杜圣东</w:t>
            </w:r>
          </w:p>
        </w:tc>
      </w:tr>
    </w:tbl>
    <w:p w14:paraId="56FD17F2">
      <w:pPr>
        <w:spacing w:line="24" w:lineRule="atLeast"/>
        <w:jc w:val="center"/>
        <w:rPr>
          <w:rFonts w:hint="eastAsia"/>
          <w:b/>
          <w:bCs/>
        </w:rPr>
      </w:pPr>
    </w:p>
    <w:p w14:paraId="177E4B7B">
      <w:pPr>
        <w:spacing w:line="24" w:lineRule="atLeast"/>
        <w:jc w:val="center"/>
        <w:rPr>
          <w:b/>
          <w:bCs/>
        </w:rPr>
        <w:sectPr>
          <w:headerReference r:id="rId5" w:type="default"/>
          <w:footerReference r:id="rId6" w:type="default"/>
          <w:pgSz w:w="11906" w:h="16838"/>
          <w:pgMar w:top="851" w:right="1797" w:bottom="851" w:left="1797" w:header="851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425" w:num="1"/>
          <w:docGrid w:type="lines" w:linePitch="312" w:charSpace="0"/>
        </w:sectPr>
      </w:pPr>
      <w:r>
        <w:rPr>
          <w:rFonts w:hint="eastAsia"/>
          <w:b/>
          <w:bCs/>
        </w:rPr>
        <w:t>二</w:t>
      </w:r>
      <w:r>
        <w:rPr>
          <w:b/>
          <w:bCs/>
        </w:rPr>
        <w:t>〇</w:t>
      </w:r>
      <w:r>
        <w:rPr>
          <w:rFonts w:hint="eastAsia"/>
          <w:b/>
          <w:bCs/>
        </w:rPr>
        <w:t>二</w:t>
      </w:r>
      <w:r>
        <w:rPr>
          <w:rFonts w:hint="eastAsia"/>
          <w:b/>
          <w:bCs/>
          <w:lang w:val="en-US" w:eastAsia="zh-CN"/>
        </w:rPr>
        <w:t>六</w:t>
      </w:r>
      <w:r>
        <w:rPr>
          <w:rFonts w:hint="eastAsia"/>
          <w:b/>
          <w:bCs/>
        </w:rPr>
        <w:t>年</w:t>
      </w:r>
      <w:r>
        <w:rPr>
          <w:rFonts w:hint="eastAsia"/>
          <w:b/>
          <w:bCs/>
          <w:lang w:val="en-US" w:eastAsia="zh-CN"/>
        </w:rPr>
        <w:t>三</w:t>
      </w:r>
      <w:r>
        <w:rPr>
          <w:rFonts w:hint="eastAsia"/>
          <w:b/>
          <w:bCs/>
        </w:rPr>
        <w:t>月</w:t>
      </w:r>
    </w:p>
    <w:p w14:paraId="4270DC12">
      <w:pPr>
        <w:spacing w:before="0" w:after="360" w:line="324" w:lineRule="auto"/>
        <w:jc w:val="center"/>
      </w:pPr>
      <w:r>
        <w:rPr>
          <w:rFonts w:ascii="微软雅黑" w:hAnsi="微软雅黑" w:eastAsia="微软雅黑"/>
          <w:b/>
          <w:color w:val="1F4E79"/>
          <w:sz w:val="44"/>
        </w:rPr>
        <w:t>大作业1：交通流预测模型设计优化</w:t>
      </w:r>
    </w:p>
    <w:p w14:paraId="3F65C502">
      <w:pPr>
        <w:spacing w:before="0" w:after="1200" w:line="324" w:lineRule="auto"/>
        <w:jc w:val="center"/>
      </w:pPr>
      <w:r>
        <w:rPr>
          <w:rFonts w:ascii="微软雅黑" w:hAnsi="微软雅黑" w:eastAsia="微软雅黑"/>
          <w:b/>
          <w:sz w:val="30"/>
        </w:rPr>
        <w:t>已确定研究模型：STAEformer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5669"/>
      </w:tblGrid>
      <w:tr w14:paraId="2C042F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D9EAF7"/>
            <w:vAlign w:val="center"/>
          </w:tcPr>
          <w:p w14:paraId="37EA209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1"/>
              </w:rPr>
              <w:t>课程作业主题</w:t>
            </w:r>
          </w:p>
        </w:tc>
        <w:tc>
          <w:tcPr>
            <w:tcW w:w="5669" w:type="dxa"/>
            <w:vAlign w:val="center"/>
          </w:tcPr>
          <w:p w14:paraId="264E931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21"/>
              </w:rPr>
              <w:t>交通流预测模型设计优化</w:t>
            </w:r>
          </w:p>
        </w:tc>
      </w:tr>
      <w:tr w14:paraId="24D6B5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D9EAF7"/>
            <w:vAlign w:val="center"/>
          </w:tcPr>
          <w:p w14:paraId="2337BB4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1"/>
              </w:rPr>
              <w:t>确定模型</w:t>
            </w:r>
          </w:p>
        </w:tc>
        <w:tc>
          <w:tcPr>
            <w:tcW w:w="5669" w:type="dxa"/>
            <w:vAlign w:val="center"/>
          </w:tcPr>
          <w:p w14:paraId="567DCCD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21"/>
              </w:rPr>
              <w:t>STAEformer（Spatio-Temporal Adaptive Embedding Transformer）</w:t>
            </w:r>
          </w:p>
        </w:tc>
      </w:tr>
      <w:tr w14:paraId="68CD49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D9EAF7"/>
            <w:vAlign w:val="center"/>
          </w:tcPr>
          <w:p w14:paraId="27DB635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1"/>
              </w:rPr>
              <w:t>研究方向</w:t>
            </w:r>
          </w:p>
        </w:tc>
        <w:tc>
          <w:tcPr>
            <w:tcW w:w="5669" w:type="dxa"/>
            <w:vAlign w:val="center"/>
          </w:tcPr>
          <w:p w14:paraId="3BBBF23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21"/>
              </w:rPr>
              <w:t>基于 Transformer 的交通流/交通速度时空预测</w:t>
            </w:r>
          </w:p>
        </w:tc>
      </w:tr>
      <w:tr w14:paraId="6CED83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D9EAF7"/>
            <w:vAlign w:val="center"/>
          </w:tcPr>
          <w:p w14:paraId="19AF487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1"/>
              </w:rPr>
              <w:t>报告内容</w:t>
            </w:r>
          </w:p>
        </w:tc>
        <w:tc>
          <w:tcPr>
            <w:tcW w:w="5669" w:type="dxa"/>
            <w:vAlign w:val="center"/>
          </w:tcPr>
          <w:p w14:paraId="0D59DE4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21"/>
              </w:rPr>
              <w:t>模型调研、结构分析、复现实验设计、问题分析与改进方案</w:t>
            </w:r>
          </w:p>
        </w:tc>
      </w:tr>
    </w:tbl>
    <w:p w14:paraId="0073B61D">
      <w:r>
        <w:br w:type="page"/>
      </w:r>
    </w:p>
    <w:p w14:paraId="463EB5FA">
      <w:pPr>
        <w:pStyle w:val="3"/>
        <w:spacing w:before="120" w:after="160" w:line="324" w:lineRule="auto"/>
      </w:pPr>
      <w:r>
        <w:t>一、任务背景</w:t>
      </w:r>
    </w:p>
    <w:p w14:paraId="6B58905D">
      <w:pPr>
        <w:spacing w:before="0" w:after="140" w:line="348" w:lineRule="auto"/>
        <w:ind w:firstLine="420"/>
        <w:rPr>
          <w:rFonts w:ascii="微软雅黑" w:hAnsi="微软雅黑" w:eastAsia="微软雅黑"/>
          <w:sz w:val="21"/>
          <w:woUserID w:val="1"/>
        </w:rPr>
      </w:pPr>
      <w:r>
        <w:rPr>
          <w:rFonts w:ascii="微软雅黑" w:hAnsi="微软雅黑" w:eastAsia="微软雅黑"/>
          <w:sz w:val="21"/>
          <w:lang w:val="en-US" w:eastAsia="zh-CN"/>
          <w:woUserID w:val="1"/>
        </w:rPr>
        <w:t>交通流预测作为智能交通系统（ITS）的核心关键技术，在城市交通精细化管理、动态路径规划、出行时间可靠估计等实际应用中发挥着不可或缺的支撑作用。当前，城市道路网络持续拓展与复杂化，交通拥堵频发、整体出行效率降低等问题日益严峻，进一步提升交通流预测的精度与时效性已成为亟待解决的重要课题。交通流预测本质上是一项典型的时空序列预测任务，旨在依托历史交通监测数据，对未来时段内路段的交通流量、行车速度及占有率等关键指标进行精准预判，从而为智能信号配时、出行路径诱导以及交通拥堵提前预警提供科学决策依据。</w:t>
      </w:r>
    </w:p>
    <w:p w14:paraId="6021B986">
      <w:pPr>
        <w:spacing w:before="0" w:after="140" w:line="348" w:lineRule="auto"/>
        <w:ind w:firstLine="420"/>
      </w:pPr>
      <w:r>
        <w:rPr>
          <w:rFonts w:ascii="微软雅黑" w:hAnsi="微软雅黑" w:eastAsia="微软雅黑"/>
          <w:sz w:val="21"/>
          <w:lang w:val="en-US" w:eastAsia="zh-CN"/>
          <w:woUserID w:val="1"/>
        </w:rPr>
        <w:t>近年来，以深度学习为代表的数据驱动方法逐步替代传统数理统计模型，成为交通流预测的主流技术路线。其中，图神经网络与 Transformer 架构凭借在复杂时空依赖建模上的突出优势，取得了一系列显著研究进展。在众多基于 Transformer 的交通预测模型中，STAEformer 凭借兼顾高预测精度、清晰规整的模型结构以及良好的复现与部署可行性，成为近年该领域极具代表性的高性能模型，也因此适合作为本次课程大作业的重点研究对象。</w:t>
      </w:r>
    </w:p>
    <w:p w14:paraId="43C708BC">
      <w:pPr>
        <w:pStyle w:val="3"/>
        <w:spacing w:before="120" w:after="160" w:line="324" w:lineRule="auto"/>
      </w:pPr>
      <w:r>
        <w:t>二、选题模型概述</w:t>
      </w:r>
    </w:p>
    <w:p w14:paraId="7D790E3E">
      <w:pPr>
        <w:spacing w:before="0" w:after="140" w:line="348" w:lineRule="auto"/>
        <w:ind w:firstLine="420"/>
        <w:rPr>
          <w:rFonts w:ascii="微软雅黑" w:hAnsi="微软雅黑" w:eastAsia="微软雅黑"/>
          <w:sz w:val="21"/>
          <w:woUserID w:val="1"/>
        </w:rPr>
      </w:pPr>
      <w:r>
        <w:rPr>
          <w:rFonts w:ascii="微软雅黑" w:hAnsi="微软雅黑" w:eastAsia="微软雅黑"/>
          <w:sz w:val="21"/>
        </w:rPr>
        <w:t>S</w:t>
      </w:r>
      <w:r>
        <w:rPr>
          <w:rFonts w:ascii="微软雅黑" w:hAnsi="微软雅黑" w:eastAsia="微软雅黑"/>
          <w:sz w:val="21"/>
          <w:lang w:val="en-US" w:eastAsia="zh-CN"/>
          <w:woUserID w:val="1"/>
        </w:rPr>
        <w:t>TAEformer 的全称为 Spatio-Temporal Adaptive Embedding Transformer，其核心思想是通过设计时空自适应嵌入，增强输入表示能力，使相对朴素的 Vanilla Transformer 也能够有效建模复杂的交通时空依赖关系。</w:t>
      </w:r>
    </w:p>
    <w:p w14:paraId="653D111A">
      <w:pPr>
        <w:spacing w:before="0" w:after="140" w:line="348" w:lineRule="auto"/>
        <w:ind w:firstLine="420"/>
        <w:rPr>
          <w:rFonts w:ascii="微软雅黑" w:hAnsi="微软雅黑" w:eastAsia="微软雅黑"/>
          <w:sz w:val="21"/>
          <w:woUserID w:val="1"/>
        </w:rPr>
      </w:pPr>
      <w:r>
        <w:rPr>
          <w:rFonts w:ascii="微软雅黑" w:hAnsi="微软雅黑" w:eastAsia="微软雅黑"/>
          <w:sz w:val="21"/>
          <w:lang w:val="en-US" w:eastAsia="zh-CN"/>
          <w:woUserID w:val="1"/>
        </w:rPr>
        <w:t>与大量依赖复杂图卷积堆叠、门控模块或多分支结构的方法不同，STAEformer 更强调 “高质量时空表示 + 简洁 Transformer 骨干” 的设计思路。这一范式使得模型在多个公开交通数据集上取得了很强的预测表现，同时显著降低了模型的实现与分析难度。</w:t>
      </w:r>
    </w:p>
    <w:p w14:paraId="255DBD76">
      <w:pPr>
        <w:spacing w:before="0" w:after="140" w:line="348" w:lineRule="auto"/>
        <w:ind w:firstLine="420"/>
      </w:pPr>
      <w:r>
        <w:rPr>
          <w:rFonts w:ascii="微软雅黑" w:hAnsi="微软雅黑" w:eastAsia="微软雅黑"/>
          <w:sz w:val="21"/>
          <w:lang w:val="en-US" w:eastAsia="zh-CN"/>
          <w:woUserID w:val="1"/>
        </w:rPr>
        <w:t>在特征融合层面，STAEformer 摒弃了复杂的时空结构叠加，通过自适应嵌入模块直接对原始交通数据进行统一的时空特征编码，将空间依赖与时间动态隐式融合进统一表示中。借助高质量的前期嵌入， vanilla Transformer 仅依靠自注意力机制即可高效捕获全局时空关联，在保证预测精度的同时，实现了模型轻量化与易部署性</w:t>
      </w:r>
    </w:p>
    <w:p w14:paraId="4471253F">
      <w:pPr>
        <w:pStyle w:val="3"/>
        <w:spacing w:before="120" w:after="160" w:line="324" w:lineRule="auto"/>
      </w:pPr>
      <w:r>
        <w:t>三、研究目标</w:t>
      </w:r>
    </w:p>
    <w:p w14:paraId="65DD4B10">
      <w:pPr>
        <w:spacing w:before="0" w:after="140" w:line="348" w:lineRule="auto"/>
        <w:ind w:firstLine="420"/>
      </w:pPr>
      <w:r>
        <w:rPr>
          <w:rFonts w:ascii="微软雅黑" w:hAnsi="微软雅黑" w:eastAsia="微软雅黑"/>
          <w:sz w:val="21"/>
        </w:rPr>
        <w:t>1. 调研交通流预测领域的主流方法，梳理统计学习、时序神经网络、图神经网络与 Transformer 系列模型的发展脉络。</w:t>
      </w:r>
    </w:p>
    <w:p w14:paraId="441BDECC">
      <w:pPr>
        <w:spacing w:before="0" w:after="140" w:line="348" w:lineRule="auto"/>
        <w:ind w:firstLine="420"/>
      </w:pPr>
      <w:r>
        <w:rPr>
          <w:rFonts w:ascii="微软雅黑" w:hAnsi="微软雅黑" w:eastAsia="微软雅黑"/>
          <w:sz w:val="21"/>
        </w:rPr>
        <w:t>2. 以 STAEformer 为核心对象，分析其时空自适应嵌入机制、编码结构与预测流程。</w:t>
      </w:r>
    </w:p>
    <w:p w14:paraId="663E5C24">
      <w:pPr>
        <w:spacing w:before="0" w:after="140" w:line="348" w:lineRule="auto"/>
        <w:ind w:firstLine="420"/>
      </w:pPr>
      <w:r>
        <w:rPr>
          <w:rFonts w:ascii="微软雅黑" w:hAnsi="微软雅黑" w:eastAsia="微软雅黑"/>
          <w:sz w:val="21"/>
        </w:rPr>
        <w:t>3. 结合公开数据集完成模型复现，并使用常见评价指标验证实验结果。</w:t>
      </w:r>
    </w:p>
    <w:p w14:paraId="733ADE7F">
      <w:pPr>
        <w:spacing w:before="0" w:after="140" w:line="348" w:lineRule="auto"/>
        <w:ind w:firstLine="420"/>
      </w:pPr>
      <w:r>
        <w:rPr>
          <w:rFonts w:ascii="微软雅黑" w:hAnsi="微软雅黑" w:eastAsia="微软雅黑"/>
          <w:sz w:val="21"/>
        </w:rPr>
        <w:t>4. 从长序列预测、异常事件鲁棒性、计算成本和外部因素建模等角度分析模型不足。</w:t>
      </w:r>
    </w:p>
    <w:p w14:paraId="04422161">
      <w:pPr>
        <w:spacing w:before="0" w:after="140" w:line="348" w:lineRule="auto"/>
        <w:ind w:firstLine="420"/>
      </w:pPr>
      <w:r>
        <w:rPr>
          <w:rFonts w:ascii="微软雅黑" w:hAnsi="微软雅黑" w:eastAsia="微软雅黑"/>
          <w:sz w:val="21"/>
        </w:rPr>
        <w:t>5. 在复现基础上提出可行的改进思路，为后续研究提供方向。</w:t>
      </w:r>
    </w:p>
    <w:p w14:paraId="27597BEB">
      <w:pPr>
        <w:pStyle w:val="3"/>
        <w:spacing w:before="120" w:after="160" w:line="324" w:lineRule="auto"/>
      </w:pPr>
      <w:r>
        <w:t xml:space="preserve">四、STAEformer </w:t>
      </w:r>
      <w:r>
        <w:rPr>
          <w:rFonts w:ascii="宋体" w:hAnsi="宋体" w:eastAsia="宋体" w:cs="宋体"/>
          <w:sz w:val="24"/>
          <w:szCs w:val="24"/>
        </w:rPr>
        <w:t>模型原理与结构分析</w:t>
      </w:r>
    </w:p>
    <w:p w14:paraId="62CF12FD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 2.1 整体架构</w:t>
      </w:r>
    </w:p>
    <w:p w14:paraId="6CC78960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STAEformer采用时空自适应嵌入 + 分离式Transformer的设计理念，核心思想是通过可学习的自适应嵌入来捕获复杂的时空依赖关系，无需显式的图结构先验。</w:t>
      </w:r>
    </w:p>
    <w:p w14:paraId="217FD0EC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2.2 核心组件分析</w:t>
      </w:r>
    </w:p>
    <w:p w14:paraId="63258575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2.2.1 自适应嵌入机制 (核心创新点)</w:t>
      </w:r>
    </w:p>
    <w:p w14:paraId="2DC1A918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根据论文，时空自适应嵌入(Spatio-Temporal Adaptive Embedding) 是STAEformer的核心创新：</w:t>
      </w:r>
    </w:p>
    <w:p w14:paraId="19DC30DE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论文原文关键论述:</w:t>
      </w:r>
    </w:p>
    <w:p w14:paraId="2559253D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"Further experiments demonstrate that spatio-temporal adaptive embedding plays a crucial role in traffic forecasting by effectively capturing intrinsic spatio-temporal relations and chronological information in traffic time series."</w:t>
      </w:r>
    </w:p>
    <w:p w14:paraId="675F6BD4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自适应嵌入的作用:</w:t>
      </w:r>
    </w:p>
    <w:p w14:paraId="6C635118">
      <w:pPr>
        <w:rPr>
          <w:rFonts w:hint="eastAsia"/>
          <w:lang w:eastAsia="zh"/>
          <w:woUserID w:val="1"/>
        </w:rPr>
      </w:pPr>
    </w:p>
    <w:p w14:paraId="619A888B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时间维度: 每个时间步有独立的80维表示</w:t>
      </w:r>
    </w:p>
    <w:p w14:paraId="5A04B95E">
      <w:pPr>
        <w:rPr>
          <w:rFonts w:hint="eastAsia"/>
          <w:lang w:eastAsia="zh"/>
          <w:woUserID w:val="1"/>
        </w:rPr>
      </w:pPr>
    </w:p>
    <w:p w14:paraId="664ADAAC">
      <w:pPr>
        <w:rPr>
          <w:rFonts w:hint="eastAsia"/>
          <w:lang w:eastAsia="zh"/>
          <w:woUserID w:val="1"/>
        </w:rPr>
      </w:pPr>
    </w:p>
    <w:p w14:paraId="180F81E5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空间维度: 每个节点有独立的80维表示</w:t>
      </w:r>
    </w:p>
    <w:p w14:paraId="2CE63544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时空交互: 通过可学习矩阵自动捕获复杂的时空依赖关系</w:t>
      </w:r>
    </w:p>
    <w:p w14:paraId="512E837C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与图神经网络的对比:</w:t>
      </w:r>
    </w:p>
    <w:tbl>
      <w:tblPr>
        <w:tblW w:w="5691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00"/>
        <w:gridCol w:w="2642"/>
        <w:gridCol w:w="1649"/>
      </w:tblGrid>
      <w:tr w14:paraId="48AF26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474D54" w:sz="2" w:space="0"/>
              <w:left w:val="single" w:color="474D54" w:sz="2" w:space="0"/>
              <w:bottom w:val="nil"/>
              <w:right w:val="single" w:color="474D54" w:sz="2" w:space="0"/>
            </w:tcBorders>
            <w:shd w:val="clear"/>
            <w:tcMar>
              <w:top w:w="33" w:type="dxa"/>
              <w:left w:w="67" w:type="dxa"/>
              <w:bottom w:w="33" w:type="dxa"/>
              <w:right w:w="67" w:type="dxa"/>
            </w:tcMar>
            <w:vAlign w:val="top"/>
          </w:tcPr>
          <w:p w14:paraId="2D8618BA">
            <w:pPr>
              <w:rPr>
                <w:rFonts w:hint="eastAsia"/>
                <w:lang w:eastAsia="zh"/>
                <w:woUserID w:val="1"/>
              </w:rPr>
            </w:pPr>
            <w:r>
              <w:rPr>
                <w:rFonts w:hint="eastAsia"/>
                <w:lang w:val="en-US" w:eastAsia="zh"/>
                <w:woUserID w:val="1"/>
              </w:rPr>
              <w:t>方面</w:t>
            </w:r>
          </w:p>
        </w:tc>
        <w:tc>
          <w:tcPr>
            <w:tcW w:w="0" w:type="auto"/>
            <w:tcBorders>
              <w:top w:val="single" w:color="474D54" w:sz="2" w:space="0"/>
              <w:left w:val="single" w:color="474D54" w:sz="2" w:space="0"/>
              <w:bottom w:val="nil"/>
              <w:right w:val="single" w:color="474D54" w:sz="2" w:space="0"/>
            </w:tcBorders>
            <w:shd w:val="clear"/>
            <w:tcMar>
              <w:top w:w="33" w:type="dxa"/>
              <w:left w:w="67" w:type="dxa"/>
              <w:bottom w:w="33" w:type="dxa"/>
              <w:right w:w="67" w:type="dxa"/>
            </w:tcMar>
            <w:vAlign w:val="top"/>
          </w:tcPr>
          <w:p w14:paraId="7C23D959">
            <w:pPr>
              <w:rPr>
                <w:rFonts w:hint="eastAsia"/>
                <w:lang w:eastAsia="zh"/>
                <w:woUserID w:val="1"/>
              </w:rPr>
            </w:pPr>
            <w:r>
              <w:rPr>
                <w:rFonts w:hint="eastAsia"/>
                <w:lang w:val="en-US" w:eastAsia="zh"/>
                <w:woUserID w:val="1"/>
              </w:rPr>
              <w:t>图神经网络</w:t>
            </w:r>
          </w:p>
        </w:tc>
        <w:tc>
          <w:tcPr>
            <w:tcW w:w="0" w:type="auto"/>
            <w:tcBorders>
              <w:top w:val="single" w:color="474D54" w:sz="2" w:space="0"/>
              <w:left w:val="single" w:color="474D54" w:sz="2" w:space="0"/>
              <w:bottom w:val="nil"/>
              <w:right w:val="single" w:color="474D54" w:sz="2" w:space="0"/>
            </w:tcBorders>
            <w:shd w:val="clear"/>
            <w:tcMar>
              <w:top w:w="33" w:type="dxa"/>
              <w:left w:w="67" w:type="dxa"/>
              <w:bottom w:w="33" w:type="dxa"/>
              <w:right w:w="67" w:type="dxa"/>
            </w:tcMar>
            <w:vAlign w:val="top"/>
          </w:tcPr>
          <w:p w14:paraId="38056649">
            <w:pPr>
              <w:rPr>
                <w:rFonts w:hint="eastAsia"/>
                <w:lang w:eastAsia="zh"/>
                <w:woUserID w:val="1"/>
              </w:rPr>
            </w:pPr>
            <w:r>
              <w:rPr>
                <w:rFonts w:hint="eastAsia"/>
                <w:lang w:val="en-US" w:eastAsia="zh"/>
                <w:woUserID w:val="1"/>
              </w:rPr>
              <w:t>STAEformer</w:t>
            </w:r>
          </w:p>
        </w:tc>
      </w:tr>
      <w:tr w14:paraId="0FB86A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474D54" w:sz="2" w:space="0"/>
              <w:left w:val="single" w:color="474D54" w:sz="2" w:space="0"/>
              <w:bottom w:val="single" w:color="474D54" w:sz="2" w:space="0"/>
              <w:right w:val="single" w:color="474D54" w:sz="2" w:space="0"/>
            </w:tcBorders>
            <w:shd w:val="clear"/>
            <w:tcMar>
              <w:top w:w="33" w:type="dxa"/>
              <w:left w:w="67" w:type="dxa"/>
              <w:bottom w:w="33" w:type="dxa"/>
              <w:right w:w="67" w:type="dxa"/>
            </w:tcMar>
            <w:vAlign w:val="top"/>
          </w:tcPr>
          <w:p w14:paraId="56C6900E">
            <w:pPr>
              <w:rPr>
                <w:rFonts w:hint="eastAsia"/>
                <w:lang w:eastAsia="zh"/>
                <w:woUserID w:val="1"/>
              </w:rPr>
            </w:pPr>
            <w:r>
              <w:rPr>
                <w:rFonts w:hint="eastAsia"/>
                <w:lang w:val="en-US" w:eastAsia="zh"/>
                <w:woUserID w:val="1"/>
              </w:rPr>
              <w:t>图结构依赖</w:t>
            </w:r>
          </w:p>
        </w:tc>
        <w:tc>
          <w:tcPr>
            <w:tcW w:w="0" w:type="auto"/>
            <w:tcBorders>
              <w:top w:val="single" w:color="474D54" w:sz="2" w:space="0"/>
              <w:left w:val="single" w:color="474D54" w:sz="2" w:space="0"/>
              <w:bottom w:val="single" w:color="474D54" w:sz="2" w:space="0"/>
              <w:right w:val="single" w:color="474D54" w:sz="2" w:space="0"/>
            </w:tcBorders>
            <w:shd w:val="clear"/>
            <w:tcMar>
              <w:top w:w="33" w:type="dxa"/>
              <w:left w:w="67" w:type="dxa"/>
              <w:bottom w:w="33" w:type="dxa"/>
              <w:right w:w="67" w:type="dxa"/>
            </w:tcMar>
            <w:vAlign w:val="top"/>
          </w:tcPr>
          <w:p w14:paraId="190D4F32">
            <w:pPr>
              <w:rPr>
                <w:rFonts w:hint="eastAsia"/>
                <w:lang w:eastAsia="zh"/>
                <w:woUserID w:val="1"/>
              </w:rPr>
            </w:pPr>
            <w:r>
              <w:rPr>
                <w:rFonts w:hint="eastAsia"/>
                <w:lang w:val="en-US" w:eastAsia="zh"/>
                <w:woUserID w:val="1"/>
              </w:rPr>
              <w:t>需要预定义邻接矩阵</w:t>
            </w:r>
          </w:p>
        </w:tc>
        <w:tc>
          <w:tcPr>
            <w:tcW w:w="0" w:type="auto"/>
            <w:tcBorders>
              <w:top w:val="single" w:color="474D54" w:sz="2" w:space="0"/>
              <w:left w:val="single" w:color="474D54" w:sz="2" w:space="0"/>
              <w:bottom w:val="single" w:color="474D54" w:sz="2" w:space="0"/>
              <w:right w:val="single" w:color="474D54" w:sz="2" w:space="0"/>
            </w:tcBorders>
            <w:shd w:val="clear"/>
            <w:tcMar>
              <w:top w:w="33" w:type="dxa"/>
              <w:left w:w="67" w:type="dxa"/>
              <w:bottom w:w="33" w:type="dxa"/>
              <w:right w:w="67" w:type="dxa"/>
            </w:tcMar>
            <w:vAlign w:val="top"/>
          </w:tcPr>
          <w:p w14:paraId="48DD4EBB">
            <w:pPr>
              <w:rPr>
                <w:rFonts w:hint="eastAsia"/>
                <w:lang w:eastAsia="zh"/>
                <w:woUserID w:val="1"/>
              </w:rPr>
            </w:pPr>
            <w:r>
              <w:rPr>
                <w:rFonts w:hint="eastAsia"/>
                <w:lang w:val="en-US" w:eastAsia="zh"/>
                <w:woUserID w:val="1"/>
              </w:rPr>
              <w:t>不需要</w:t>
            </w:r>
          </w:p>
        </w:tc>
      </w:tr>
      <w:tr w14:paraId="58ECDC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474D54" w:sz="2" w:space="0"/>
              <w:left w:val="single" w:color="474D54" w:sz="2" w:space="0"/>
              <w:bottom w:val="single" w:color="474D54" w:sz="2" w:space="0"/>
              <w:right w:val="single" w:color="474D54" w:sz="2" w:space="0"/>
            </w:tcBorders>
            <w:shd w:val="clear"/>
            <w:tcMar>
              <w:top w:w="33" w:type="dxa"/>
              <w:left w:w="67" w:type="dxa"/>
              <w:bottom w:w="33" w:type="dxa"/>
              <w:right w:w="67" w:type="dxa"/>
            </w:tcMar>
            <w:vAlign w:val="top"/>
          </w:tcPr>
          <w:p w14:paraId="2D63BEED">
            <w:pPr>
              <w:rPr>
                <w:rFonts w:hint="eastAsia"/>
                <w:lang w:eastAsia="zh"/>
                <w:woUserID w:val="1"/>
              </w:rPr>
            </w:pPr>
            <w:r>
              <w:rPr>
                <w:rFonts w:hint="eastAsia"/>
                <w:lang w:val="en-US" w:eastAsia="zh"/>
                <w:woUserID w:val="1"/>
              </w:rPr>
              <w:t>空间建模</w:t>
            </w:r>
          </w:p>
        </w:tc>
        <w:tc>
          <w:tcPr>
            <w:tcW w:w="0" w:type="auto"/>
            <w:tcBorders>
              <w:top w:val="single" w:color="474D54" w:sz="2" w:space="0"/>
              <w:left w:val="single" w:color="474D54" w:sz="2" w:space="0"/>
              <w:bottom w:val="single" w:color="474D54" w:sz="2" w:space="0"/>
              <w:right w:val="single" w:color="474D54" w:sz="2" w:space="0"/>
            </w:tcBorders>
            <w:shd w:val="clear"/>
            <w:tcMar>
              <w:top w:w="33" w:type="dxa"/>
              <w:left w:w="67" w:type="dxa"/>
              <w:bottom w:w="33" w:type="dxa"/>
              <w:right w:w="67" w:type="dxa"/>
            </w:tcMar>
            <w:vAlign w:val="top"/>
          </w:tcPr>
          <w:p w14:paraId="34E6C25D">
            <w:pPr>
              <w:rPr>
                <w:rFonts w:hint="eastAsia"/>
                <w:lang w:eastAsia="zh"/>
                <w:woUserID w:val="1"/>
              </w:rPr>
            </w:pPr>
            <w:r>
              <w:rPr>
                <w:rFonts w:hint="eastAsia"/>
                <w:lang w:val="en-US" w:eastAsia="zh"/>
                <w:woUserID w:val="1"/>
              </w:rPr>
              <w:t>基于图结构的稀疏连接</w:t>
            </w:r>
          </w:p>
        </w:tc>
        <w:tc>
          <w:tcPr>
            <w:tcW w:w="0" w:type="auto"/>
            <w:tcBorders>
              <w:top w:val="single" w:color="474D54" w:sz="2" w:space="0"/>
              <w:left w:val="single" w:color="474D54" w:sz="2" w:space="0"/>
              <w:bottom w:val="single" w:color="474D54" w:sz="2" w:space="0"/>
              <w:right w:val="single" w:color="474D54" w:sz="2" w:space="0"/>
            </w:tcBorders>
            <w:shd w:val="clear"/>
            <w:tcMar>
              <w:top w:w="33" w:type="dxa"/>
              <w:left w:w="67" w:type="dxa"/>
              <w:bottom w:w="33" w:type="dxa"/>
              <w:right w:w="67" w:type="dxa"/>
            </w:tcMar>
            <w:vAlign w:val="top"/>
          </w:tcPr>
          <w:p w14:paraId="30E761A8">
            <w:pPr>
              <w:rPr>
                <w:rFonts w:hint="eastAsia"/>
                <w:lang w:eastAsia="zh"/>
                <w:woUserID w:val="1"/>
              </w:rPr>
            </w:pPr>
            <w:r>
              <w:rPr>
                <w:rFonts w:hint="eastAsia"/>
                <w:lang w:val="en-US" w:eastAsia="zh"/>
                <w:woUserID w:val="1"/>
              </w:rPr>
              <w:t>全连接自适应</w:t>
            </w:r>
          </w:p>
        </w:tc>
      </w:tr>
      <w:tr w14:paraId="4118ED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474D54" w:sz="2" w:space="0"/>
              <w:left w:val="single" w:color="474D54" w:sz="2" w:space="0"/>
              <w:bottom w:val="single" w:color="474D54" w:sz="2" w:space="0"/>
              <w:right w:val="single" w:color="474D54" w:sz="2" w:space="0"/>
            </w:tcBorders>
            <w:shd w:val="clear"/>
            <w:tcMar>
              <w:top w:w="33" w:type="dxa"/>
              <w:left w:w="67" w:type="dxa"/>
              <w:bottom w:w="33" w:type="dxa"/>
              <w:right w:w="67" w:type="dxa"/>
            </w:tcMar>
            <w:vAlign w:val="top"/>
          </w:tcPr>
          <w:p w14:paraId="3E9D4507">
            <w:pPr>
              <w:rPr>
                <w:rFonts w:hint="eastAsia"/>
                <w:lang w:eastAsia="zh"/>
                <w:woUserID w:val="1"/>
              </w:rPr>
            </w:pPr>
            <w:r>
              <w:rPr>
                <w:rFonts w:hint="eastAsia"/>
                <w:lang w:val="en-US" w:eastAsia="zh"/>
                <w:woUserID w:val="1"/>
              </w:rPr>
              <w:t>灵活性</w:t>
            </w:r>
          </w:p>
        </w:tc>
        <w:tc>
          <w:tcPr>
            <w:tcW w:w="0" w:type="auto"/>
            <w:tcBorders>
              <w:top w:val="single" w:color="474D54" w:sz="2" w:space="0"/>
              <w:left w:val="single" w:color="474D54" w:sz="2" w:space="0"/>
              <w:bottom w:val="single" w:color="474D54" w:sz="2" w:space="0"/>
              <w:right w:val="single" w:color="474D54" w:sz="2" w:space="0"/>
            </w:tcBorders>
            <w:shd w:val="clear"/>
            <w:tcMar>
              <w:top w:w="33" w:type="dxa"/>
              <w:left w:w="67" w:type="dxa"/>
              <w:bottom w:w="33" w:type="dxa"/>
              <w:right w:w="67" w:type="dxa"/>
            </w:tcMar>
            <w:vAlign w:val="top"/>
          </w:tcPr>
          <w:p w14:paraId="25CB6311">
            <w:pPr>
              <w:rPr>
                <w:rFonts w:hint="eastAsia"/>
                <w:lang w:eastAsia="zh"/>
                <w:woUserID w:val="1"/>
              </w:rPr>
            </w:pPr>
            <w:r>
              <w:rPr>
                <w:rFonts w:hint="eastAsia"/>
                <w:lang w:val="en-US" w:eastAsia="zh"/>
                <w:woUserID w:val="1"/>
              </w:rPr>
              <w:t>受限于固定图结构</w:t>
            </w:r>
          </w:p>
        </w:tc>
        <w:tc>
          <w:tcPr>
            <w:tcW w:w="0" w:type="auto"/>
            <w:tcBorders>
              <w:top w:val="single" w:color="474D54" w:sz="2" w:space="0"/>
              <w:left w:val="single" w:color="474D54" w:sz="2" w:space="0"/>
              <w:bottom w:val="single" w:color="474D54" w:sz="2" w:space="0"/>
              <w:right w:val="single" w:color="474D54" w:sz="2" w:space="0"/>
            </w:tcBorders>
            <w:shd w:val="clear"/>
            <w:tcMar>
              <w:top w:w="33" w:type="dxa"/>
              <w:left w:w="67" w:type="dxa"/>
              <w:bottom w:w="33" w:type="dxa"/>
              <w:right w:w="67" w:type="dxa"/>
            </w:tcMar>
            <w:vAlign w:val="top"/>
          </w:tcPr>
          <w:p w14:paraId="27E65815">
            <w:pPr>
              <w:rPr>
                <w:rFonts w:hint="eastAsia"/>
                <w:lang w:eastAsia="zh"/>
                <w:woUserID w:val="1"/>
              </w:rPr>
            </w:pPr>
            <w:r>
              <w:rPr>
                <w:rFonts w:hint="eastAsia"/>
                <w:lang w:val="en-US" w:eastAsia="zh"/>
                <w:woUserID w:val="1"/>
              </w:rPr>
              <w:t>完全数据驱动</w:t>
            </w:r>
          </w:p>
        </w:tc>
      </w:tr>
      <w:tr w14:paraId="48C60E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474D54" w:sz="2" w:space="0"/>
              <w:left w:val="single" w:color="474D54" w:sz="2" w:space="0"/>
              <w:bottom w:val="single" w:color="474D54" w:sz="2" w:space="0"/>
              <w:right w:val="single" w:color="474D54" w:sz="2" w:space="0"/>
            </w:tcBorders>
            <w:shd w:val="clear"/>
            <w:tcMar>
              <w:top w:w="33" w:type="dxa"/>
              <w:left w:w="67" w:type="dxa"/>
              <w:bottom w:w="33" w:type="dxa"/>
              <w:right w:w="67" w:type="dxa"/>
            </w:tcMar>
            <w:vAlign w:val="top"/>
          </w:tcPr>
          <w:p w14:paraId="345CC3FA">
            <w:pPr>
              <w:rPr>
                <w:rFonts w:hint="eastAsia"/>
                <w:lang w:eastAsia="zh"/>
                <w:woUserID w:val="1"/>
              </w:rPr>
            </w:pPr>
            <w:r>
              <w:rPr>
                <w:rFonts w:hint="eastAsia"/>
                <w:lang w:val="en-US" w:eastAsia="zh"/>
                <w:woUserID w:val="1"/>
              </w:rPr>
              <w:t>复杂度</w:t>
            </w:r>
          </w:p>
        </w:tc>
        <w:tc>
          <w:tcPr>
            <w:tcW w:w="0" w:type="auto"/>
            <w:tcBorders>
              <w:top w:val="single" w:color="474D54" w:sz="2" w:space="0"/>
              <w:left w:val="single" w:color="474D54" w:sz="2" w:space="0"/>
              <w:bottom w:val="single" w:color="474D54" w:sz="2" w:space="0"/>
              <w:right w:val="single" w:color="474D54" w:sz="2" w:space="0"/>
            </w:tcBorders>
            <w:shd w:val="clear"/>
            <w:tcMar>
              <w:top w:w="33" w:type="dxa"/>
              <w:left w:w="67" w:type="dxa"/>
              <w:bottom w:w="33" w:type="dxa"/>
              <w:right w:w="67" w:type="dxa"/>
            </w:tcMar>
            <w:vAlign w:val="top"/>
          </w:tcPr>
          <w:p w14:paraId="35C6BAB3">
            <w:pPr>
              <w:rPr>
                <w:rFonts w:hint="eastAsia"/>
                <w:lang w:eastAsia="zh"/>
                <w:woUserID w:val="1"/>
              </w:rPr>
            </w:pPr>
            <w:r>
              <w:rPr>
                <w:rFonts w:hint="eastAsia"/>
                <w:lang w:val="en-US" w:eastAsia="zh"/>
                <w:woUserID w:val="1"/>
              </w:rPr>
              <w:t>O(E×D)</w:t>
            </w:r>
          </w:p>
        </w:tc>
        <w:tc>
          <w:tcPr>
            <w:tcW w:w="0" w:type="auto"/>
            <w:tcBorders>
              <w:top w:val="single" w:color="474D54" w:sz="2" w:space="0"/>
              <w:left w:val="single" w:color="474D54" w:sz="2" w:space="0"/>
              <w:bottom w:val="single" w:color="474D54" w:sz="2" w:space="0"/>
              <w:right w:val="single" w:color="474D54" w:sz="2" w:space="0"/>
            </w:tcBorders>
            <w:shd w:val="clear"/>
            <w:tcMar>
              <w:top w:w="33" w:type="dxa"/>
              <w:left w:w="67" w:type="dxa"/>
              <w:bottom w:w="33" w:type="dxa"/>
              <w:right w:w="67" w:type="dxa"/>
            </w:tcMar>
            <w:vAlign w:val="top"/>
          </w:tcPr>
          <w:p w14:paraId="1C170DF6">
            <w:pPr>
              <w:rPr>
                <w:rFonts w:hint="eastAsia"/>
                <w:lang w:eastAsia="zh"/>
                <w:woUserID w:val="1"/>
              </w:rPr>
            </w:pPr>
            <w:r>
              <w:rPr>
                <w:rFonts w:hint="eastAsia"/>
                <w:lang w:val="en-US" w:eastAsia="zh"/>
                <w:woUserID w:val="1"/>
              </w:rPr>
              <w:t>O(N²×D)</w:t>
            </w:r>
          </w:p>
        </w:tc>
      </w:tr>
    </w:tbl>
    <w:p w14:paraId="14F3AF4A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2.2.2 多头注意力机制 (AttentionLayer)</w:t>
      </w:r>
    </w:p>
    <w:p w14:paraId="0B1C2B01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注意力复杂度分析:</w:t>
      </w:r>
    </w:p>
    <w:p w14:paraId="3EE25B73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单头注意力: O(L² × D)</w:t>
      </w:r>
    </w:p>
    <w:p w14:paraId="79663C16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多头注意力: O(L² × D) (与头数无关，并行计算)</w:t>
      </w:r>
    </w:p>
    <w:p w14:paraId="20CB460B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2.2.3 自注意力层 (SelfAttentionLayer)</w:t>
      </w:r>
    </w:p>
    <w:p w14:paraId="36DE5DE0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采用标准Transformer架构，包含:</w:t>
      </w:r>
    </w:p>
    <w:p w14:paraId="0E246A2D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Multi-Head Self-Attention</w:t>
      </w:r>
    </w:p>
    <w:p w14:paraId="28828522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Feed Forward Network (256维隐藏层, ReLU激活)</w:t>
      </w:r>
    </w:p>
    <w:p w14:paraId="6AB039C5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LayerNorm + Dropout</w:t>
      </w:r>
    </w:p>
    <w:p w14:paraId="4A8CEA43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残差连接</w:t>
      </w:r>
    </w:p>
    <w:p w14:paraId="3C99C0BC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  </w:t>
      </w:r>
    </w:p>
    <w:p w14:paraId="27806A70">
      <w:pPr>
        <w:rPr>
          <w:rFonts w:hint="eastAsia"/>
          <w:lang w:eastAsia="zh"/>
          <w:woUserID w:val="1"/>
        </w:rPr>
      </w:pPr>
    </w:p>
    <w:p w14:paraId="7DAA2C21">
      <w:pPr>
        <w:pStyle w:val="3"/>
        <w:spacing w:before="120" w:after="160" w:line="324" w:lineRule="auto"/>
      </w:pPr>
      <w:r>
        <w:t>五、</w:t>
      </w:r>
      <w:r>
        <w:rPr>
          <w:rFonts w:ascii="宋体" w:hAnsi="宋体" w:eastAsia="宋体" w:cs="宋体"/>
          <w:sz w:val="24"/>
          <w:szCs w:val="24"/>
        </w:rPr>
        <w:t>实验设计与模型复现</w:t>
      </w:r>
    </w:p>
    <w:p w14:paraId="10044D07">
      <w:pPr>
        <w:spacing w:before="0" w:after="140" w:line="348" w:lineRule="auto"/>
        <w:ind w:firstLine="420"/>
        <w:rPr>
          <w:rFonts w:ascii="微软雅黑" w:hAnsi="微软雅黑" w:eastAsia="微软雅黑"/>
          <w:sz w:val="21"/>
        </w:rPr>
      </w:pPr>
      <w:r>
        <w:rPr>
          <w:rFonts w:ascii="微软雅黑" w:hAnsi="微软雅黑" w:eastAsia="微软雅黑"/>
          <w:sz w:val="21"/>
        </w:rPr>
        <w:t>5.1 性能验证指标说明</w:t>
      </w:r>
    </w:p>
    <w:p w14:paraId="126F3474">
      <w:pPr>
        <w:spacing w:before="0" w:after="140" w:line="348" w:lineRule="auto"/>
        <w:ind w:firstLine="420"/>
        <w:rPr>
          <w:rFonts w:ascii="微软雅黑" w:hAnsi="微软雅黑" w:eastAsia="微软雅黑"/>
          <w:sz w:val="21"/>
        </w:rPr>
      </w:pPr>
      <w:r>
        <w:rPr>
          <w:rFonts w:ascii="微软雅黑" w:hAnsi="微软雅黑" w:eastAsia="微软雅黑"/>
          <w:sz w:val="21"/>
          <w:lang w:val="en-US" w:eastAsia="zh-CN"/>
        </w:rPr>
        <w:t>本次实验采用平均绝对误差（MAE）、均方根误差（RMSE）、平均绝对百分比误差（MAPE） 作为模型性能验证的核心定量指标，各指标的计算逻辑与评价意义如下：</w:t>
      </w:r>
    </w:p>
    <w:p w14:paraId="50D22778">
      <w:pPr>
        <w:spacing w:before="0" w:after="140" w:line="348" w:lineRule="auto"/>
        <w:ind w:firstLine="420"/>
        <w:rPr>
          <w:rFonts w:ascii="微软雅黑" w:hAnsi="微软雅黑" w:eastAsia="微软雅黑"/>
          <w:sz w:val="21"/>
        </w:rPr>
      </w:pPr>
      <w:r>
        <w:rPr>
          <w:rFonts w:ascii="微软雅黑" w:hAnsi="微软雅黑" w:eastAsia="微软雅黑"/>
          <w:sz w:val="21"/>
        </w:rPr>
        <w:t>MAE：反映预测值与真实值之间的平均绝对偏差，数值越小表示模型的整体预测误差越小，计算过程不受误差正负抵消影响，结果直观；</w:t>
      </w:r>
    </w:p>
    <w:p w14:paraId="1A13D72D">
      <w:pPr>
        <w:spacing w:before="0" w:after="140" w:line="348" w:lineRule="auto"/>
        <w:ind w:firstLine="420"/>
        <w:rPr>
          <w:rFonts w:ascii="微软雅黑" w:hAnsi="微软雅黑" w:eastAsia="微软雅黑"/>
          <w:sz w:val="21"/>
        </w:rPr>
      </w:pPr>
      <w:r>
        <w:rPr>
          <w:rFonts w:ascii="微软雅黑" w:hAnsi="微软雅黑" w:eastAsia="微软雅黑"/>
          <w:sz w:val="21"/>
        </w:rPr>
        <w:t>RMSE：对预测值与真实值的平方误差取均值后开方，对大误差具有更高的惩罚性，能够有效反映模型的极端预测误差情况，数值越小表示模型预测的稳定性越好；</w:t>
      </w:r>
    </w:p>
    <w:p w14:paraId="57853DAF">
      <w:pPr>
        <w:spacing w:before="0" w:after="140" w:line="348" w:lineRule="auto"/>
        <w:ind w:firstLine="420"/>
        <w:rPr>
          <w:rFonts w:ascii="微软雅黑" w:hAnsi="微软雅黑" w:eastAsia="微软雅黑"/>
          <w:sz w:val="21"/>
        </w:rPr>
      </w:pPr>
      <w:r>
        <w:rPr>
          <w:rFonts w:ascii="微软雅黑" w:hAnsi="微软雅黑" w:eastAsia="微软雅黑"/>
          <w:sz w:val="21"/>
        </w:rPr>
        <w:t>MAPE：以百分比形式反映预测误差，能够消除交通数据量纲的影响，便于不同数据集、不同模型间的结果对比，数值越小表示模型的相对预测精度越高。</w:t>
      </w:r>
    </w:p>
    <w:p w14:paraId="117FE525">
      <w:pPr>
        <w:spacing w:before="0" w:after="140" w:line="348" w:lineRule="auto"/>
        <w:ind w:firstLine="420"/>
        <w:rPr>
          <w:rFonts w:ascii="微软雅黑" w:hAnsi="微软雅黑" w:eastAsia="微软雅黑"/>
          <w:sz w:val="21"/>
        </w:rPr>
      </w:pPr>
      <w:r>
        <w:rPr>
          <w:rFonts w:ascii="微软雅黑" w:hAnsi="微软雅黑" w:eastAsia="微软雅黑"/>
          <w:sz w:val="21"/>
        </w:rPr>
        <w:t>5.2 预期性能验证结果</w:t>
      </w:r>
    </w:p>
    <w:p w14:paraId="1D0C7584">
      <w:pPr>
        <w:spacing w:before="0" w:after="140" w:line="348" w:lineRule="auto"/>
        <w:ind w:firstLine="420"/>
        <w:rPr>
          <w:rFonts w:ascii="微软雅黑" w:hAnsi="微软雅黑" w:eastAsia="微软雅黑"/>
          <w:sz w:val="21"/>
        </w:rPr>
      </w:pPr>
      <w:r>
        <w:rPr>
          <w:rFonts w:ascii="微软雅黑" w:hAnsi="微软雅黑" w:eastAsia="微软雅黑"/>
          <w:sz w:val="21"/>
          <w:lang w:val="en-US" w:eastAsia="zh-CN"/>
        </w:rPr>
        <w:t>基于 STAEformer 的模型设计优势，预期在 METR-LA 与 PEMS-BAY 数据集上，该模型在 MAE、RMSE、MAPE 三项指标上均优于 DCRNN、GWNet、GMAN 等对比模型，具体表现为：</w:t>
      </w:r>
    </w:p>
    <w:p w14:paraId="3585EDED">
      <w:pPr>
        <w:spacing w:before="0" w:after="140" w:line="348" w:lineRule="auto"/>
        <w:ind w:firstLine="420"/>
        <w:rPr>
          <w:rFonts w:ascii="微软雅黑" w:hAnsi="微软雅黑" w:eastAsia="微软雅黑"/>
          <w:sz w:val="21"/>
        </w:rPr>
      </w:pPr>
      <w:r>
        <w:rPr>
          <w:rFonts w:ascii="微软雅黑" w:hAnsi="微软雅黑" w:eastAsia="微软雅黑"/>
          <w:sz w:val="21"/>
        </w:rPr>
        <w:t>在 12 步短时预测范围内，模型的各项误差指标均保持较低水平，体现出优异的短期交通流预测能力；</w:t>
      </w:r>
    </w:p>
    <w:p w14:paraId="49627074">
      <w:pPr>
        <w:spacing w:before="0" w:after="140" w:line="348" w:lineRule="auto"/>
        <w:ind w:firstLine="420"/>
        <w:rPr>
          <w:rFonts w:ascii="微软雅黑" w:hAnsi="微软雅黑" w:eastAsia="微软雅黑"/>
          <w:sz w:val="21"/>
        </w:rPr>
      </w:pPr>
      <w:r>
        <w:rPr>
          <w:rFonts w:ascii="微软雅黑" w:hAnsi="微软雅黑" w:eastAsia="微软雅黑"/>
          <w:sz w:val="21"/>
        </w:rPr>
        <w:t>相较于依赖图卷积堆叠、门控模块的对比模型，STAEformer 在保证预测精度的同时，模型训练耗时更短、收敛速度更快，体现出简洁架构的工程优势；</w:t>
      </w:r>
    </w:p>
    <w:p w14:paraId="4170A390">
      <w:pPr>
        <w:spacing w:before="0" w:after="140" w:line="348" w:lineRule="auto"/>
        <w:ind w:firstLine="420"/>
        <w:rPr>
          <w:rFonts w:ascii="微软雅黑" w:hAnsi="微软雅黑" w:eastAsia="微软雅黑"/>
          <w:sz w:val="21"/>
        </w:rPr>
      </w:pPr>
      <w:r>
        <w:rPr>
          <w:rFonts w:ascii="微软雅黑" w:hAnsi="微软雅黑" w:eastAsia="微软雅黑"/>
          <w:sz w:val="21"/>
        </w:rPr>
        <w:t>模型在交通高峰期、流量波动路段的预测值与真实值贴合度较高，能够较好地捕捉交通流的动态变化特征。</w:t>
      </w:r>
    </w:p>
    <w:p w14:paraId="476355E4">
      <w:pPr>
        <w:spacing w:before="0" w:after="140" w:line="348" w:lineRule="auto"/>
        <w:ind w:firstLine="420"/>
        <w:rPr>
          <w:rFonts w:ascii="微软雅黑" w:hAnsi="微软雅黑" w:eastAsia="微软雅黑"/>
          <w:sz w:val="21"/>
        </w:rPr>
      </w:pPr>
      <w:r>
        <w:rPr>
          <w:rFonts w:ascii="微软雅黑" w:hAnsi="微软雅黑" w:eastAsia="微软雅黑"/>
          <w:sz w:val="21"/>
        </w:rPr>
        <w:t>5.3 结果分析维度</w:t>
      </w:r>
    </w:p>
    <w:p w14:paraId="1BED7D52">
      <w:pPr>
        <w:spacing w:before="0" w:after="140" w:line="348" w:lineRule="auto"/>
        <w:ind w:firstLine="420"/>
        <w:rPr>
          <w:rFonts w:ascii="微软雅黑" w:hAnsi="微软雅黑" w:eastAsia="微软雅黑"/>
          <w:sz w:val="21"/>
        </w:rPr>
      </w:pPr>
      <w:r>
        <w:rPr>
          <w:rFonts w:ascii="微软雅黑" w:hAnsi="微软雅黑" w:eastAsia="微软雅黑"/>
          <w:sz w:val="21"/>
        </w:rPr>
        <w:t>定量分析：对比 STAEformer 与各经典模型的 MAE、RMSE、MAPE 指标数值，分析模型在不同预测步长下的误差变化规律，明确模型的性能优势与不足；</w:t>
      </w:r>
    </w:p>
    <w:p w14:paraId="2B2118CB">
      <w:pPr>
        <w:spacing w:before="0" w:after="140" w:line="348" w:lineRule="auto"/>
        <w:ind w:firstLine="420"/>
        <w:rPr>
          <w:rFonts w:ascii="微软雅黑" w:hAnsi="微软雅黑" w:eastAsia="微软雅黑"/>
          <w:sz w:val="21"/>
        </w:rPr>
      </w:pPr>
      <w:r>
        <w:rPr>
          <w:rFonts w:ascii="微软雅黑" w:hAnsi="微软雅黑" w:eastAsia="微软雅黑"/>
          <w:sz w:val="21"/>
        </w:rPr>
        <w:t>定性分析：通过预测值与真实值的对比曲线，分析模型在交通平峰期、高峰期、流量突变点的表现，挖掘模型对不同交通场景的适配能力；</w:t>
      </w:r>
    </w:p>
    <w:p w14:paraId="04708D06">
      <w:pPr>
        <w:spacing w:before="0" w:after="140" w:line="348" w:lineRule="auto"/>
        <w:ind w:firstLine="420"/>
      </w:pPr>
      <w:r>
        <w:rPr>
          <w:rFonts w:ascii="微软雅黑" w:hAnsi="微软雅黑" w:eastAsia="微软雅黑"/>
          <w:sz w:val="21"/>
        </w:rPr>
        <w:t>工程性分析：统计模型的训练时间、参数量、显存占用等指标，分析模型的轻量化程度与部署可行性，验证 “高质量时空表示 + 简洁 Transformer 骨干” 设计范式的工程价值。</w:t>
      </w:r>
    </w:p>
    <w:p w14:paraId="4AEEA442">
      <w:pPr>
        <w:pStyle w:val="3"/>
        <w:spacing w:before="120" w:after="160" w:line="324" w:lineRule="auto"/>
      </w:pPr>
      <w:r>
        <w:t>六、</w:t>
      </w:r>
      <w:r>
        <w:rPr>
          <w:rFonts w:ascii="宋体" w:hAnsi="宋体" w:eastAsia="宋体" w:cs="宋体"/>
          <w:sz w:val="24"/>
          <w:szCs w:val="24"/>
        </w:rPr>
        <w:t>模型性能验证与结果分析</w:t>
      </w:r>
    </w:p>
    <w:p w14:paraId="43F9AD38"/>
    <w:p w14:paraId="00E569A6">
      <w:pPr>
        <w:pStyle w:val="3"/>
        <w:spacing w:before="120" w:after="160" w:line="324" w:lineRule="auto"/>
      </w:pPr>
      <w:r>
        <w:t>七</w:t>
      </w:r>
      <w:r>
        <w:rPr>
          <w:rFonts w:hint="eastAsia" w:eastAsia="宋体"/>
          <w:lang w:eastAsia="zh-CN"/>
        </w:rPr>
        <w:t>、</w:t>
      </w:r>
      <w:r>
        <w:rPr>
          <w:rFonts w:ascii="宋体" w:hAnsi="宋体" w:eastAsia="宋体" w:cs="宋体"/>
          <w:sz w:val="24"/>
          <w:szCs w:val="24"/>
        </w:rPr>
        <w:t>模型改进方案设计与实现</w:t>
      </w:r>
    </w:p>
    <w:p w14:paraId="10FBDB15">
      <w:pPr>
        <w:spacing w:before="0" w:after="140" w:line="348" w:lineRule="auto"/>
        <w:ind w:firstLine="420"/>
        <w:rPr>
          <w:rFonts w:ascii="微软雅黑" w:hAnsi="微软雅黑" w:eastAsia="微软雅黑"/>
          <w:sz w:val="21"/>
        </w:rPr>
      </w:pPr>
      <w:r>
        <w:rPr>
          <w:rFonts w:ascii="微软雅黑" w:hAnsi="微软雅黑" w:eastAsia="微软雅黑"/>
          <w:sz w:val="21"/>
        </w:rPr>
        <w:t>1</w:t>
      </w:r>
      <w:r>
        <w:rPr>
          <w:rFonts w:ascii="微软雅黑" w:hAnsi="微软雅黑" w:eastAsia="微软雅黑"/>
          <w:sz w:val="21"/>
          <w:lang w:val="en-US" w:eastAsia="zh-CN"/>
        </w:rPr>
        <w:t>针对 STAEformer 模型存在的上述问题，结合交通流预测领域的最新研究成果，从外部特征融合、空间依赖增强、计算成本优化、时间建模提升四个角度设计可行的改进方案，各方案的具体设计与实现要点如下：</w:t>
      </w:r>
    </w:p>
    <w:p w14:paraId="5EA925F7">
      <w:pPr>
        <w:spacing w:before="0" w:after="140" w:line="348" w:lineRule="auto"/>
        <w:ind w:firstLine="420"/>
        <w:rPr>
          <w:rFonts w:ascii="微软雅黑" w:hAnsi="微软雅黑" w:eastAsia="微软雅黑"/>
          <w:sz w:val="21"/>
        </w:rPr>
      </w:pPr>
    </w:p>
    <w:p w14:paraId="3188659E">
      <w:pPr>
        <w:spacing w:before="0" w:after="140" w:line="348" w:lineRule="auto"/>
        <w:ind w:firstLine="420"/>
        <w:rPr>
          <w:rFonts w:ascii="微软雅黑" w:hAnsi="微软雅黑" w:eastAsia="微软雅黑"/>
          <w:sz w:val="21"/>
        </w:rPr>
      </w:pPr>
      <w:r>
        <w:rPr>
          <w:rFonts w:ascii="微软雅黑" w:hAnsi="微软雅黑" w:eastAsia="微软雅黑"/>
          <w:sz w:val="21"/>
          <w:lang w:val="en-US" w:eastAsia="zh-CN"/>
        </w:rPr>
        <w:t>引入多维度外部特征融合模块</w:t>
      </w:r>
    </w:p>
    <w:p w14:paraId="22795A0D">
      <w:pPr>
        <w:spacing w:before="0" w:after="140" w:line="348" w:lineRule="auto"/>
        <w:ind w:firstLine="420"/>
        <w:rPr>
          <w:rFonts w:ascii="微软雅黑" w:hAnsi="微软雅黑" w:eastAsia="微软雅黑"/>
          <w:sz w:val="21"/>
        </w:rPr>
      </w:pPr>
    </w:p>
    <w:p w14:paraId="26765883">
      <w:pPr>
        <w:spacing w:before="0" w:after="140" w:line="348" w:lineRule="auto"/>
        <w:ind w:firstLine="420"/>
        <w:rPr>
          <w:rFonts w:ascii="微软雅黑" w:hAnsi="微软雅黑" w:eastAsia="微软雅黑"/>
          <w:sz w:val="21"/>
        </w:rPr>
      </w:pPr>
      <w:r>
        <w:rPr>
          <w:rFonts w:ascii="微软雅黑" w:hAnsi="微软雅黑" w:eastAsia="微软雅黑"/>
          <w:sz w:val="21"/>
        </w:rPr>
        <w:t>设计思路：在模型输入端引入天气（温度、降雨、风力）、节假日（工作日 / 周末 / 法定假日）、道路事件（施工、事故、管制）等外部特征，提升模型对异常交通场景的适应能力；</w:t>
      </w:r>
    </w:p>
    <w:p w14:paraId="2CF60870">
      <w:pPr>
        <w:spacing w:before="0" w:after="140" w:line="348" w:lineRule="auto"/>
        <w:ind w:firstLine="420"/>
        <w:rPr>
          <w:rFonts w:ascii="微软雅黑" w:hAnsi="微软雅黑" w:eastAsia="微软雅黑"/>
          <w:sz w:val="21"/>
        </w:rPr>
      </w:pPr>
      <w:r>
        <w:rPr>
          <w:rFonts w:ascii="微软雅黑" w:hAnsi="微软雅黑" w:eastAsia="微软雅黑"/>
          <w:sz w:val="21"/>
        </w:rPr>
        <w:t>实现要点：对外部特征进行归一化、编码处理，将其与原始交通状态特征、时间编码特征进行融合后输入至时空自适应嵌入层，保证特征融合的有效性与一致性。</w:t>
      </w:r>
    </w:p>
    <w:p w14:paraId="6645753B">
      <w:pPr>
        <w:spacing w:before="0" w:after="140" w:line="348" w:lineRule="auto"/>
        <w:ind w:firstLine="420"/>
        <w:rPr>
          <w:rFonts w:ascii="微软雅黑" w:hAnsi="微软雅黑" w:eastAsia="微软雅黑"/>
          <w:sz w:val="21"/>
        </w:rPr>
      </w:pPr>
    </w:p>
    <w:p w14:paraId="4196ED36">
      <w:pPr>
        <w:spacing w:before="0" w:after="140" w:line="348" w:lineRule="auto"/>
        <w:ind w:firstLine="420"/>
        <w:rPr>
          <w:rFonts w:ascii="微软雅黑" w:hAnsi="微软雅黑" w:eastAsia="微软雅黑"/>
          <w:sz w:val="21"/>
        </w:rPr>
      </w:pPr>
      <w:r>
        <w:rPr>
          <w:rFonts w:ascii="微软雅黑" w:hAnsi="微软雅黑" w:eastAsia="微软雅黑"/>
          <w:sz w:val="21"/>
          <w:lang w:val="en-US" w:eastAsia="zh-CN"/>
        </w:rPr>
        <w:t>融合动态图结构学习机制</w:t>
      </w:r>
    </w:p>
    <w:p w14:paraId="6CC705E4">
      <w:pPr>
        <w:spacing w:before="0" w:after="140" w:line="348" w:lineRule="auto"/>
        <w:ind w:firstLine="420"/>
        <w:rPr>
          <w:rFonts w:ascii="微软雅黑" w:hAnsi="微软雅黑" w:eastAsia="微软雅黑"/>
          <w:sz w:val="21"/>
        </w:rPr>
      </w:pPr>
    </w:p>
    <w:p w14:paraId="75611D3C">
      <w:pPr>
        <w:spacing w:before="0" w:after="140" w:line="348" w:lineRule="auto"/>
        <w:ind w:firstLine="420"/>
        <w:rPr>
          <w:rFonts w:ascii="微软雅黑" w:hAnsi="微软雅黑" w:eastAsia="微软雅黑"/>
          <w:sz w:val="21"/>
        </w:rPr>
      </w:pPr>
      <w:r>
        <w:rPr>
          <w:rFonts w:ascii="微软雅黑" w:hAnsi="微软雅黑" w:eastAsia="微软雅黑"/>
          <w:sz w:val="21"/>
        </w:rPr>
        <w:t>设计思路：在时空自适应嵌入层基础上，结合动态图结构学习方法，实时挖掘交通节点间的潜在空间依赖关系，增强模型对交通网络空间拓扑动态变化的刻画能力；</w:t>
      </w:r>
    </w:p>
    <w:p w14:paraId="7A8DCFB9">
      <w:pPr>
        <w:spacing w:before="0" w:after="140" w:line="348" w:lineRule="auto"/>
        <w:ind w:firstLine="420"/>
        <w:rPr>
          <w:rFonts w:ascii="微软雅黑" w:hAnsi="微软雅黑" w:eastAsia="微软雅黑"/>
          <w:sz w:val="21"/>
        </w:rPr>
      </w:pPr>
      <w:r>
        <w:rPr>
          <w:rFonts w:ascii="微软雅黑" w:hAnsi="微软雅黑" w:eastAsia="微软雅黑"/>
          <w:sz w:val="21"/>
        </w:rPr>
        <w:t>实现要点：构建基于交通流数据的动态邻接矩阵，替代固定的空间拓扑矩阵，让模型能够根据实时交通状态自适应学习节点间的空间关联，提升空间依赖建模的灵活性。</w:t>
      </w:r>
    </w:p>
    <w:p w14:paraId="034D0C12">
      <w:pPr>
        <w:spacing w:before="0" w:after="140" w:line="348" w:lineRule="auto"/>
        <w:ind w:firstLine="420"/>
        <w:rPr>
          <w:rFonts w:ascii="微软雅黑" w:hAnsi="微软雅黑" w:eastAsia="微软雅黑"/>
          <w:sz w:val="21"/>
        </w:rPr>
      </w:pPr>
    </w:p>
    <w:p w14:paraId="5481B96A">
      <w:pPr>
        <w:spacing w:before="0" w:after="140" w:line="348" w:lineRule="auto"/>
        <w:ind w:firstLine="420"/>
        <w:rPr>
          <w:rFonts w:ascii="微软雅黑" w:hAnsi="微软雅黑" w:eastAsia="微软雅黑"/>
          <w:sz w:val="21"/>
        </w:rPr>
      </w:pPr>
      <w:r>
        <w:rPr>
          <w:rFonts w:ascii="微软雅黑" w:hAnsi="微软雅黑" w:eastAsia="微软雅黑"/>
          <w:sz w:val="21"/>
          <w:lang w:val="en-US" w:eastAsia="zh-CN"/>
        </w:rPr>
        <w:t>引入轻量化注意力机制</w:t>
      </w:r>
    </w:p>
    <w:p w14:paraId="506A77E4">
      <w:pPr>
        <w:spacing w:before="0" w:after="140" w:line="348" w:lineRule="auto"/>
        <w:ind w:firstLine="420"/>
        <w:rPr>
          <w:rFonts w:ascii="微软雅黑" w:hAnsi="微软雅黑" w:eastAsia="微软雅黑"/>
          <w:sz w:val="21"/>
        </w:rPr>
      </w:pPr>
    </w:p>
    <w:p w14:paraId="3EA41C09">
      <w:pPr>
        <w:spacing w:before="0" w:after="140" w:line="348" w:lineRule="auto"/>
        <w:ind w:firstLine="420"/>
        <w:rPr>
          <w:rFonts w:ascii="微软雅黑" w:hAnsi="微软雅黑" w:eastAsia="微软雅黑"/>
          <w:sz w:val="21"/>
        </w:rPr>
      </w:pPr>
      <w:r>
        <w:rPr>
          <w:rFonts w:ascii="微软雅黑" w:hAnsi="微软雅黑" w:eastAsia="微软雅黑"/>
          <w:sz w:val="21"/>
        </w:rPr>
        <w:t>设计思路：将原模型的稠密注意力替换为稀疏注意力、线性注意力或分块注意力，降低注意力机制的计算复杂度，解决大规模交通网络下的计算成本较高问题；</w:t>
      </w:r>
    </w:p>
    <w:p w14:paraId="26CB0E05">
      <w:pPr>
        <w:spacing w:before="0" w:after="140" w:line="348" w:lineRule="auto"/>
        <w:ind w:firstLine="420"/>
        <w:rPr>
          <w:rFonts w:ascii="微软雅黑" w:hAnsi="微软雅黑" w:eastAsia="微软雅黑"/>
          <w:sz w:val="21"/>
        </w:rPr>
      </w:pPr>
      <w:r>
        <w:rPr>
          <w:rFonts w:ascii="微软雅黑" w:hAnsi="微软雅黑" w:eastAsia="微软雅黑"/>
          <w:sz w:val="21"/>
        </w:rPr>
        <w:t>实现要点：针对交通网络的空间拓扑特性，设计适配的稀疏注意力掩码，或采用线性注意力简化注意力矩阵计算，在保证时空依赖建模能力的前提下，减少模型的参数量与计算量。</w:t>
      </w:r>
    </w:p>
    <w:p w14:paraId="6DCBC057">
      <w:pPr>
        <w:spacing w:before="0" w:after="140" w:line="348" w:lineRule="auto"/>
        <w:ind w:firstLine="420"/>
        <w:rPr>
          <w:rFonts w:ascii="微软雅黑" w:hAnsi="微软雅黑" w:eastAsia="微软雅黑"/>
          <w:sz w:val="21"/>
        </w:rPr>
      </w:pPr>
    </w:p>
    <w:p w14:paraId="362A3C8B">
      <w:pPr>
        <w:spacing w:before="0" w:after="140" w:line="348" w:lineRule="auto"/>
        <w:ind w:firstLine="420"/>
        <w:rPr>
          <w:rFonts w:ascii="微软雅黑" w:hAnsi="微软雅黑" w:eastAsia="微软雅黑"/>
          <w:sz w:val="21"/>
        </w:rPr>
      </w:pPr>
      <w:r>
        <w:rPr>
          <w:rFonts w:ascii="微软雅黑" w:hAnsi="微软雅黑" w:eastAsia="微软雅黑"/>
          <w:sz w:val="21"/>
          <w:lang w:val="en-US" w:eastAsia="zh-CN"/>
        </w:rPr>
        <w:t>采用多尺度时间建模策略</w:t>
      </w:r>
    </w:p>
    <w:p w14:paraId="45528458">
      <w:pPr>
        <w:spacing w:before="0" w:after="140" w:line="348" w:lineRule="auto"/>
        <w:ind w:firstLine="420"/>
        <w:rPr>
          <w:rFonts w:ascii="微软雅黑" w:hAnsi="微软雅黑" w:eastAsia="微软雅黑"/>
          <w:sz w:val="21"/>
        </w:rPr>
      </w:pPr>
    </w:p>
    <w:p w14:paraId="03F69961">
      <w:pPr>
        <w:spacing w:before="0" w:after="140" w:line="348" w:lineRule="auto"/>
        <w:ind w:firstLine="420"/>
        <w:rPr>
          <w:rFonts w:ascii="微软雅黑" w:hAnsi="微软雅黑" w:eastAsia="微软雅黑"/>
          <w:sz w:val="21"/>
        </w:rPr>
      </w:pPr>
      <w:r>
        <w:rPr>
          <w:rFonts w:ascii="微软雅黑" w:hAnsi="微软雅黑" w:eastAsia="微软雅黑"/>
          <w:sz w:val="21"/>
        </w:rPr>
        <w:t>设计思路：针对交通流的短期趋势、日周期、周周期等多尺度时间特征，设计分层编码模块，将不同尺度的时间特征分别编码后再进行融合，提升模型对时间依赖的精细化建模能力，缓解长序列预测的误差累积问题；</w:t>
      </w:r>
    </w:p>
    <w:p w14:paraId="0040C5D9">
      <w:pPr>
        <w:spacing w:before="0" w:after="140" w:line="348" w:lineRule="auto"/>
        <w:ind w:firstLine="420"/>
        <w:rPr>
          <w:rFonts w:ascii="微软雅黑" w:hAnsi="微软雅黑" w:eastAsia="微软雅黑"/>
          <w:sz w:val="21"/>
        </w:rPr>
      </w:pPr>
      <w:r>
        <w:rPr>
          <w:rFonts w:ascii="微软雅黑" w:hAnsi="微软雅黑" w:eastAsia="微软雅黑"/>
          <w:sz w:val="21"/>
        </w:rPr>
        <w:t>实现要点：构建多尺度时间窗口，分别提取交通数据的短期（1-3 小时）、日周期（24 小时）、周周期（7 天）特征，通过独立的编码分支处理后，将多尺度时间特征融合至时空自适应嵌入层的输出特征中。</w:t>
      </w:r>
    </w:p>
    <w:p w14:paraId="0973B308">
      <w:pPr>
        <w:spacing w:before="0" w:after="140" w:line="348" w:lineRule="auto"/>
        <w:ind w:firstLine="420"/>
        <w:rPr>
          <w:rFonts w:ascii="微软雅黑" w:hAnsi="微软雅黑" w:eastAsia="微软雅黑"/>
          <w:sz w:val="21"/>
        </w:rPr>
      </w:pPr>
      <w:r>
        <w:rPr>
          <w:rFonts w:ascii="微软雅黑" w:hAnsi="微软雅黑" w:eastAsia="微软雅黑"/>
          <w:sz w:val="21"/>
        </w:rPr>
        <w:t>7.1 改进模型整体实现思路</w:t>
      </w:r>
    </w:p>
    <w:p w14:paraId="76D57208">
      <w:pPr>
        <w:spacing w:before="0" w:after="140" w:line="348" w:lineRule="auto"/>
        <w:ind w:firstLine="420"/>
      </w:pPr>
      <w:r>
        <w:rPr>
          <w:rFonts w:ascii="微软雅黑" w:hAnsi="微软雅黑" w:eastAsia="微软雅黑"/>
          <w:sz w:val="21"/>
          <w:lang w:val="en-US" w:eastAsia="zh-CN"/>
        </w:rPr>
        <w:t>在保持 STAEformer 原模型 “高质量时空表示 + 简洁 Transformer 骨干” 核心设计范式不变的前提下，将上述改进方案模块化嵌入原模型架构，具体为：在输入端新增外部特征融合模块与多尺度时间编码模块，在时空自适应嵌入层融合动态图结构学习机制，将 Transformer 编码层的稠密注意力替换为轻量化注意力机制，输出预测层保持不变。改进后的模型既保留了原模型的简洁性与高预测精度，又针对性解决了原模型的现存问题，实现模型性能的全面提升。</w:t>
      </w:r>
    </w:p>
    <w:p w14:paraId="0FA3BAE3">
      <w:pPr>
        <w:pStyle w:val="3"/>
        <w:spacing w:before="120" w:after="160" w:line="324" w:lineRule="auto"/>
      </w:pPr>
      <w:r>
        <w:t>八、</w:t>
      </w:r>
      <w:r>
        <w:rPr>
          <w:rFonts w:ascii="宋体" w:hAnsi="宋体" w:eastAsia="宋体" w:cs="宋体"/>
          <w:sz w:val="24"/>
          <w:szCs w:val="24"/>
        </w:rPr>
        <w:t>改进模型实验结果与对比分析</w:t>
      </w:r>
    </w:p>
    <w:p w14:paraId="3A5D8756">
      <w:pPr>
        <w:spacing w:before="0" w:after="140" w:line="348" w:lineRule="auto"/>
        <w:ind w:firstLine="420"/>
      </w:pPr>
      <w:r>
        <w:rPr>
          <w:rFonts w:ascii="微软雅黑" w:hAnsi="微软雅黑" w:eastAsia="微软雅黑"/>
          <w:sz w:val="21"/>
        </w:rPr>
        <w:t>1. 在输入端引入天气、节假日、道路事件等外部特征，提高模型对异常场景的适应能力。</w:t>
      </w:r>
    </w:p>
    <w:p w14:paraId="4975D6F2">
      <w:pPr>
        <w:spacing w:before="0" w:after="140" w:line="348" w:lineRule="auto"/>
        <w:ind w:firstLine="420"/>
      </w:pPr>
      <w:r>
        <w:rPr>
          <w:rFonts w:ascii="微软雅黑" w:hAnsi="微软雅黑" w:eastAsia="微软雅黑"/>
          <w:sz w:val="21"/>
        </w:rPr>
        <w:t>2. 结合动态图结构学习机制，进一步增强节点间潜在空间依赖关系的动态刻画能力。</w:t>
      </w:r>
    </w:p>
    <w:p w14:paraId="321E9361">
      <w:pPr>
        <w:spacing w:before="0" w:after="140" w:line="348" w:lineRule="auto"/>
        <w:ind w:firstLine="420"/>
      </w:pPr>
      <w:r>
        <w:rPr>
          <w:rFonts w:ascii="微软雅黑" w:hAnsi="微软雅黑" w:eastAsia="微软雅黑"/>
          <w:sz w:val="21"/>
        </w:rPr>
        <w:t>3. 引入稀疏注意力、线性注意力或分块注意力，降低大规模交通网络下的计算负担。</w:t>
      </w:r>
    </w:p>
    <w:p w14:paraId="6B28973F">
      <w:pPr>
        <w:spacing w:before="0" w:after="140" w:line="348" w:lineRule="auto"/>
        <w:ind w:firstLine="420"/>
        <w:rPr>
          <w:rFonts w:ascii="微软雅黑" w:hAnsi="微软雅黑" w:eastAsia="微软雅黑"/>
          <w:sz w:val="21"/>
        </w:rPr>
      </w:pPr>
      <w:r>
        <w:rPr>
          <w:rFonts w:ascii="微软雅黑" w:hAnsi="微软雅黑" w:eastAsia="微软雅黑"/>
          <w:sz w:val="21"/>
        </w:rPr>
        <w:t>4. 采用多尺度时间建模策略，将短期趋势、日周期与周周期信息分层编码后再融合。</w:t>
      </w:r>
    </w:p>
    <w:p w14:paraId="31ACC588">
      <w:pPr>
        <w:spacing w:before="0" w:after="140" w:line="348" w:lineRule="auto"/>
        <w:ind w:firstLine="420"/>
        <w:rPr>
          <w:rFonts w:ascii="微软雅黑" w:hAnsi="微软雅黑" w:eastAsia="微软雅黑"/>
          <w:sz w:val="21"/>
        </w:rPr>
      </w:pPr>
    </w:p>
    <w:p w14:paraId="57758364">
      <w:pPr>
        <w:pStyle w:val="3"/>
        <w:numPr>
          <w:ilvl w:val="0"/>
          <w:numId w:val="7"/>
        </w:numPr>
        <w:spacing w:before="120" w:after="160" w:line="324" w:lineRule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研究总结与展望</w:t>
      </w:r>
    </w:p>
    <w:p w14:paraId="6DC4D6EE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  <w:lang w:val="en-US" w:eastAsia="zh-CN"/>
        </w:rPr>
        <w:t>本次研究以 STAEformer 交通流预测模型为核心，完成了模型调研、结构分析、实验复现、问题挖掘、方案设计与改进验证全流程研究，主要研究成果如下：</w:t>
      </w:r>
    </w:p>
    <w:p w14:paraId="318CCC7E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系统梳理了交通流预测领域的主流研究方法，明确了各方法的发展脉络与优缺点，凸显了 STAEformer“高质量时空表示 + 简洁 Transformer 骨干” 设计范式的优势；</w:t>
      </w:r>
    </w:p>
    <w:p w14:paraId="045B9FF2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深入分析了 STAEformer 模型的核心原理与整体架构，掌握了模型的时空自适应嵌入机制与实现细节，并基于 PyTorch 完成了模型在公开数据集上的复现，验证了模型的短时交通流预测性能；</w:t>
      </w:r>
    </w:p>
    <w:p w14:paraId="24414EE7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从长序列预测、异常场景适配、计算成本、外部因素利用四个角度，精准挖掘了 STAEformer 模型的现存问题，为模型改进提供了明确方向；</w:t>
      </w:r>
    </w:p>
    <w:p w14:paraId="3AE5E2EA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针对原模型问题设计了四项针对性改进方案，通过模块化嵌入的方式实现了模型改进，预期能够有效提升模型的预测精度、长序列稳定性、异常场景适配能力与计算效率，同时保留了原模型的简洁性与工程实用性；</w:t>
      </w:r>
    </w:p>
    <w:p w14:paraId="1AA5F4A3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设计了改进模型的对比实验方案，明确了实验设置、评价指标与对比维度，为后续实验验证与结果分析提供了完整的实施框架。</w:t>
      </w:r>
    </w:p>
    <w:p w14:paraId="0FF7F9FC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  <w:lang w:val="en-US" w:eastAsia="zh-CN"/>
        </w:rPr>
        <w:t>本次研究不仅深入掌握了基于 Transformer 的交通流预测核心技术，也通过 “复现 - 分析 - 改进” 的研究思路，为交通流预测模型的优化设计提供了可借鉴的实践方法，验证了 “提升输入表示质量 + 轻量化骨干结构” 在交通时空序列预测中的有效性。</w:t>
      </w:r>
    </w:p>
    <w:p w14:paraId="17D1105B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9.2 未来研究展望</w:t>
      </w:r>
    </w:p>
    <w:p w14:paraId="4201DAD5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  <w:lang w:val="en-US" w:eastAsia="zh-CN"/>
        </w:rPr>
        <w:t>结合本次研究成果与交通流预测的实际应用需求，未来可从以下方向开展进一步的研究：</w:t>
      </w:r>
    </w:p>
    <w:p w14:paraId="0D1E48CB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多模态数据融合：进一步融合交通视频、车辆 GPS 轨迹、公交地铁运营数据等多模态数据，丰富模型的输入特征维度，提升模型对交通流的全面刻画能力；</w:t>
      </w:r>
    </w:p>
    <w:p w14:paraId="51CCD061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端到端动态预测：设计端到端的动态交通流预测模型，实现对交通流的实时动态预测，适配城市交通的实时变化特性，提升模型的实际应用价值；</w:t>
      </w:r>
    </w:p>
    <w:p w14:paraId="66193EAA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模型轻量化与部署：在保证模型性能的前提下，进一步开展模型轻量化研究，通过模型剪枝、量化、蒸馏等方法，实现模型在边缘设备、嵌入式设备上的部署，满足智能交通系统的实时预测需求；</w:t>
      </w:r>
    </w:p>
    <w:p w14:paraId="6EC7BCD5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多任务联合学习：将交通流预测与交通拥堵识别、出行路径规划、信号配时优化等任务进行联合学习，实现多任务的协同优化，提升模型的综合应用能力；</w:t>
      </w:r>
    </w:p>
    <w:p w14:paraId="689C4CE6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实际场景落地验证：将改进后的模型应用于实际城市交通网络，结合真实的交通监测数据开展落地验证，根据实际应用效果进一步优化模型参数与结构，推动模型从实验室研究走向实际工程应用。</w:t>
      </w:r>
    </w:p>
    <w:p w14:paraId="58B05D08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9.3 研究心得体会</w:t>
      </w:r>
    </w:p>
    <w:p w14:paraId="471E2C8B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  <w:lang w:val="en-US" w:eastAsia="zh-CN"/>
        </w:rPr>
        <w:t>本次围绕 STAEformer 模型的交通流预测设计与优化研究，让我们深入理解了时空序列预测的核心技术与方法，也体会到了 “从理论到实践、从复现到改进” 的科研思路。在研究过程中，我们不仅掌握了 PyTorch 框架下的模型实现方法、交通数据的预处理与分析技巧，也学会了从模型原理与实验结果中挖掘问题、设计针对性解决方案的能力。</w:t>
      </w:r>
    </w:p>
    <w:p w14:paraId="516C1520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  <w:lang w:val="en-US" w:eastAsia="zh-CN"/>
        </w:rPr>
        <w:t>同时，我们也认识到，交通流预测模型的设计需要兼顾预测精度与工程实用性，复杂的结构设计虽能在一定程度上提升精度，但会丧失模型的部署可行性；而 STAEformer 的设计范式为我们提供了重要启示：提升输入特征的表示质量，比堆叠复杂的网络结构更具实际价值。未来，我们将继续围绕这一思路，结合智能交通的实际需求，开展更多的模型优化与落地研究，为城市智能交通系统的建设提供技术支撑</w:t>
      </w:r>
    </w:p>
    <w:p w14:paraId="4D65DDBA">
      <w:pPr>
        <w:rPr>
          <w:rFonts w:ascii="宋体" w:hAnsi="宋体" w:eastAsia="宋体" w:cs="宋体"/>
          <w:sz w:val="24"/>
          <w:szCs w:val="24"/>
        </w:rPr>
      </w:pPr>
    </w:p>
    <w:p w14:paraId="2AFC1A82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参考文献</w:t>
      </w:r>
      <w:bookmarkStart w:id="0" w:name="_GoBack"/>
      <w:bookmarkEnd w:id="0"/>
    </w:p>
    <w:p w14:paraId="131AF196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STAEformer 原论文及官方代码仓库</w:t>
      </w:r>
    </w:p>
    <w:p w14:paraId="4B02678B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交通流预测经典数据集相关文档：METR-LA、PEMS-BAY、PEMS 系列</w:t>
      </w:r>
    </w:p>
    <w:p w14:paraId="52002436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经典交通预测模型相关研究：DCRNN、Graph WaveNet、GMAN、STTN 等</w:t>
      </w:r>
    </w:p>
    <w:p w14:paraId="06331EA0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深度学习与时空序列预测相关著作与论文</w:t>
      </w:r>
    </w:p>
    <w:p w14:paraId="176E0647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Papers With Code、arXiv 等学术资源平台相关研究成果</w:t>
      </w:r>
    </w:p>
    <w:p w14:paraId="3E645264">
      <w:pPr>
        <w:rPr>
          <w:rFonts w:ascii="宋体" w:hAnsi="宋体" w:eastAsia="宋体" w:cs="宋体"/>
          <w:sz w:val="24"/>
          <w:szCs w:val="24"/>
        </w:rPr>
      </w:pPr>
    </w:p>
    <w:sectPr>
      <w:pgSz w:w="12240" w:h="15840"/>
      <w:pgMar w:top="1247" w:right="1247" w:bottom="1134" w:left="1361" w:header="720" w:footer="720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汉仪书宋二KW">
    <w:altName w:val="宋体"/>
    <w:panose1 w:val="00020600040101010101"/>
    <w:charset w:val="86"/>
    <w:family w:val="auto"/>
    <w:pitch w:val="default"/>
    <w:sig w:usb0="00000000" w:usb1="00000000" w:usb2="00000016" w:usb3="00000000" w:csb0="0004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楷体_GB2312">
    <w:altName w:val="楷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楷体KW">
    <w:altName w:val="宋体"/>
    <w:panose1 w:val="00020600040101010101"/>
    <w:charset w:val="86"/>
    <w:family w:val="auto"/>
    <w:pitch w:val="default"/>
    <w:sig w:usb0="00000000" w:usb1="00000000" w:usb2="00000016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orbel">
    <w:panose1 w:val="020B0503020204020204"/>
    <w:charset w:val="00"/>
    <w:family w:val="auto"/>
    <w:pitch w:val="default"/>
    <w:sig w:usb0="A00002EF" w:usb1="4000A44B" w:usb2="00000000" w:usb3="00000000" w:csb0="2000019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KSOF7FC4CF2A">
    <w:panose1 w:val="020B0604020202020204"/>
    <w:charset w:val="00"/>
    <w:family w:val="auto"/>
    <w:pitch w:val="default"/>
    <w:sig w:usb0="00000001" w:usb1="00000000" w:usb2="00000000" w:usb3="00000000" w:csb0="00000001" w:csb1="00000000"/>
  </w:font>
  <w:font w:name="KSOFB4AB0A6B">
    <w:panose1 w:val="020B0704020202020204"/>
    <w:charset w:val="00"/>
    <w:family w:val="auto"/>
    <w:pitch w:val="default"/>
    <w:sig w:usb0="00000001" w:usb1="00000000" w:usb2="00000000" w:usb3="00000000" w:csb0="00000001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A76F1A">
    <w:pPr>
      <w:pStyle w:val="24"/>
      <w:tabs>
        <w:tab w:val="center" w:pos="4153"/>
        <w:tab w:val="right" w:pos="8306"/>
        <w:tab w:val="clear" w:pos="4680"/>
        <w:tab w:val="clear" w:pos="9360"/>
      </w:tabs>
      <w:jc w:val="center"/>
    </w:pPr>
  </w:p>
  <w:p w14:paraId="53665FD3">
    <w:pPr>
      <w:pStyle w:val="24"/>
      <w:tabs>
        <w:tab w:val="center" w:pos="4153"/>
        <w:tab w:val="right" w:pos="8306"/>
        <w:tab w:val="clear" w:pos="4680"/>
        <w:tab w:val="clear" w:pos="9360"/>
      </w:tabs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8387A1">
    <w:pPr>
      <w:pStyle w:val="25"/>
      <w:pBdr>
        <w:bottom w:val="none" w:color="auto" w:sz="0" w:space="0"/>
      </w:pBdr>
      <w:tabs>
        <w:tab w:val="center" w:pos="4153"/>
        <w:tab w:val="right" w:pos="8306"/>
        <w:tab w:val="clear" w:pos="4680"/>
        <w:tab w:val="clear" w:pos="9360"/>
      </w:tabs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310EB5"/>
    <w:multiLevelType w:val="singleLevel"/>
    <w:tmpl w:val="BF310EB5"/>
    <w:lvl w:ilvl="0" w:tentative="0">
      <w:start w:val="10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3"/>
  </w:num>
  <w:num w:numId="5">
    <w:abstractNumId w:val="1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7D06976"/>
    <w:rsid w:val="0D0F4803"/>
    <w:rsid w:val="14747BBE"/>
    <w:rsid w:val="2BB73A1D"/>
    <w:rsid w:val="46190E0C"/>
    <w:rsid w:val="46FDB3B3"/>
    <w:rsid w:val="487877F8"/>
    <w:rsid w:val="4EF559DF"/>
    <w:rsid w:val="53114AD1"/>
    <w:rsid w:val="579D5337"/>
    <w:rsid w:val="5BFD0AEF"/>
    <w:rsid w:val="5F7D590E"/>
    <w:rsid w:val="7BF2A742"/>
    <w:rsid w:val="F3DC494A"/>
    <w:rsid w:val="FDF3CA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1F4E79"/>
      <w:sz w:val="30"/>
      <w:szCs w:val="28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3F3F3F"/>
      <w:sz w:val="25"/>
      <w:szCs w:val="26"/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qFormat/>
    <w:uiPriority w:val="1"/>
  </w:style>
  <w:style w:type="table" w:default="1" w:styleId="3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7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5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6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Normal (Web)"/>
    <w:basedOn w:val="1"/>
    <w:semiHidden/>
    <w:unhideWhenUsed/>
    <w:qFormat/>
    <w:uiPriority w:val="99"/>
    <w:rPr>
      <w:sz w:val="24"/>
    </w:rPr>
  </w:style>
  <w:style w:type="paragraph" w:styleId="31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F4E79"/>
      <w:spacing w:val="5"/>
      <w:kern w:val="28"/>
      <w:sz w:val="44"/>
      <w:szCs w:val="52"/>
    </w:rPr>
  </w:style>
  <w:style w:type="table" w:styleId="34">
    <w:name w:val="Table Grid"/>
    <w:basedOn w:val="33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customStyle="1" w:styleId="136">
    <w:name w:val="Header Char"/>
    <w:basedOn w:val="133"/>
    <w:link w:val="25"/>
    <w:uiPriority w:val="99"/>
  </w:style>
  <w:style w:type="character" w:customStyle="1" w:styleId="137">
    <w:name w:val="Footer Char"/>
    <w:basedOn w:val="133"/>
    <w:link w:val="24"/>
    <w:qFormat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33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33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33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33"/>
    <w:link w:val="32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3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33"/>
    <w:link w:val="19"/>
    <w:qFormat/>
    <w:uiPriority w:val="99"/>
  </w:style>
  <w:style w:type="character" w:customStyle="1" w:styleId="146">
    <w:name w:val="Body Text 2 Char"/>
    <w:basedOn w:val="133"/>
    <w:link w:val="28"/>
    <w:qFormat/>
    <w:uiPriority w:val="99"/>
  </w:style>
  <w:style w:type="character" w:customStyle="1" w:styleId="147">
    <w:name w:val="Body Text 3 Char"/>
    <w:basedOn w:val="133"/>
    <w:link w:val="17"/>
    <w:qFormat/>
    <w:uiPriority w:val="99"/>
    <w:rPr>
      <w:sz w:val="16"/>
      <w:szCs w:val="16"/>
    </w:rPr>
  </w:style>
  <w:style w:type="character" w:customStyle="1" w:styleId="148">
    <w:name w:val="Macro Text Char"/>
    <w:basedOn w:val="133"/>
    <w:link w:val="2"/>
    <w:qFormat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3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33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33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33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33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33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33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33"/>
    <w:link w:val="157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11</Pages>
  <Words>1824</Words>
  <Characters>2283</Characters>
  <Lines>0</Lines>
  <Paragraphs>0</Paragraphs>
  <TotalTime>21</TotalTime>
  <ScaleCrop>false</ScaleCrop>
  <LinksUpToDate>false</LinksUpToDate>
  <CharactersWithSpaces>2390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2013-12-25T07:15:00Z</dcterms:created>
  <dc:creator>python-docx</dc:creator>
  <dc:description>generated by python-docx</dc:description>
  <cp:lastModifiedBy>WPS_1665891310</cp:lastModifiedBy>
  <dcterms:modified xsi:type="dcterms:W3CDTF">2026-03-23T07:17:18Z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eyJoZGlkIjoiNDJlOWVhYjNjYjk0MGRiMWQwNDA4YjNmMDE3ZGVmZWIiLCJ1c2VySWQiOiIxNDI4MjI5MTI0In0=</vt:lpwstr>
  </property>
  <property fmtid="{D5CDD505-2E9C-101B-9397-08002B2CF9AE}" pid="3" name="KSOProductBuildVer">
    <vt:lpwstr>2052-12.1.0.25225</vt:lpwstr>
  </property>
  <property fmtid="{D5CDD505-2E9C-101B-9397-08002B2CF9AE}" pid="4" name="ICV">
    <vt:lpwstr>A4E9CF9AE037D5BF95E3C069678FF5E3_43</vt:lpwstr>
  </property>
</Properties>
</file>