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0049">
      <w:pPr>
        <w:pStyle w:val="31"/>
      </w:pPr>
      <w:r>
        <w:t>作业标准答题卡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96"/>
        <w:gridCol w:w="1584"/>
        <w:gridCol w:w="3096"/>
      </w:tblGrid>
      <w:tr w14:paraId="5332D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36BD4C6">
            <w:pPr>
              <w:jc w:val="center"/>
            </w:pPr>
            <w:r>
              <w:t>姓名</w:t>
            </w:r>
          </w:p>
        </w:tc>
        <w:tc>
          <w:tcPr>
            <w:tcW w:w="3096" w:type="dxa"/>
          </w:tcPr>
          <w:p w14:paraId="6ACE8B4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程泽凯</w:t>
            </w:r>
          </w:p>
        </w:tc>
        <w:tc>
          <w:tcPr>
            <w:tcW w:w="1584" w:type="dxa"/>
          </w:tcPr>
          <w:p w14:paraId="10C199A8">
            <w:pPr>
              <w:jc w:val="center"/>
            </w:pPr>
            <w:r>
              <w:t>学号</w:t>
            </w:r>
          </w:p>
        </w:tc>
        <w:tc>
          <w:tcPr>
            <w:tcW w:w="3096" w:type="dxa"/>
          </w:tcPr>
          <w:p w14:paraId="6E306F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2023112621</w:t>
            </w:r>
          </w:p>
        </w:tc>
      </w:tr>
      <w:tr w14:paraId="0957C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09EB2D7">
            <w:pPr>
              <w:jc w:val="center"/>
            </w:pPr>
            <w:r>
              <w:t>班级</w:t>
            </w:r>
          </w:p>
        </w:tc>
        <w:tc>
          <w:tcPr>
            <w:tcW w:w="3096" w:type="dxa"/>
          </w:tcPr>
          <w:p w14:paraId="433FC6A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计算机2023-04班</w:t>
            </w:r>
          </w:p>
        </w:tc>
        <w:tc>
          <w:tcPr>
            <w:tcW w:w="1584" w:type="dxa"/>
          </w:tcPr>
          <w:p w14:paraId="00B51219">
            <w:pPr>
              <w:jc w:val="center"/>
            </w:pPr>
            <w:r>
              <w:t>作业</w:t>
            </w:r>
          </w:p>
        </w:tc>
        <w:tc>
          <w:tcPr>
            <w:tcW w:w="3096" w:type="dxa"/>
          </w:tcPr>
          <w:p w14:paraId="3D83EE3F">
            <w:pPr>
              <w:jc w:val="center"/>
            </w:pPr>
            <w:r>
              <w:t>作业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</w:tbl>
    <w:p w14:paraId="10B5D7E2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单项选择题（20题）</w:t>
      </w:r>
    </w:p>
    <w:p w14:paraId="2B27A23D">
      <w:r>
        <w:t>每题写一个选项字母 A/B/C/D，例如：1: A</w:t>
      </w:r>
    </w:p>
    <w:p w14:paraId="2A87CD49">
      <w:pPr>
        <w:rPr>
          <w:rFonts w:hint="eastAsia" w:eastAsia="宋体"/>
          <w:lang w:val="en-US" w:eastAsia="zh-CN"/>
        </w:rPr>
      </w:pPr>
      <w:r>
        <w:t xml:space="preserve">1: </w:t>
      </w:r>
      <w:r>
        <w:rPr>
          <w:rFonts w:hint="eastAsia" w:eastAsia="宋体"/>
          <w:lang w:val="en-US" w:eastAsia="zh-CN"/>
        </w:rPr>
        <w:t>A</w:t>
      </w:r>
    </w:p>
    <w:p w14:paraId="36DB3C2B">
      <w:pPr>
        <w:rPr>
          <w:rFonts w:hint="default" w:eastAsia="宋体"/>
          <w:lang w:val="en-US" w:eastAsia="zh-CN"/>
        </w:rPr>
      </w:pPr>
      <w:r>
        <w:t xml:space="preserve">2: </w:t>
      </w:r>
      <w:r>
        <w:rPr>
          <w:rFonts w:hint="eastAsia" w:eastAsia="宋体"/>
          <w:lang w:val="en-US" w:eastAsia="zh-CN"/>
        </w:rPr>
        <w:t>B</w:t>
      </w:r>
    </w:p>
    <w:p w14:paraId="139FFE83">
      <w:pPr>
        <w:rPr>
          <w:rFonts w:hint="eastAsia" w:eastAsia="宋体"/>
          <w:lang w:val="en-US" w:eastAsia="zh-CN"/>
        </w:rPr>
      </w:pPr>
      <w:r>
        <w:t xml:space="preserve">3: </w:t>
      </w:r>
      <w:r>
        <w:rPr>
          <w:rFonts w:hint="eastAsia" w:eastAsia="宋体"/>
          <w:lang w:val="en-US" w:eastAsia="zh-CN"/>
        </w:rPr>
        <w:t>B</w:t>
      </w:r>
    </w:p>
    <w:p w14:paraId="7BF3A69A">
      <w:pPr>
        <w:rPr>
          <w:rFonts w:hint="eastAsia" w:eastAsia="宋体"/>
          <w:lang w:val="en-US" w:eastAsia="zh-CN"/>
        </w:rPr>
      </w:pPr>
      <w:r>
        <w:t xml:space="preserve">4: </w:t>
      </w:r>
      <w:r>
        <w:rPr>
          <w:rFonts w:hint="eastAsia" w:eastAsia="宋体"/>
          <w:lang w:val="en-US" w:eastAsia="zh-CN"/>
        </w:rPr>
        <w:t>B</w:t>
      </w:r>
    </w:p>
    <w:p w14:paraId="4D4B58EE">
      <w:pPr>
        <w:rPr>
          <w:rFonts w:hint="eastAsia" w:eastAsia="宋体"/>
          <w:lang w:val="en-US" w:eastAsia="zh-CN"/>
        </w:rPr>
      </w:pPr>
      <w:r>
        <w:t xml:space="preserve">5: </w:t>
      </w:r>
      <w:r>
        <w:rPr>
          <w:rFonts w:hint="eastAsia" w:eastAsia="宋体"/>
          <w:lang w:val="en-US" w:eastAsia="zh-CN"/>
        </w:rPr>
        <w:t>A</w:t>
      </w:r>
    </w:p>
    <w:p w14:paraId="5E9F8D62">
      <w:pPr>
        <w:rPr>
          <w:rFonts w:hint="eastAsia" w:eastAsia="宋体"/>
          <w:lang w:val="en-US" w:eastAsia="zh-CN"/>
        </w:rPr>
      </w:pPr>
      <w:r>
        <w:t xml:space="preserve">6: </w:t>
      </w:r>
      <w:r>
        <w:rPr>
          <w:rFonts w:hint="eastAsia" w:eastAsia="宋体"/>
          <w:lang w:val="en-US" w:eastAsia="zh-CN"/>
        </w:rPr>
        <w:t>C</w:t>
      </w:r>
    </w:p>
    <w:p w14:paraId="29FFCA29">
      <w:pPr>
        <w:rPr>
          <w:rFonts w:hint="eastAsia" w:eastAsia="宋体"/>
          <w:lang w:val="en-US" w:eastAsia="zh-CN"/>
        </w:rPr>
      </w:pPr>
      <w:r>
        <w:t xml:space="preserve">7: </w:t>
      </w:r>
      <w:r>
        <w:rPr>
          <w:rFonts w:hint="eastAsia" w:eastAsia="宋体"/>
          <w:lang w:val="en-US" w:eastAsia="zh-CN"/>
        </w:rPr>
        <w:t>C</w:t>
      </w:r>
    </w:p>
    <w:p w14:paraId="54FB4D67">
      <w:pPr>
        <w:rPr>
          <w:rFonts w:hint="eastAsia" w:eastAsia="宋体"/>
          <w:lang w:val="en-US" w:eastAsia="zh-CN"/>
        </w:rPr>
      </w:pPr>
      <w:r>
        <w:t xml:space="preserve">8: </w:t>
      </w:r>
      <w:r>
        <w:rPr>
          <w:rFonts w:hint="eastAsia" w:eastAsia="宋体"/>
          <w:lang w:val="en-US" w:eastAsia="zh-CN"/>
        </w:rPr>
        <w:t>B</w:t>
      </w:r>
    </w:p>
    <w:p w14:paraId="47D53F56">
      <w:pPr>
        <w:rPr>
          <w:rFonts w:hint="default" w:eastAsia="宋体"/>
          <w:lang w:val="en-US" w:eastAsia="zh-CN"/>
        </w:rPr>
      </w:pPr>
      <w:r>
        <w:t>9:</w:t>
      </w:r>
      <w:r>
        <w:rPr>
          <w:rFonts w:hint="eastAsia" w:eastAsia="宋体"/>
          <w:lang w:val="en-US" w:eastAsia="zh-CN"/>
        </w:rPr>
        <w:t xml:space="preserve"> B</w:t>
      </w:r>
    </w:p>
    <w:p w14:paraId="5AEB94B1">
      <w:pPr>
        <w:rPr>
          <w:rFonts w:hint="eastAsia" w:eastAsia="宋体"/>
          <w:lang w:val="en-US" w:eastAsia="zh-CN"/>
        </w:rPr>
      </w:pPr>
      <w:r>
        <w:t xml:space="preserve">10: </w:t>
      </w:r>
      <w:r>
        <w:rPr>
          <w:rFonts w:hint="eastAsia" w:eastAsia="宋体"/>
          <w:lang w:val="en-US" w:eastAsia="zh-CN"/>
        </w:rPr>
        <w:t>B</w:t>
      </w:r>
    </w:p>
    <w:p w14:paraId="1AB42AF6">
      <w:pPr>
        <w:rPr>
          <w:rFonts w:hint="eastAsia" w:eastAsia="宋体"/>
          <w:lang w:val="en-US" w:eastAsia="zh-CN"/>
        </w:rPr>
      </w:pPr>
      <w:r>
        <w:t xml:space="preserve">11: </w:t>
      </w:r>
      <w:r>
        <w:rPr>
          <w:rFonts w:hint="eastAsia" w:eastAsia="宋体"/>
          <w:lang w:val="en-US" w:eastAsia="zh-CN"/>
        </w:rPr>
        <w:t>D</w:t>
      </w:r>
    </w:p>
    <w:p w14:paraId="0CE0DEFC">
      <w:pPr>
        <w:rPr>
          <w:rFonts w:hint="eastAsia" w:eastAsia="宋体"/>
          <w:lang w:val="en-US" w:eastAsia="zh-CN"/>
        </w:rPr>
      </w:pPr>
      <w:r>
        <w:t xml:space="preserve">12: </w:t>
      </w:r>
      <w:r>
        <w:rPr>
          <w:rFonts w:hint="eastAsia" w:eastAsia="宋体"/>
          <w:lang w:val="en-US" w:eastAsia="zh-CN"/>
        </w:rPr>
        <w:t>B</w:t>
      </w:r>
    </w:p>
    <w:p w14:paraId="29D72531">
      <w:pPr>
        <w:rPr>
          <w:rFonts w:hint="eastAsia" w:eastAsia="宋体"/>
          <w:lang w:val="en-US" w:eastAsia="zh-CN"/>
        </w:rPr>
      </w:pPr>
      <w:r>
        <w:t xml:space="preserve">13: </w:t>
      </w:r>
      <w:r>
        <w:rPr>
          <w:rFonts w:hint="eastAsia" w:eastAsia="宋体"/>
          <w:lang w:val="en-US" w:eastAsia="zh-CN"/>
        </w:rPr>
        <w:t>B</w:t>
      </w:r>
    </w:p>
    <w:p w14:paraId="3DBA92C1">
      <w:pPr>
        <w:rPr>
          <w:rFonts w:hint="eastAsia" w:eastAsia="宋体"/>
          <w:lang w:val="en-US" w:eastAsia="zh-CN"/>
        </w:rPr>
      </w:pPr>
      <w:r>
        <w:t xml:space="preserve">14: </w:t>
      </w:r>
      <w:r>
        <w:rPr>
          <w:rFonts w:hint="eastAsia" w:eastAsia="宋体"/>
          <w:lang w:val="en-US" w:eastAsia="zh-CN"/>
        </w:rPr>
        <w:t>B</w:t>
      </w:r>
    </w:p>
    <w:p w14:paraId="399CDAAB">
      <w:pPr>
        <w:rPr>
          <w:rFonts w:hint="eastAsia" w:eastAsia="宋体"/>
          <w:lang w:val="en-US" w:eastAsia="zh-CN"/>
        </w:rPr>
      </w:pPr>
      <w:r>
        <w:t xml:space="preserve">15: </w:t>
      </w:r>
      <w:r>
        <w:rPr>
          <w:rFonts w:hint="eastAsia" w:eastAsia="宋体"/>
          <w:lang w:val="en-US" w:eastAsia="zh-CN"/>
        </w:rPr>
        <w:t>A</w:t>
      </w:r>
    </w:p>
    <w:p w14:paraId="517DA2D1">
      <w:pPr>
        <w:rPr>
          <w:rFonts w:hint="eastAsia" w:eastAsia="宋体"/>
          <w:lang w:val="en-US" w:eastAsia="zh-CN"/>
        </w:rPr>
      </w:pPr>
      <w:r>
        <w:t xml:space="preserve">16: </w:t>
      </w:r>
      <w:r>
        <w:rPr>
          <w:rFonts w:hint="eastAsia" w:eastAsia="宋体"/>
          <w:lang w:val="en-US" w:eastAsia="zh-CN"/>
        </w:rPr>
        <w:t>B</w:t>
      </w:r>
    </w:p>
    <w:p w14:paraId="5BDC1DD1">
      <w:pPr>
        <w:rPr>
          <w:rFonts w:hint="eastAsia" w:eastAsia="宋体"/>
          <w:lang w:val="en-US" w:eastAsia="zh-CN"/>
        </w:rPr>
      </w:pPr>
      <w:r>
        <w:t xml:space="preserve">17: </w:t>
      </w:r>
      <w:r>
        <w:rPr>
          <w:rFonts w:hint="eastAsia" w:eastAsia="宋体"/>
          <w:lang w:val="en-US" w:eastAsia="zh-CN"/>
        </w:rPr>
        <w:t>C</w:t>
      </w:r>
    </w:p>
    <w:p w14:paraId="2670B85D">
      <w:pPr>
        <w:rPr>
          <w:rFonts w:hint="eastAsia" w:eastAsia="宋体"/>
          <w:lang w:val="en-US" w:eastAsia="zh-CN"/>
        </w:rPr>
      </w:pPr>
      <w:r>
        <w:t xml:space="preserve">18: </w:t>
      </w:r>
      <w:r>
        <w:rPr>
          <w:rFonts w:hint="eastAsia" w:eastAsia="宋体"/>
          <w:lang w:val="en-US" w:eastAsia="zh-CN"/>
        </w:rPr>
        <w:t>A</w:t>
      </w:r>
    </w:p>
    <w:p w14:paraId="4D5D8EAB">
      <w:pPr>
        <w:rPr>
          <w:rFonts w:hint="eastAsia" w:eastAsia="宋体"/>
          <w:lang w:val="en-US" w:eastAsia="zh-CN"/>
        </w:rPr>
      </w:pPr>
      <w:r>
        <w:t xml:space="preserve">19: </w:t>
      </w:r>
      <w:r>
        <w:rPr>
          <w:rFonts w:hint="eastAsia" w:eastAsia="宋体"/>
          <w:lang w:val="en-US" w:eastAsia="zh-CN"/>
        </w:rPr>
        <w:t>A</w:t>
      </w:r>
    </w:p>
    <w:p w14:paraId="19370985">
      <w:pPr>
        <w:rPr>
          <w:rFonts w:hint="eastAsia" w:eastAsia="宋体"/>
          <w:lang w:val="en-US" w:eastAsia="zh-CN"/>
        </w:rPr>
      </w:pPr>
      <w:r>
        <w:t xml:space="preserve">20: </w:t>
      </w:r>
      <w:r>
        <w:rPr>
          <w:rFonts w:hint="eastAsia" w:eastAsia="宋体"/>
          <w:lang w:val="en-US" w:eastAsia="zh-CN"/>
        </w:rPr>
        <w:t>A</w:t>
      </w:r>
    </w:p>
    <w:p w14:paraId="6F74ED29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填空题（10题）</w:t>
      </w:r>
    </w:p>
    <w:p w14:paraId="73BB206C">
      <w:pPr>
        <w:rPr>
          <w:lang w:eastAsia="zh-CN"/>
        </w:rPr>
      </w:pPr>
      <w:r>
        <w:rPr>
          <w:lang w:eastAsia="zh-CN"/>
        </w:rPr>
        <w:t>每题直接填写答案文本，例如：1: 密码学</w:t>
      </w:r>
    </w:p>
    <w:p w14:paraId="6CD7CA0A">
      <w:pPr>
        <w:rPr>
          <w:lang w:eastAsia="zh-CN"/>
        </w:rPr>
      </w:pPr>
      <w:r>
        <w:rPr>
          <w:lang w:eastAsia="zh-CN"/>
        </w:rPr>
        <w:t xml:space="preserve">1: </w:t>
      </w:r>
      <w:r>
        <w:t>机密性、完整性、可用性</w:t>
      </w:r>
    </w:p>
    <w:p w14:paraId="2D6ED6BF">
      <w:pPr>
        <w:rPr>
          <w:rFonts w:hint="default"/>
          <w:lang w:val="en-US"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val="en-US" w:eastAsia="zh-CN"/>
        </w:rPr>
        <w:t>操作</w:t>
      </w:r>
    </w:p>
    <w:p w14:paraId="103133A2">
      <w:pPr>
        <w:rPr>
          <w:rFonts w:hint="default"/>
          <w:lang w:val="en-US"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val="en-US" w:eastAsia="zh-CN"/>
        </w:rPr>
        <w:t>脆弱性</w:t>
      </w:r>
    </w:p>
    <w:p w14:paraId="4A9683F3">
      <w:pPr>
        <w:rPr>
          <w:rFonts w:hint="default"/>
          <w:lang w:val="en-US"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val="en-US" w:eastAsia="zh-CN"/>
        </w:rPr>
        <w:t>风险评估</w:t>
      </w:r>
    </w:p>
    <w:p w14:paraId="0B50E0AA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default"/>
          <w:lang w:val="en-US" w:eastAsia="zh-CN"/>
        </w:rPr>
        <w:t>规避风险</w:t>
      </w:r>
    </w:p>
    <w:p w14:paraId="38C79600">
      <w:pPr>
        <w:rPr>
          <w:rFonts w:hint="default"/>
          <w:lang w:val="en-US" w:eastAsia="zh-CN"/>
        </w:rPr>
      </w:pPr>
      <w:r>
        <w:rPr>
          <w:lang w:eastAsia="zh-CN"/>
        </w:rPr>
        <w:t xml:space="preserve">6: </w:t>
      </w:r>
      <w:r>
        <w:rPr>
          <w:rFonts w:hint="eastAsia"/>
          <w:lang w:val="en-US" w:eastAsia="zh-CN"/>
        </w:rPr>
        <w:t>单一预期损失</w:t>
      </w:r>
    </w:p>
    <w:p w14:paraId="5BD25956">
      <w:pPr>
        <w:rPr>
          <w:rFonts w:hint="default"/>
          <w:lang w:val="en-US" w:eastAsia="zh-CN"/>
        </w:rPr>
      </w:pPr>
      <w:r>
        <w:rPr>
          <w:lang w:eastAsia="zh-CN"/>
        </w:rPr>
        <w:t xml:space="preserve">7: </w:t>
      </w:r>
      <w:r>
        <w:rPr>
          <w:rFonts w:hint="eastAsia"/>
          <w:lang w:val="en-US" w:eastAsia="zh-CN"/>
        </w:rPr>
        <w:t>处置建议</w:t>
      </w:r>
    </w:p>
    <w:p w14:paraId="2FBA2231">
      <w:pPr>
        <w:rPr>
          <w:rFonts w:hint="default"/>
          <w:lang w:val="en-US" w:eastAsia="zh-CN"/>
        </w:rPr>
      </w:pPr>
      <w:r>
        <w:rPr>
          <w:lang w:eastAsia="zh-CN"/>
        </w:rPr>
        <w:t xml:space="preserve">8: </w:t>
      </w:r>
      <w:r>
        <w:rPr>
          <w:rFonts w:hint="eastAsia"/>
          <w:lang w:val="en-US" w:eastAsia="zh-CN"/>
        </w:rPr>
        <w:t>可伪性</w:t>
      </w:r>
    </w:p>
    <w:p w14:paraId="12BE8580">
      <w:pPr>
        <w:rPr>
          <w:rFonts w:hint="default"/>
          <w:lang w:val="en-US" w:eastAsia="zh-CN"/>
        </w:rPr>
      </w:pPr>
      <w:r>
        <w:rPr>
          <w:lang w:eastAsia="zh-CN"/>
        </w:rPr>
        <w:t xml:space="preserve">9: </w:t>
      </w:r>
      <w:r>
        <w:rPr>
          <w:rFonts w:hint="eastAsia"/>
          <w:lang w:val="en-US" w:eastAsia="zh-CN"/>
        </w:rPr>
        <w:t>防护</w:t>
      </w:r>
    </w:p>
    <w:p w14:paraId="32142EDB">
      <w:pPr>
        <w:rPr>
          <w:rFonts w:hint="default"/>
          <w:lang w:val="en-US" w:eastAsia="zh-CN"/>
        </w:rPr>
      </w:pPr>
      <w:r>
        <w:rPr>
          <w:lang w:eastAsia="zh-CN"/>
        </w:rPr>
        <w:t xml:space="preserve">10: </w:t>
      </w:r>
      <w:r>
        <w:rPr>
          <w:rFonts w:hint="eastAsia"/>
          <w:lang w:val="en-US" w:eastAsia="zh-CN"/>
        </w:rPr>
        <w:t>支撑性基础设施</w:t>
      </w:r>
    </w:p>
    <w:p w14:paraId="4B56599B">
      <w:pPr>
        <w:pStyle w:val="3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判断题（10题）</w:t>
      </w:r>
    </w:p>
    <w:p w14:paraId="4AB8652D">
      <w:pPr>
        <w:rPr>
          <w:rFonts w:hint="eastAsia" w:eastAsia="宋体"/>
          <w:lang w:eastAsia="zh-CN"/>
        </w:rPr>
      </w:pPr>
      <w:r>
        <w:rPr>
          <w:lang w:eastAsia="zh-CN"/>
        </w:rPr>
        <w:t>每题填写“</w:t>
      </w:r>
      <w:r>
        <w:rPr>
          <w:rFonts w:hint="eastAsia" w:ascii="宋体" w:hAnsi="宋体" w:eastAsia="宋体" w:cs="宋体"/>
          <w:lang w:eastAsia="zh-CN"/>
        </w:rPr>
        <w:t>正确/错误</w:t>
      </w:r>
      <w:r>
        <w:rPr>
          <w:lang w:eastAsia="zh-CN"/>
        </w:rPr>
        <w:t xml:space="preserve">”，例如：1: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1F0E4F55">
      <w:pPr>
        <w:rPr>
          <w:lang w:eastAsia="zh-CN"/>
        </w:rPr>
      </w:pPr>
      <w:r>
        <w:rPr>
          <w:lang w:eastAsia="zh-CN"/>
        </w:rPr>
        <w:t xml:space="preserve">1: </w:t>
      </w:r>
      <w:r>
        <w:rPr>
          <w:rFonts w:hint="eastAsia" w:ascii="宋体" w:hAnsi="宋体" w:eastAsia="宋体" w:cs="宋体"/>
          <w:lang w:eastAsia="zh-CN"/>
        </w:rPr>
        <w:t>错误</w:t>
      </w:r>
    </w:p>
    <w:p w14:paraId="03063D82">
      <w:pPr>
        <w:rPr>
          <w:lang w:eastAsia="zh-CN"/>
        </w:rPr>
      </w:pPr>
      <w:r>
        <w:rPr>
          <w:lang w:eastAsia="zh-CN"/>
        </w:rPr>
        <w:t xml:space="preserve">2: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21725E99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eastAsia" w:ascii="宋体" w:hAnsi="宋体" w:eastAsia="宋体" w:cs="宋体"/>
          <w:lang w:eastAsia="zh-CN"/>
        </w:rPr>
        <w:t>错误</w:t>
      </w:r>
    </w:p>
    <w:p w14:paraId="3BA3DA2B">
      <w:pPr>
        <w:rPr>
          <w:lang w:eastAsia="zh-CN"/>
        </w:rPr>
      </w:pPr>
      <w:r>
        <w:rPr>
          <w:lang w:eastAsia="zh-CN"/>
        </w:rPr>
        <w:t xml:space="preserve">4: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17F57226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3E28DD11">
      <w:pPr>
        <w:rPr>
          <w:lang w:eastAsia="zh-CN"/>
        </w:rPr>
      </w:pPr>
      <w:r>
        <w:rPr>
          <w:lang w:eastAsia="zh-CN"/>
        </w:rPr>
        <w:t xml:space="preserve">6: </w:t>
      </w:r>
      <w:r>
        <w:rPr>
          <w:rFonts w:hint="eastAsia" w:ascii="宋体" w:hAnsi="宋体" w:eastAsia="宋体" w:cs="宋体"/>
          <w:lang w:eastAsia="zh-CN"/>
        </w:rPr>
        <w:t>错误</w:t>
      </w:r>
    </w:p>
    <w:p w14:paraId="40B5B708">
      <w:pPr>
        <w:rPr>
          <w:lang w:eastAsia="zh-CN"/>
        </w:rPr>
      </w:pPr>
      <w:r>
        <w:rPr>
          <w:lang w:eastAsia="zh-CN"/>
        </w:rPr>
        <w:t xml:space="preserve">7: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163B904A">
      <w:pPr>
        <w:rPr>
          <w:lang w:eastAsia="zh-CN"/>
        </w:rPr>
      </w:pPr>
      <w:r>
        <w:rPr>
          <w:lang w:eastAsia="zh-CN"/>
        </w:rPr>
        <w:t xml:space="preserve">8: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061B2D52">
      <w:pPr>
        <w:rPr>
          <w:lang w:eastAsia="zh-CN"/>
        </w:rPr>
      </w:pPr>
      <w:r>
        <w:rPr>
          <w:lang w:eastAsia="zh-CN"/>
        </w:rPr>
        <w:t xml:space="preserve">9: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5BA64C5F">
      <w:pPr>
        <w:rPr>
          <w:lang w:eastAsia="zh-CN"/>
        </w:rPr>
      </w:pPr>
      <w:r>
        <w:rPr>
          <w:lang w:eastAsia="zh-CN"/>
        </w:rPr>
        <w:t xml:space="preserve">10: </w:t>
      </w:r>
      <w:r>
        <w:rPr>
          <w:rFonts w:hint="eastAsia" w:ascii="宋体" w:hAnsi="宋体" w:eastAsia="宋体" w:cs="宋体"/>
          <w:lang w:eastAsia="zh-CN"/>
        </w:rPr>
        <w:t>错误</w:t>
      </w:r>
    </w:p>
    <w:p w14:paraId="15CCD173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简答题（5题）</w:t>
      </w:r>
    </w:p>
    <w:p w14:paraId="74ED44EB">
      <w:pPr>
        <w:rPr>
          <w:lang w:eastAsia="zh-CN"/>
        </w:rPr>
      </w:pPr>
      <w:r>
        <w:rPr>
          <w:lang w:eastAsia="zh-CN"/>
        </w:rPr>
        <w:t>1:</w:t>
      </w:r>
    </w:p>
    <w:p w14:paraId="664A5DD5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机密性：确保信息不被非授权泄露，只有授权用户才能访问。例如：学生成绩系统只有学生本人和授权教师可以查看，其他学生无法获取。</w:t>
      </w:r>
    </w:p>
    <w:p w14:paraId="3ED5BDF7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完整性：确保信息在存储或传输过程中不被篡改、破坏或伪造。例如：教务系统中的选课记录不能被恶意修改，保证数据的真实准确。</w:t>
      </w:r>
    </w:p>
    <w:p w14:paraId="2A84B02A">
      <w:pPr>
        <w:rPr>
          <w:lang w:eastAsia="zh-CN"/>
        </w:rPr>
      </w:pPr>
      <w:r>
        <w:rPr>
          <w:rFonts w:hint="default"/>
          <w:lang w:val="en-US" w:eastAsia="zh-CN"/>
        </w:rPr>
        <w:t>可用性：确保信息和系统在需要时可正常使用，不因攻击或故障而中断。例如：校园网在选课高峰期能正常访问，保证学生顺利完成选课。</w:t>
      </w:r>
    </w:p>
    <w:p w14:paraId="2929A25D">
      <w:pPr>
        <w:rPr>
          <w:lang w:eastAsia="zh-CN"/>
        </w:rPr>
      </w:pPr>
      <w:r>
        <w:rPr>
          <w:lang w:eastAsia="zh-CN"/>
        </w:rPr>
        <w:t xml:space="preserve">2: </w:t>
      </w:r>
    </w:p>
    <w:p w14:paraId="20485E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区别：</w:t>
      </w:r>
    </w:p>
    <w:p w14:paraId="7D857DFC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风险评估是风险管理中的一个阶段，主要任务是识别、分析和评价风险，确定风险优先级。</w:t>
      </w:r>
    </w:p>
    <w:p w14:paraId="69CAB9F3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风险管理是持续的全过程，包括建立背景、风险评估、风险处理、批准监督、监控审查和沟通咨询，目标是将风险控制在可接受水平。</w:t>
      </w:r>
    </w:p>
    <w:p w14:paraId="146FFA6E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联系</w:t>
      </w:r>
      <w:r>
        <w:rPr>
          <w:rFonts w:hint="eastAsia"/>
          <w:lang w:val="en-US" w:eastAsia="zh-CN"/>
        </w:rPr>
        <w:t>：</w:t>
      </w:r>
    </w:p>
    <w:p w14:paraId="2A33A449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风险评估是风险管理的核心组成部分，为风险处理提供依据。</w:t>
      </w:r>
    </w:p>
    <w:p w14:paraId="22F2F6BE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风险管理包含风险评估，并基于评估结果进行决策和持续改进。</w:t>
      </w:r>
    </w:p>
    <w:p w14:paraId="6E8AB0F1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default"/>
          <w:lang w:val="en-US" w:eastAsia="zh-CN"/>
        </w:rPr>
        <w:t>定性风险分析</w:t>
      </w:r>
    </w:p>
    <w:p w14:paraId="2006FA48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优点：简单直观，易于实施，不需要量化数据，适合快速评估。</w:t>
      </w:r>
    </w:p>
    <w:p w14:paraId="426F9D0F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缺点：主观性强，难以进行成本效益分析，结果不够精确。</w:t>
      </w:r>
    </w:p>
    <w:p w14:paraId="3D64BD18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定量风险分析：</w:t>
      </w:r>
    </w:p>
    <w:p w14:paraId="64C7EBAC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优点：结果客观，可用货币量化，便于成本效益分析和投资决策。</w:t>
      </w:r>
    </w:p>
    <w:p w14:paraId="649E8EDB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缺点：需要详细数据，计算复杂耗时，可能过度简化复杂风险。</w:t>
      </w:r>
    </w:p>
    <w:p w14:paraId="7A01CC55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半定量风险分析：</w:t>
      </w:r>
    </w:p>
    <w:p w14:paraId="4BFFFD01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优点：结合定性和定量方法，使用数值评分但不严格量化，平衡了简便性和精确性。</w:t>
      </w:r>
    </w:p>
    <w:p w14:paraId="70D2A668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缺点：仍有一定主观性，数值转换可能引入误差。</w:t>
      </w:r>
    </w:p>
    <w:p w14:paraId="2809E9F9">
      <w:pPr>
        <w:rPr>
          <w:lang w:eastAsia="zh-CN"/>
        </w:rPr>
      </w:pPr>
      <w:r>
        <w:rPr>
          <w:lang w:eastAsia="zh-CN"/>
        </w:rPr>
        <w:t xml:space="preserve">4: </w:t>
      </w:r>
    </w:p>
    <w:p w14:paraId="5DBF4468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组成：PPDR模型包括策略（Policy）、防护（Protection）、检测（Detection）、响应（Response）四个部分，形成动态安全循环。</w:t>
      </w:r>
    </w:p>
    <w:p w14:paraId="79714749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数学表达式：安全的条件是 Pt &gt; Dt + Rt，其中Pt是防护时间，Dt是检测时间，Rt是响应时间。</w:t>
      </w:r>
    </w:p>
    <w:p w14:paraId="512763AF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启示：</w:t>
      </w:r>
    </w:p>
    <w:p w14:paraId="5FCC0B5E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安全是动态过程，需要持续检测和响应。</w:t>
      </w:r>
    </w:p>
    <w:p w14:paraId="21AF25F8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防护措施要能支撑足够长的时间，以便检测和响应攻击。</w:t>
      </w:r>
    </w:p>
    <w:p w14:paraId="6A918124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如果Pt &lt; Dt + Rt，系统存在暴露时间，需要加强防护或缩短检测响应时间。</w:t>
      </w:r>
    </w:p>
    <w:p w14:paraId="7E213C4D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default"/>
          <w:lang w:val="en-US" w:eastAsia="zh-CN"/>
        </w:rPr>
        <w:t>应急响应基本流程包括六个阶段：</w:t>
      </w:r>
    </w:p>
    <w:p w14:paraId="586A1F50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1. 准备阶段：制定应急预案，组建响应团队，准备工具和资源，进行培训和演练。</w:t>
      </w:r>
    </w:p>
    <w:p w14:paraId="1F7E4807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2. 检测阶段：监控系统，发现并确认安全事件，评估事件范围和影响。</w:t>
      </w:r>
    </w:p>
    <w:p w14:paraId="1E477CB3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3. 抑制阶段：采取措施遏制事件扩散，如隔离受感染系统，阻断攻击路径。</w:t>
      </w:r>
    </w:p>
    <w:p w14:paraId="62FD072D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4. 根除阶段：清除攻击根源，如删除恶意软件，修复漏洞，消除后门。</w:t>
      </w:r>
    </w:p>
    <w:p w14:paraId="2ED73582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5. 恢复阶段：恢复系统和服务到正常状态，验证系统安全性。</w:t>
      </w:r>
    </w:p>
    <w:p w14:paraId="192A4BFB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6. 跟进阶段：总结经验教训，完善安全措施，更新应急预案，防止事件再次发生。</w:t>
      </w:r>
    </w:p>
    <w:p w14:paraId="3E507E02">
      <w:pPr>
        <w:rPr>
          <w:lang w:eastAsia="zh-CN"/>
        </w:rPr>
      </w:pPr>
    </w:p>
    <w:p w14:paraId="30FEDD0F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思考案例题（3题）</w:t>
      </w:r>
    </w:p>
    <w:p w14:paraId="6E1023E7">
      <w:pPr>
        <w:rPr>
          <w:rFonts w:hint="eastAsia"/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（1）从资产、威胁、脆弱性、影响四个角度分析该事件的主要风险。</w:t>
      </w:r>
    </w:p>
    <w:p w14:paraId="2B0F4EA3">
      <w:pPr>
        <w:rPr>
          <w:rFonts w:hint="eastAsia"/>
          <w:lang w:eastAsia="zh-CN"/>
        </w:rPr>
      </w:pPr>
    </w:p>
    <w:p w14:paraId="5B2522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0CC0A5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资产：学生个人信息（姓名、身份证号、宿舍号、专业信息）、学校声誉。</w:t>
      </w:r>
    </w:p>
    <w:p w14:paraId="37F0B6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威胁：内部人员非授权访问、账号共享导致的数据泄露、社会工程攻击。</w:t>
      </w:r>
    </w:p>
    <w:p w14:paraId="7377E3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脆弱性：数据权限长期未梳理、多部门共享同一导出账号、访问控制不足、安全意识薄弱。</w:t>
      </w:r>
    </w:p>
    <w:p w14:paraId="0BCC05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影响：学生隐私泄露、学校声誉受损、可能面临法律风险、学生信任度下降。</w:t>
      </w:r>
    </w:p>
    <w:p w14:paraId="0FE6AC01">
      <w:pPr>
        <w:rPr>
          <w:rFonts w:hint="eastAsia"/>
          <w:lang w:eastAsia="zh-CN"/>
        </w:rPr>
      </w:pPr>
    </w:p>
    <w:p w14:paraId="35A556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（2）选择至少三项风险处置措施，并说明分别属于减低、转移、规避或接受中的哪一类。</w:t>
      </w:r>
    </w:p>
    <w:p w14:paraId="771D0C7F">
      <w:pPr>
        <w:rPr>
          <w:rFonts w:hint="eastAsia"/>
          <w:lang w:eastAsia="zh-CN"/>
        </w:rPr>
      </w:pPr>
    </w:p>
    <w:p w14:paraId="50D251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C97B7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减低风险：实施最小权限原则，为每个部门分配独立账号，定期审核权限，加强访问控制。</w:t>
      </w:r>
    </w:p>
    <w:p w14:paraId="546546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减低风险：加强员工安全意识培训，制定数据使用规范，监控数据导出行为。</w:t>
      </w:r>
    </w:p>
    <w:p w14:paraId="614110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转移风险：购买网络安全保险，将部分风险转移给保险公司。</w:t>
      </w:r>
    </w:p>
    <w:p w14:paraId="0E38E7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规避风险：对敏感数据实施脱敏处理，非必要情况下不提供完整个人信息。</w:t>
      </w:r>
    </w:p>
    <w:p w14:paraId="77544123">
      <w:pPr>
        <w:rPr>
          <w:rFonts w:hint="eastAsia"/>
          <w:lang w:eastAsia="zh-CN"/>
        </w:rPr>
      </w:pPr>
    </w:p>
    <w:p w14:paraId="5874E3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（3）若你负责后续整改，如何通过沟通咨询、监控审查和批准监督形成闭环？</w:t>
      </w:r>
    </w:p>
    <w:p w14:paraId="38B0B098">
      <w:pPr>
        <w:rPr>
          <w:rFonts w:hint="eastAsia"/>
          <w:lang w:eastAsia="zh-CN"/>
        </w:rPr>
      </w:pPr>
    </w:p>
    <w:p w14:paraId="1991A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2E6D44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沟通咨询：与各部门沟通数据使用需求，明确安全责任，开展安全意识培训，建立数据安全沟通机制。</w:t>
      </w:r>
    </w:p>
    <w:p w14:paraId="25497E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监控审查：定期监控数据访问日志，审查权限分配合理性，检测异常访问行为，评估安全措施有效性。</w:t>
      </w:r>
    </w:p>
    <w:p w14:paraId="10C74876">
      <w:pPr>
        <w:rPr>
          <w:lang w:eastAsia="zh-CN"/>
        </w:rPr>
      </w:pPr>
      <w:r>
        <w:rPr>
          <w:rFonts w:hint="eastAsia"/>
          <w:lang w:eastAsia="zh-CN"/>
        </w:rPr>
        <w:t>批准监督：由管理层批准安全策略和整改方案，监督整改措施落实情况，定期汇报整改效果，确保持续改进。</w:t>
      </w:r>
    </w:p>
    <w:p w14:paraId="1D6DBB1E">
      <w:pPr>
        <w:rPr>
          <w:rFonts w:hint="eastAsia"/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（1）说明推进国产化替代的安全意义。</w:t>
      </w:r>
    </w:p>
    <w:p w14:paraId="6472FF0E">
      <w:pPr>
        <w:rPr>
          <w:rFonts w:hint="eastAsia"/>
          <w:lang w:eastAsia="zh-CN"/>
        </w:rPr>
      </w:pPr>
    </w:p>
    <w:p w14:paraId="575961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13BF3C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国产化替代的安全意义在于：</w:t>
      </w:r>
    </w:p>
    <w:p w14:paraId="6CEBB4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自主可控：减少对国外技术的依赖，避免因技术封锁或后门导致的安全风险。</w:t>
      </w:r>
    </w:p>
    <w:p w14:paraId="2D9E4C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供应链安全：降低供应链中断风险，确保关键软硬件产品的持续供应。</w:t>
      </w:r>
    </w:p>
    <w:p w14:paraId="5E2E34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数据安全：国外产品可能存在数据收集或后门，国产化有助于保护敏感数据。</w:t>
      </w:r>
    </w:p>
    <w:p w14:paraId="2602CC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国家安全：关键基础设施使用国外产品可能威胁国家安全，国产化是维护国家安全的重要举措。</w:t>
      </w:r>
    </w:p>
    <w:p w14:paraId="34D3C881">
      <w:pPr>
        <w:rPr>
          <w:rFonts w:hint="eastAsia"/>
          <w:lang w:eastAsia="zh-CN"/>
        </w:rPr>
      </w:pPr>
    </w:p>
    <w:p w14:paraId="619876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（2）从系统生命周期角度，列出规划、设计、实施、运维阶段各应关注的风险管理工作。</w:t>
      </w:r>
    </w:p>
    <w:p w14:paraId="4CF35BA7">
      <w:pPr>
        <w:rPr>
          <w:rFonts w:hint="eastAsia"/>
          <w:lang w:eastAsia="zh-CN"/>
        </w:rPr>
      </w:pPr>
    </w:p>
    <w:p w14:paraId="3F1F48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ADC91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规划阶段：明确安全需求和目标，进行风险评估，制定国产化替代策略和路线图。</w:t>
      </w:r>
    </w:p>
    <w:p w14:paraId="793035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设计阶段：选择安全可靠的国产产品，设计安全架构，制定安全方案和应急预案。</w:t>
      </w:r>
    </w:p>
    <w:p w14:paraId="37DCDD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实施阶段：进行安全测试和验证，确保兼容性和性能，开展人员培训，制定迁移方案。</w:t>
      </w:r>
    </w:p>
    <w:p w14:paraId="5D2B5A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运维阶段：持续监控系统安全，定期风险评估，及时更新和修补，优化安全措施。</w:t>
      </w:r>
    </w:p>
    <w:p w14:paraId="685999A5">
      <w:pPr>
        <w:rPr>
          <w:rFonts w:hint="eastAsia"/>
          <w:lang w:eastAsia="zh-CN"/>
        </w:rPr>
      </w:pPr>
    </w:p>
    <w:p w14:paraId="5AE29A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（3）如何在"自主可控"与"业务稳定"之间实现适度安全和平衡？</w:t>
      </w:r>
    </w:p>
    <w:p w14:paraId="553810D0">
      <w:pPr>
        <w:rPr>
          <w:rFonts w:hint="eastAsia"/>
          <w:lang w:eastAsia="zh-CN"/>
        </w:rPr>
      </w:pPr>
    </w:p>
    <w:p w14:paraId="7E705F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5656E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分阶段实施：优先替代非核心系统，积累经验后再逐步替代核心系统。</w:t>
      </w:r>
    </w:p>
    <w:p w14:paraId="6E15F0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充分测试：在测试环境中验证国产产品的兼容性、性能和稳定性，确保业务连续性。</w:t>
      </w:r>
    </w:p>
    <w:p w14:paraId="6CB4C0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制定应急预案：准备回退方案和应急措施，确保在出现问题时能快速恢复业务。</w:t>
      </w:r>
    </w:p>
    <w:p w14:paraId="39697A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人员培训：提高技术人员对国产产品的熟悉度，降低操作风险。</w:t>
      </w:r>
    </w:p>
    <w:p w14:paraId="7FF5599B">
      <w:pPr>
        <w:rPr>
          <w:lang w:eastAsia="zh-CN"/>
        </w:rPr>
      </w:pPr>
      <w:r>
        <w:rPr>
          <w:rFonts w:hint="eastAsia"/>
          <w:lang w:eastAsia="zh-CN"/>
        </w:rPr>
        <w:t>持续优化：根据使用情况不断优化系统配置和安全措施，实现自主可控与业务稳定的平衡。</w:t>
      </w:r>
    </w:p>
    <w:p w14:paraId="14085CAA">
      <w:pPr>
        <w:rPr>
          <w:rFonts w:hint="eastAsia"/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（1）判断该事件可能涉及哪些威胁方式和脆弱性。</w:t>
      </w:r>
    </w:p>
    <w:p w14:paraId="5B19F301">
      <w:pPr>
        <w:rPr>
          <w:rFonts w:hint="eastAsia"/>
          <w:lang w:eastAsia="zh-CN"/>
        </w:rPr>
      </w:pPr>
    </w:p>
    <w:p w14:paraId="1BF75C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60234C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威胁方式：勒索软件攻击、远程桌面暴力破解、恶意软件传播。</w:t>
      </w:r>
    </w:p>
    <w:p w14:paraId="2B1D7F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脆弱性：服务器开放3389远程桌面端口、管理员口令多年未改、备份长期挂载在同一服务器上、缺乏网络隔离、安全意识薄弱。</w:t>
      </w:r>
    </w:p>
    <w:p w14:paraId="446726C7">
      <w:pPr>
        <w:rPr>
          <w:rFonts w:hint="eastAsia"/>
          <w:lang w:eastAsia="zh-CN"/>
        </w:rPr>
      </w:pPr>
    </w:p>
    <w:p w14:paraId="001B84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（2）按照应急响应流程，给出检测、抑制、根除、恢复、跟进阶段的关键动作。</w:t>
      </w:r>
    </w:p>
    <w:p w14:paraId="62E9375D">
      <w:pPr>
        <w:rPr>
          <w:rFonts w:hint="eastAsia"/>
          <w:lang w:eastAsia="zh-CN"/>
        </w:rPr>
      </w:pPr>
    </w:p>
    <w:p w14:paraId="06F3B2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19C239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检测阶段：确认勒索病毒感染范围，识别受感染系统，分析攻击入口和传播途径。</w:t>
      </w:r>
    </w:p>
    <w:p w14:paraId="3CA631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抑制阶段：立即隔离受感染服务器，断开网络连接，防止病毒进一步传播。</w:t>
      </w:r>
    </w:p>
    <w:p w14:paraId="24A0EE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根除阶段：清除勒索病毒，修复漏洞，重置所有管理员口令，关闭不必要的端口。</w:t>
      </w:r>
    </w:p>
    <w:p w14:paraId="63D820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恢复阶段：从离线备份恢复数据，验证系统完整性，逐步恢复业务服务。</w:t>
      </w:r>
    </w:p>
    <w:p w14:paraId="27A007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跟进阶段：总结事件原因，完善安全策略，加强监控和备份，开展安全培训。</w:t>
      </w:r>
    </w:p>
    <w:p w14:paraId="652D3B34">
      <w:pPr>
        <w:rPr>
          <w:rFonts w:hint="eastAsia"/>
          <w:lang w:eastAsia="zh-CN"/>
        </w:rPr>
      </w:pPr>
    </w:p>
    <w:p w14:paraId="267708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（3）从风险管理角度，提出防止类似事件再次发生的长期措施。</w:t>
      </w:r>
    </w:p>
    <w:p w14:paraId="0500A852">
      <w:pPr>
        <w:rPr>
          <w:rFonts w:hint="eastAsia"/>
          <w:lang w:eastAsia="zh-CN"/>
        </w:rPr>
      </w:pPr>
    </w:p>
    <w:p w14:paraId="3949FB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F0857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技术措施：实施网络隔离，限制远程访问，部署入侵检测系统，定期更新补丁。</w:t>
      </w:r>
    </w:p>
    <w:p w14:paraId="621D79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管理措施：制定严格的口令策略，定期更换口令，实施最小权限原则，加强安全意识培训。</w:t>
      </w:r>
    </w:p>
    <w:p w14:paraId="57B378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备份策略：实施3-2-1备份原则（3份备份，2种介质，1份离线），定期测试备份恢复。</w:t>
      </w:r>
    </w:p>
    <w:p w14:paraId="742346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监控响应：建立7x24小时安全监控，制定应急预案，定期演练，提高响应能力。</w:t>
      </w:r>
    </w:p>
    <w:p w14:paraId="59AD815E">
      <w:pPr>
        <w:rPr>
          <w:lang w:eastAsia="zh-CN"/>
        </w:rPr>
      </w:pPr>
      <w:r>
        <w:rPr>
          <w:rFonts w:hint="eastAsia"/>
          <w:lang w:eastAsia="zh-CN"/>
        </w:rPr>
        <w:t>风险评估：定期进行风险评估，识别新的威胁和脆弱性，持续改进安全措施。</w:t>
      </w:r>
    </w:p>
    <w:p w14:paraId="7048D335">
      <w:pPr>
        <w:rPr>
          <w:b/>
          <w:bCs/>
          <w:color w:val="EE0000"/>
          <w:lang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6043"/>
    <w:rsid w:val="0029639D"/>
    <w:rsid w:val="00326F90"/>
    <w:rsid w:val="004C4452"/>
    <w:rsid w:val="006475AD"/>
    <w:rsid w:val="00894D90"/>
    <w:rsid w:val="00AA1D8D"/>
    <w:rsid w:val="00B47730"/>
    <w:rsid w:val="00B562A9"/>
    <w:rsid w:val="00CB0664"/>
    <w:rsid w:val="00F85002"/>
    <w:rsid w:val="00FC693F"/>
    <w:rsid w:val="00FD15C1"/>
    <w:rsid w:val="25B30BE9"/>
    <w:rsid w:val="4F8E40BC"/>
    <w:rsid w:val="5AF61E1E"/>
    <w:rsid w:val="726241D7"/>
    <w:rsid w:val="7911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120"/>
      <w:outlineLvl w:val="0"/>
    </w:pPr>
    <w:rPr>
      <w:rFonts w:asciiTheme="majorHAnsi" w:hAnsiTheme="majorHAnsi" w:eastAsiaTheme="majorEastAsia" w:cstheme="majorBidi"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20" w:after="80"/>
      <w:outlineLvl w:val="2"/>
    </w:pPr>
    <w:rPr>
      <w:rFonts w:asciiTheme="majorHAnsi" w:hAnsiTheme="majorHAnsi" w:eastAsiaTheme="majorEastAsia" w:cstheme="majorBidi"/>
      <w:bCs/>
      <w:color w:val="434343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2815</Words>
  <Characters>2965</Characters>
  <Lines>60</Lines>
  <Paragraphs>86</Paragraphs>
  <TotalTime>5</TotalTime>
  <ScaleCrop>false</ScaleCrop>
  <LinksUpToDate>false</LinksUpToDate>
  <CharactersWithSpaces>3043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WPS_1665891310</cp:lastModifiedBy>
  <dcterms:modified xsi:type="dcterms:W3CDTF">2026-06-10T13:43:26Z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eyJoZGlkIjoiMGNiYTZmMzU0NjhlYWVlNDczNTZjN2I2Yzk3M2EzNmYiLCJ1c2VySWQiOiIxNDI4MjI5MTI0In0=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B1E7E5EFF9444274B2D2CB0C414EB136_12</vt:lpwstr>
  </property>
</Properties>
</file>