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236"/>
      </w:tblGrid>
      <w:tr w14:paraId="2FBD32C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236" w:type="dxa"/>
            <w:tcBorders>
              <w:right w:val="single" w:color="auto" w:sz="18" w:space="0"/>
            </w:tcBorders>
            <w:vAlign w:val="center"/>
          </w:tcPr>
          <w:p w14:paraId="7F18E20E">
            <w:pPr>
              <w:jc w:val="center"/>
              <w:rPr>
                <w:rFonts w:ascii="黑体" w:hAnsi="黑体" w:eastAsia="黑体"/>
                <w:b/>
                <w:bCs/>
                <w:sz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</w:rPr>
              <w:t>分数</w:t>
            </w:r>
          </w:p>
        </w:tc>
        <w:tc>
          <w:tcPr>
            <w:tcW w:w="1236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</w:tcBorders>
            <w:vAlign w:val="center"/>
          </w:tcPr>
          <w:p w14:paraId="5AB6AF85">
            <w:pPr>
              <w:jc w:val="center"/>
              <w:rPr>
                <w:rFonts w:ascii="微软雅黑" w:hAnsi="微软雅黑" w:eastAsia="微软雅黑"/>
                <w:bCs/>
                <w:sz w:val="32"/>
              </w:rPr>
            </w:pPr>
          </w:p>
        </w:tc>
      </w:tr>
    </w:tbl>
    <w:p w14:paraId="4828AF83">
      <w:pPr>
        <w:spacing w:before="312" w:beforeLines="100"/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1583055</wp:posOffset>
            </wp:positionH>
            <wp:positionV relativeFrom="page">
              <wp:posOffset>1666875</wp:posOffset>
            </wp:positionV>
            <wp:extent cx="2219325" cy="219075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1" t="7346" r="7470" b="746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190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sz w:val="56"/>
          <w:szCs w:val="44"/>
        </w:rPr>
        <w:t>形势与政策课程大作业</w:t>
      </w:r>
    </w:p>
    <w:p w14:paraId="02ED46B6">
      <w:pPr>
        <w:spacing w:line="560" w:lineRule="atLeast"/>
        <w:rPr>
          <w:rFonts w:ascii="宋体"/>
          <w:b/>
          <w:bCs/>
        </w:rPr>
      </w:pPr>
      <w:bookmarkStart w:id="0" w:name="_GoBack"/>
      <w:bookmarkEnd w:id="0"/>
    </w:p>
    <w:p w14:paraId="2C4CF03C">
      <w:pPr>
        <w:spacing w:line="560" w:lineRule="atLeast"/>
        <w:ind w:left="240" w:leftChars="100" w:firstLine="1446" w:firstLineChars="600"/>
        <w:rPr>
          <w:rFonts w:ascii="宋体"/>
          <w:b/>
          <w:bCs/>
        </w:rPr>
      </w:pPr>
    </w:p>
    <w:tbl>
      <w:tblPr>
        <w:tblStyle w:val="7"/>
        <w:tblpPr w:leftFromText="180" w:rightFromText="180" w:vertAnchor="text" w:horzAnchor="margin" w:tblpXSpec="center" w:tblpY="29"/>
        <w:tblW w:w="72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5415"/>
      </w:tblGrid>
      <w:tr w14:paraId="75B6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FD633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hint="eastAsia" w:ascii="宋体"/>
                <w:b/>
                <w:bCs/>
                <w:sz w:val="32"/>
              </w:rPr>
              <w:t>论文题目：</w:t>
            </w:r>
          </w:p>
        </w:tc>
        <w:tc>
          <w:tcPr>
            <w:tcW w:w="541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/>
                <w:b/>
                <w:bCs/>
                <w:sz w:val="28"/>
              </w:rPr>
            </w:pPr>
            <w:r>
              <w:rPr>
                <w:rFonts w:ascii="宋体" w:hAnsi="宋体" w:eastAsia="宋体" w:cs="宋体"/>
                <w:b w:val="1"/>
                <w:bCs w:val="1"/>
                <w:sz w:val="32"/>
                <w:szCs w:val="32"/>
              </w:rPr>
              <w:t xml:space="preserve">把青春写进创新链</w:t>
            </w:r>
          </w:p>
        </w:tc>
      </w:tr>
      <w:tr w14:paraId="52B57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7C2C8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hint="eastAsia" w:ascii="宋体"/>
                <w:b/>
                <w:bCs/>
                <w:sz w:val="32"/>
              </w:rPr>
              <w:t>任课教师：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5292234E">
            <w:pPr>
              <w:jc w:val="center"/>
              <w:rPr>
                <w:rFonts w:hint="default" w:ascii="宋体" w:eastAsia="宋体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32"/>
                <w:lang w:val="en-US" w:eastAsia="zh-CN"/>
              </w:rPr>
              <w:t>白立群</w:t>
            </w:r>
          </w:p>
        </w:tc>
      </w:tr>
      <w:tr w14:paraId="21B98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A5929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hint="eastAsia" w:ascii="宋体"/>
                <w:b/>
                <w:bCs/>
                <w:sz w:val="32"/>
              </w:rPr>
              <w:t xml:space="preserve">学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>
              <w:rPr>
                <w:rFonts w:hint="eastAsia" w:ascii="宋体"/>
                <w:b/>
                <w:bCs/>
                <w:sz w:val="32"/>
              </w:rPr>
              <w:t>院：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487F31B9">
            <w:pPr>
              <w:jc w:val="center"/>
              <w:rPr>
                <w:rFonts w:hint="default" w:ascii="宋体" w:eastAsia="宋体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32"/>
                <w:lang w:val="en-US" w:eastAsia="zh-CN"/>
              </w:rPr>
              <w:t>计算机与人工智能学院</w:t>
            </w:r>
          </w:p>
        </w:tc>
      </w:tr>
      <w:tr w14:paraId="0032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AECCF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hint="eastAsia" w:ascii="宋体"/>
                <w:b/>
                <w:bCs/>
                <w:sz w:val="32"/>
              </w:rPr>
              <w:t xml:space="preserve">姓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>
              <w:rPr>
                <w:rFonts w:hint="eastAsia" w:ascii="宋体"/>
                <w:b/>
                <w:bCs/>
                <w:sz w:val="32"/>
              </w:rPr>
              <w:t>名：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3FB6FFD0">
            <w:pPr>
              <w:jc w:val="center"/>
              <w:rPr>
                <w:rFonts w:hint="default" w:ascii="宋体" w:eastAsia="宋体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32"/>
                <w:lang w:val="en-US" w:eastAsia="zh-CN"/>
              </w:rPr>
              <w:t>程泽凯</w:t>
            </w:r>
          </w:p>
        </w:tc>
      </w:tr>
      <w:tr w14:paraId="60E0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A5489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hint="eastAsia" w:ascii="宋体"/>
                <w:b/>
                <w:bCs/>
                <w:sz w:val="32"/>
              </w:rPr>
              <w:t xml:space="preserve">学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>
              <w:rPr>
                <w:rFonts w:hint="eastAsia" w:ascii="宋体"/>
                <w:b/>
                <w:bCs/>
                <w:sz w:val="32"/>
              </w:rPr>
              <w:t>号：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524B7902">
            <w:pPr>
              <w:jc w:val="center"/>
              <w:rPr>
                <w:rFonts w:hint="default" w:ascii="宋体" w:eastAsia="宋体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32"/>
                <w:lang w:val="en-US" w:eastAsia="zh-CN"/>
              </w:rPr>
              <w:t>2023112621</w:t>
            </w:r>
          </w:p>
        </w:tc>
      </w:tr>
      <w:tr w14:paraId="259F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03D23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hint="eastAsia" w:ascii="宋体"/>
                <w:b/>
                <w:bCs/>
                <w:sz w:val="32"/>
              </w:rPr>
              <w:t xml:space="preserve">学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>
              <w:rPr>
                <w:rFonts w:hint="eastAsia" w:ascii="宋体"/>
                <w:b/>
                <w:bCs/>
                <w:sz w:val="32"/>
              </w:rPr>
              <w:t>期：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6A8F9C0A">
            <w:pPr>
              <w:jc w:val="center"/>
              <w:rPr>
                <w:rFonts w:ascii="宋体"/>
                <w:b/>
                <w:bCs/>
                <w:sz w:val="32"/>
              </w:rPr>
            </w:pPr>
            <w:r>
              <w:rPr>
                <w:rFonts w:hint="eastAsia" w:ascii="宋体"/>
                <w:b/>
                <w:bCs/>
                <w:sz w:val="32"/>
              </w:rPr>
              <w:t>2</w:t>
            </w:r>
            <w:r>
              <w:rPr>
                <w:rFonts w:ascii="宋体"/>
                <w:b/>
                <w:bCs/>
                <w:sz w:val="32"/>
              </w:rPr>
              <w:t>026-2027</w:t>
            </w:r>
            <w:r>
              <w:rPr>
                <w:rFonts w:hint="eastAsia" w:ascii="宋体"/>
                <w:b/>
                <w:bCs/>
                <w:sz w:val="32"/>
              </w:rPr>
              <w:t>学年度第</w:t>
            </w:r>
            <w:r>
              <w:rPr>
                <w:rFonts w:ascii="宋体"/>
                <w:b/>
                <w:bCs/>
                <w:sz w:val="32"/>
              </w:rPr>
              <w:t>1</w:t>
            </w:r>
            <w:r>
              <w:rPr>
                <w:rFonts w:hint="eastAsia" w:ascii="宋体"/>
                <w:b/>
                <w:bCs/>
                <w:sz w:val="32"/>
              </w:rPr>
              <w:t>学期</w:t>
            </w:r>
          </w:p>
        </w:tc>
      </w:tr>
    </w:tbl>
    <w:p w14:paraId="37446BAB">
      <w:pPr>
        <w:spacing w:line="560" w:lineRule="atLeast"/>
        <w:ind w:left="240" w:leftChars="100" w:firstLine="1446" w:firstLineChars="600"/>
        <w:rPr>
          <w:rFonts w:ascii="宋体"/>
          <w:b/>
          <w:bCs/>
        </w:rPr>
      </w:pPr>
    </w:p>
    <w:p w14:paraId="02471666">
      <w:pPr>
        <w:spacing w:line="560" w:lineRule="atLeast"/>
        <w:rPr>
          <w:rFonts w:ascii="宋体"/>
          <w:b/>
          <w:bCs/>
        </w:rPr>
      </w:pPr>
    </w:p>
    <w:p w14:paraId="7FB28BFC">
      <w:pPr>
        <w:spacing w:line="560" w:lineRule="atLeast"/>
        <w:ind w:left="238" w:hanging="238" w:hangingChars="74"/>
        <w:jc w:val="center"/>
        <w:rPr>
          <w:rFonts w:ascii="宋体"/>
          <w:b/>
          <w:bCs/>
          <w:sz w:val="32"/>
        </w:rPr>
      </w:pPr>
      <w:r>
        <w:rPr>
          <w:rFonts w:hint="eastAsia" w:ascii="宋体"/>
          <w:b/>
          <w:bCs/>
          <w:sz w:val="32"/>
          <w:lang w:val="en-US" w:eastAsia="zh-CN"/>
        </w:rPr>
        <w:t>2026</w:t>
      </w:r>
      <w:r>
        <w:rPr>
          <w:rFonts w:hint="eastAsia" w:ascii="宋体"/>
          <w:b/>
          <w:bCs/>
          <w:sz w:val="32"/>
        </w:rPr>
        <w:t>年</w:t>
      </w:r>
      <w:r>
        <w:rPr>
          <w:rFonts w:hint="eastAsia" w:ascii="宋体"/>
          <w:b/>
          <w:bCs/>
          <w:sz w:val="32"/>
          <w:lang w:val="en-US" w:eastAsia="zh-CN"/>
        </w:rPr>
        <w:t>10</w:t>
      </w:r>
      <w:r>
        <w:rPr>
          <w:rFonts w:hint="eastAsia" w:ascii="宋体"/>
          <w:b/>
          <w:bCs/>
          <w:sz w:val="32"/>
        </w:rPr>
        <w:t>月</w:t>
      </w:r>
      <w:r>
        <w:rPr>
          <w:rFonts w:hint="eastAsia" w:ascii="宋体"/>
          <w:b/>
          <w:bCs/>
          <w:sz w:val="32"/>
          <w:lang w:val="en-US" w:eastAsia="zh-CN"/>
        </w:rPr>
        <w:t>17</w:t>
      </w:r>
      <w:r>
        <w:rPr>
          <w:rFonts w:hint="eastAsia" w:ascii="宋体"/>
          <w:b/>
          <w:bCs/>
          <w:sz w:val="32"/>
        </w:rPr>
        <w:t>日</w:t>
      </w:r>
    </w:p>
    <w:p w14:paraId="60A4B49D">
      <w:pPr>
        <w:rPr>
          <w:rFonts w:ascii="宋体"/>
          <w:b/>
          <w:bCs/>
          <w:sz w:val="32"/>
        </w:rPr>
        <w:sectPr>
          <w:footerReference r:id="rId3" w:type="default"/>
          <w:type w:val="continuous"/>
          <w:pgSz w:w="11900" w:h="16840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ascii="宋体"/>
          <w:b/>
          <w:bCs/>
          <w:sz w:val="32"/>
        </w:rPr>
        <w:br w:type="page"/>
      </w:r>
    </w:p>
    <w:p w14:paraId="40C31FFD">
      <w:pPr>
        <w:jc w:val="center"/>
        <w:rPr>
          <w:rFonts w:hint="default" w:eastAsia="宋体"/>
          <w:b/>
          <w:sz w:val="36"/>
          <w:lang w:val="en-US" w:eastAsia="zh-CN"/>
        </w:rPr>
        <w:sectPr>
          <w:headerReference r:id="rId4" w:type="default"/>
          <w:footerReference r:id="rId5" w:type="default"/>
          <w:type w:val="continuous"/>
          <w:pgSz w:w="11900" w:h="16840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>
      <w:pPr>
        <w:pStyle w:val="5"/>
        <w:keepNext w:val="1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 xml:space="preserve">把青春写进创新链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br/>
        <w:t xml:space="preserve">从专业学习走向科技报国</w:t>
      </w:r>
    </w:p>
    <w:p>
      <w:pPr>
        <w:jc w:val="center"/>
        <w:rPr>
          <w:rFonts w:hint="default" w:eastAsia="宋体"/>
          <w:sz w:val="28"/>
          <w:lang w:val="en-US" w:eastAsia="zh-CN"/>
        </w:rPr>
        <w:keepNext w:val="1"/>
      </w:pPr>
      <w:r>
        <w:rPr>
          <w:rFonts w:hint="eastAsia"/>
          <w:sz w:val="28"/>
          <w:lang w:val="en-US" w:eastAsia="zh-CN"/>
        </w:rPr>
        <w:t xml:space="preserve">程泽凯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楷体" w:hAnsi="楷体" w:eastAsia="楷体" w:cs="楷体"/>
          <w:b w:val="1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摘要：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中国共产党成立一百零五周年，为当代大学生理解个人成长与国家发展的关系提供了历史坐标。青年参与强国建设，既要明确价值方向，也要建立能够解决真实问题的知识结构和实践能力。本文以科技创新为切入点，讨论地方发展需求、校园学习资源与专业训练之间的联系，主张通过问题发现、基础学习、协作验证和成果交付，把报国志向转化为可持续的行动。同时，技术实践必须坚持求真、尊重规则，关注应用对象的实际需要，使创新既有技术质量，也有社会价值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楷体" w:hAnsi="楷体" w:eastAsia="楷体" w:cs="楷体"/>
          <w:b w:val="1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关键词：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青年担当；科技创新；专业学习；实践能力</w:t>
      </w:r>
    </w:p>
    <w:p>
      <w:pPr>
        <w:pStyle w:val="5"/>
        <w:keepNext w:val="1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一、历史坐标中的青年选择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2026年是中国共产党成立105周年。从嘉兴南湖上的一叶红船出发，中国共产党团结带领人民走过艰难而壮阔的奋斗历程。理解这一历史，不能只记住若干时间节点，还应看到贯穿其中的责任意识：在国家和民族面临重大问题时，总有人把个人前途与共同命运联系起来，把对未来的期待变成持续的组织和行动。对于当代大学生，这种联系依然存在，只是担当的具体内容有了新的时代条件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革命年代，青年面对的是民族独立和人民解放的紧迫任务；在今天，建设社会主义现代化强国要求我们处理发展质量、科技能力、公共服务和社会公平等问题。青年不必机械复制前人的生活方式，却应继承他们面对现实、主动承担的精神。科技进步给大学生提供了更广阔的学习渠道，也提出了更高要求。会使用某种工具，并不自动意味着具备创造能力；能够表达爱国情感，也不自动意味着已经完成报国责任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我理解的青春担当，是愿意对一个有价值的问题负责，并为解决它付出长期努力。一个学生的影响范围可能有限，但他能否认真完成学习任务、如实记录实验结果、主动纠正设计缺陷，关系到未来是否能承担更复杂的工作。科技报国并非毕业以后才开始的宏大事业，它首先体现为今天怎样学习、怎样判断、怎样与他人合作。这种从日常行为出发的理解，使国家发展的目标能够进入个人成长的实际过程。</w:t>
      </w:r>
    </w:p>
    <w:p>
      <w:pPr>
        <w:pStyle w:val="5"/>
        <w:keepNext w:val="1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二、让国家需要成为发现问题的尺度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科技创新为什么与强国建设紧密相关？因为现代社会的生产、治理和生活越来越依赖稳定而可靠的技术系统。关键环节缺乏自主能力，发展就容易受制于外部条件；技术成果不能进入实际场景，研究投入也难以形成充分的社会收益。2024年全国科技大会相关讲话强调科技创新与国家需求的联系，并讨论教育、科技、人才的相互支撑关系[1]。对大学生而言，这提供了一种理解专业学习的视角：知识价值既在于解释世界，也在于帮助社会解决问题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国家需要并不是一个脱离地方生活的抽象概念。它可以体现为企业希望减少生产故障，乡村希望降低农业经营成本，社区希望改善办事体验，公共机构希望提高信息服务的可靠性。不同省份的资源禀赋、产业结构和发展阶段并不相同，同一个技术方案也可能面对不同约束。因此，关注省情首先应关注真实需求，理解当地哪些问题突出、哪些条件已经具备、哪些限制短期内难以改变，而不能只根据热门词语选择研究方向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这种问题意识可以通过有组织的观察培养起来。学生在查阅地方公开资料、参加实践或开展访谈时，应先区分事实、解释和主张。企业说某个环节效率低，究竟是技术性能不足，还是流程安排不合理？使用者觉得系统难用，是界面复杂，还是培训不足？如果问题判断错误，即使方案本身很先进，也可能没有效果。青年把专业所学与地方发展连接起来，第一步通常是认真提问，而不是急于展示一个已经想好的答案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选择课题时还应考虑自己的能力边界。国家发展的任务很大，学生项目的时间、资源和经验却有限。比较稳妥的方式，是从大问题中切出一个可以验证的小问题。例如讨论公共信息服务时，可以先研究一项操作是否清楚、一个数据字段是否准确、一种提醒是否容易理解。这样做并不削弱课题的意义，反而可以让责任落实到具体对象，使学习成果具有清晰的评价标准。</w:t>
      </w:r>
    </w:p>
    <w:p>
      <w:pPr>
        <w:pStyle w:val="5"/>
        <w:keepNext w:val="1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三、以校园学习为创新能力的起点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学校是大学生走向社会的准备空间。结合校情，并不意味着简单罗列学校的荣誉和口号，而是要弄清自己能够利用哪些课程、图书资料、实验条件和指导资源，同时认识这些资源的限制。课程中的理论、实验中的操作、讨论中的反馈，本来就是一个相互支持的学习系统。学生若只把它们视为获取学分的独立任务，就容易错过知识之间的联系，也难以形成完整的问题解决能力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首先应建立扎实的基础。不同专业所需的基础知识有所区别，但严谨推理、资料阅读、清楚表达和规范操作具有共同意义。学习一个概念时，既要理解它能解释什么，也要理解它在什么条件下不适用。遇到公式或模型，不应只记住最终形式，还应追问假设从哪里来、变量代表什么、改变条件会产生什么影响。基础学习的收益不一定立即显现，却决定了面对新问题时能否作出可靠判断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其次应让课程作业形成连续积累。一门课结束之后，代码、笔记、调研材料和设计记录不应立即失去用途。可以把已经学会的方法整理成个人知识档案，标明适用场景、常见错误和尚未理解的部分。下一次遇到相近问题时，先检查旧方法是否适用，再考虑新增工具。这样的学习方式能够减少对零散技巧的依赖，也能帮助学生看见自己的进步究竟发生在哪些方面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再次应重视跨专业沟通。现实问题往往同时涉及技术、成本、制度和使用习惯，一种专业视角很难覆盖全部条件。参与合作时，专业能力强的同学需要把判断依据讲清楚，熟悉社会情境的同学也需要说明需求来自何处。有效协作的前提不是大家使用同样的术语，而是能够围绕同一个问题核对信息、讨论取舍。对大学生而言，学会解释自己的方法，与学会使用方法同样重要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最后应把独立思考与合理使用工具结合起来。智能工具可以帮助检索、整理和生成初步方案，但不能替代学生对事实和逻辑的核查。面对自动生成的结论，应检查来源是否可靠、推导是否成立、内容是否适合当前问题。若一个学生只能展示工具给出的结果，却无法说明为什么选择它，也无法解释失败原因，那么得到的更多是一份临时答案，而不是可以迁移的能力。</w:t>
      </w:r>
    </w:p>
    <w:p>
      <w:pPr>
        <w:pStyle w:val="5"/>
        <w:keepNext w:val="1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四、把实干落实到完整的实践过程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从专业学习走向科技实践，关键在于建立完整过程，而不是停留在概念展示。一个项目至少需要回答四个问题：服务谁、解决什么、如何证明有效、由谁继续维护。只有把这些问题说清楚，才能判断技术选择是否合理。对于学生团队，项目规模可以小，但过程应当完整。明确目标、形成计划、记录变化、接受反馈，都属于创新能力的一部分，不应被视为正式工作之外的附属事项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准备阶段，应先了解现有办法，而不是预设一切都需要重新发明。阅读公开资料、学习已有方案、访谈潜在使用者，可以帮助确定真正值得改进的环节。如果现有方法已经能够低成本完成任务，就需要解释新方案增加了什么价值。创新可以是某种性能改善，也可以是流程更清楚、操作更方便或维护更容易。把创新等同于使用最新工具，容易忽略解决问题本身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验证阶段，应设置合理的对照与评价条件。对于能够量化的问题，可以比较处理时间、错误情况或资源消耗；对于不适合简单量化的问题，可以结合使用反馈和规范要求进行分析。无论采用什么方式，都应说明条件是否一致、材料是否足够、结果能否重复。一个偶然成功的展示不能替代稳定效果，某个指标变好也不代表整个方案更好。诚实说明限制，是让成果值得信任的必要步骤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协作阶段，应建立清晰的责任分工。谁负责收集资料，谁负责实现，谁负责核查，谁负责与使用者沟通，应在开始时有所约定。项目变化后也应及时调整，而不能让责任模糊地落在最积极的人身上。团队成员应尊重彼此的劳动，记录引用来源和贡献情况。遇到分歧时，应回到共同目标和事实依据上讨论，避免把方案争论变成对个人能力的简单评价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交付阶段，应把说明文件和后续支持纳入成果。一个作品即使能运行，如果别人不知道如何使用、无法处理异常或无法继续更新，其实际价值仍然有限。大学生可以练习写简明操作说明、整理必要材料、记录已知问题，并在条件允许时安排回访。把成果交到别人手里以后仍然关心它的使用情况，体现的是对服务对象的责任，也使短期课程项目有机会转化为持续改进的基础。</w:t>
      </w:r>
    </w:p>
    <w:p>
      <w:pPr>
        <w:pStyle w:val="5"/>
        <w:keepNext w:val="1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五、以求真和责任守住创新的质量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青年参与科技创新，还必须面对价值判断。技术是否先进与应用是否合理，是相互联系却不能混为一谈的两个问题。收集数据前应考虑是否确有必要，涉及个人信息时应尊重知情和选择，展示结果时应避免夸大能力。如果为了让项目更有吸引力而省略限制、包装数据，短期或许显得漂亮，长期却会损害使用者的利益和团队的信誉。求真不是创新速度的障碍，而是有效创新的基础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面对困难，也应保持合理的奋斗观。实干不等于无限延长工作时间，更不是用忙碌掩盖方向不清。重要的是能否保持学习节奏、主动反馈问题、在失败后调整方法。大学生要兼顾身体健康和心理状态，承认能力形成需要过程。一次项目没有达到目标，可以成为认识条件和修正判断的机会；只有拒绝复盘、回避事实，才会让失败无法转化为经验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落实到个人行动，可以以一个学期为单位建立计划：围绕课程夯实一项基础能力，围绕现实需求理解一个具体问题，围绕合作完成一次有记录的实践，再通过总结找出下一阶段的不足。评价这些行动时，不只看获奖或展示效果，还应看是否学会解释方法、是否能独立处理错误、是否给他人带来实际帮助。持续完成这样的循环，才能逐步形成参与更大任务的能力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《新时代的中国青年》白皮书呈现了青年在不同领域参与社会发展、承担时代责任的多种方式[2]。这种多样性提醒我们，科技报国没有唯一的个人路线。有人适合基础研究，有人擅长工程实现，也有人能够把技术与公共服务连接起来。对当代大学生而言，重要的是找到能力与需要相交的位置，以诚实学习积累本领，以实际行动承担责任，让青春在强国建设和民族复兴的征程中形成坚实的贡献。</w:t>
      </w:r>
    </w:p>
    <w:p>
      <w:pPr>
        <w:pStyle w:val="5"/>
        <w:keepNext w:val="1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参考文献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0" w:beforeAutospacing="0" w:after="4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[1] 习近平. 在全国科技大会、国家科学技术奖励大会、两院院士大会上的讲话[EB/OL]. 2024-06-24. https://www.gov.cn/gongbao/2024/issue_11466/202407/content_6963180.html.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40" w:beforeAutospacing="0" w:after="4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[2] 国务院新闻办公室. 新时代的中国青年[EB/OL]. 2022-04-21. https://www.mee.gov.cn/zcwj/gwywj/202204/t20220421_975555.shtml.</w:t>
      </w:r>
    </w:p>
    <w:sectPr>
      <w:type w:val="continuous"/>
      <w:pgSz w:w="11900" w:h="16840"/>
      <w:pgMar w:top="1440" w:right="1797" w:bottom="1440" w:left="1797" w:header="851" w:footer="992" w:gutter="0"/>
      <w:pgNumType w:fmt="numberInDash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D36177F-F2A6-496D-BD34-33ADA8D3AEF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265C3291-6E12-4A42-A2EC-438A148140B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2F6D1AB-6C6A-44B5-99C3-D86624E44D2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69975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6E22A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6E22A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D4B7B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151ED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151ED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EC71F">
    <w:pPr>
      <w:pStyle w:val="4"/>
      <w:pBdr>
        <w:bottom w:val="none" w:color="auto" w:sz="0" w:space="1"/>
      </w:pBdr>
      <w:jc w:val="right"/>
      <w:rPr>
        <w:sz w:val="15"/>
        <w:szCs w:val="15"/>
        <w:u w:val="single"/>
      </w:rPr>
    </w:pPr>
    <w:r>
      <w:rPr>
        <w:rFonts w:hint="eastAsia"/>
        <w:i/>
        <w:iCs/>
        <w:sz w:val="15"/>
        <w:szCs w:val="15"/>
        <w:u w:val="single"/>
      </w:rPr>
      <w:t>202</w:t>
    </w:r>
    <w:r>
      <w:rPr>
        <w:i/>
        <w:iCs/>
        <w:sz w:val="15"/>
        <w:szCs w:val="15"/>
        <w:u w:val="single"/>
      </w:rPr>
      <w:t>6</w:t>
    </w:r>
    <w:r>
      <w:rPr>
        <w:rFonts w:hint="eastAsia"/>
        <w:i/>
        <w:iCs/>
        <w:sz w:val="15"/>
        <w:szCs w:val="15"/>
        <w:u w:val="single"/>
      </w:rPr>
      <w:t>-202</w:t>
    </w:r>
    <w:r>
      <w:rPr>
        <w:i/>
        <w:iCs/>
        <w:sz w:val="15"/>
        <w:szCs w:val="15"/>
        <w:u w:val="single"/>
      </w:rPr>
      <w:t>7</w:t>
    </w:r>
    <w:r>
      <w:rPr>
        <w:rFonts w:hint="eastAsia"/>
        <w:i/>
        <w:iCs/>
        <w:sz w:val="15"/>
        <w:szCs w:val="15"/>
        <w:u w:val="single"/>
      </w:rPr>
      <w:t>学年第</w:t>
    </w:r>
    <w:r>
      <w:rPr>
        <w:i/>
        <w:iCs/>
        <w:sz w:val="15"/>
        <w:szCs w:val="15"/>
        <w:u w:val="single"/>
      </w:rPr>
      <w:t>1</w:t>
    </w:r>
    <w:r>
      <w:rPr>
        <w:rFonts w:hint="eastAsia"/>
        <w:i/>
        <w:iCs/>
        <w:sz w:val="15"/>
        <w:szCs w:val="15"/>
        <w:u w:val="single"/>
      </w:rPr>
      <w:t>学期形势与政策课作业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59"/>
    <w:rsid w:val="000E0AD4"/>
    <w:rsid w:val="000F5F83"/>
    <w:rsid w:val="00126017"/>
    <w:rsid w:val="001537A4"/>
    <w:rsid w:val="00272431"/>
    <w:rsid w:val="002D4E66"/>
    <w:rsid w:val="002F14DF"/>
    <w:rsid w:val="00386C52"/>
    <w:rsid w:val="00626A27"/>
    <w:rsid w:val="006B32A3"/>
    <w:rsid w:val="006B3859"/>
    <w:rsid w:val="006D55AE"/>
    <w:rsid w:val="00742949"/>
    <w:rsid w:val="008A2CFD"/>
    <w:rsid w:val="009A1FF1"/>
    <w:rsid w:val="00A87ED2"/>
    <w:rsid w:val="00B03807"/>
    <w:rsid w:val="00D07304"/>
    <w:rsid w:val="00E73BE5"/>
    <w:rsid w:val="00F06BEF"/>
    <w:rsid w:val="00F244F9"/>
    <w:rsid w:val="00F8718C"/>
    <w:rsid w:val="00FD2839"/>
    <w:rsid w:val="04DD73CB"/>
    <w:rsid w:val="1063360A"/>
    <w:rsid w:val="1E417322"/>
    <w:rsid w:val="223034CD"/>
    <w:rsid w:val="3086532C"/>
    <w:rsid w:val="31E631DB"/>
    <w:rsid w:val="42C1375E"/>
    <w:rsid w:val="4B1A06F3"/>
    <w:rsid w:val="5BE97CAE"/>
    <w:rsid w:val="5C116D05"/>
    <w:rsid w:val="70760881"/>
    <w:rsid w:val="7575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rFonts w:ascii="宋体"/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5120C5-4FF5-48A3-855E-B9ECC933B0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98</Words>
  <Characters>121</Characters>
  <Lines>1</Lines>
  <Paragraphs>1</Paragraphs>
  <TotalTime>8</TotalTime>
  <ScaleCrop>false</ScaleCrop>
  <LinksUpToDate>false</LinksUpToDate>
  <CharactersWithSpaces>147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2026-10-16T07:45:00Z</dcterms:created>
  <dc:creator>马 先睿</dc:creator>
  <cp:lastModifiedBy>WPS_1665891310</cp:lastModifiedBy>
  <dcterms:modified xsi:type="dcterms:W3CDTF">2026-10-19T12:58:19Z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46AC79B18FC74CE1A1DFC68F0CCD2807_13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