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D9" w:rsidRDefault="00C720D9" w:rsidP="00C720D9">
      <w:pPr>
        <w:pStyle w:val="NormalnyWeb"/>
      </w:pPr>
      <w:r>
        <w:rPr>
          <w:b/>
          <w:bCs/>
        </w:rPr>
        <w:t>Godzina największego ruchu (GNR)</w:t>
      </w:r>
      <w:r>
        <w:t xml:space="preserve">: W </w:t>
      </w:r>
      <w:r w:rsidRPr="0004222A">
        <w:t>telekomunikacji</w:t>
      </w:r>
      <w:r>
        <w:t xml:space="preserve"> jest to okres kolejnych 60 minut z jednej doby, podczas którego występuje maksymalny całkowity </w:t>
      </w:r>
      <w:r w:rsidRPr="0004222A">
        <w:t>ruch telekomunikacyjny</w:t>
      </w:r>
      <w:r>
        <w:t>.</w:t>
      </w:r>
    </w:p>
    <w:p w:rsidR="00C720D9" w:rsidRDefault="00C720D9" w:rsidP="00C720D9">
      <w:pPr>
        <w:pStyle w:val="NormalnyWeb"/>
      </w:pPr>
      <w:r>
        <w:t>Zamiast kolejnych 60 minut godzinę największego ruchu często określa się (zwłaszcza w systemach pomiarowych) dla czterech kolejnych kwadransów.</w:t>
      </w:r>
    </w:p>
    <w:p w:rsidR="00C720D9" w:rsidRDefault="00C720D9" w:rsidP="00C720D9">
      <w:pPr>
        <w:pStyle w:val="NormalnyWeb"/>
      </w:pPr>
      <w:r>
        <w:t xml:space="preserve">Może wystąpić więcej niż jedna godzina największego ruchu w ciągu doby, w przypadku występowania </w:t>
      </w:r>
      <w:r w:rsidRPr="0004222A">
        <w:t>natłoków</w:t>
      </w:r>
      <w:r>
        <w:t>.</w:t>
      </w:r>
    </w:p>
    <w:p w:rsidR="00C720D9" w:rsidRDefault="00C720D9" w:rsidP="00C720D9">
      <w:pPr>
        <w:pStyle w:val="NormalnyWeb"/>
      </w:pPr>
      <w:r>
        <w:t xml:space="preserve">Wielkość ruchu w GNR jest wykorzystywana do projektowania wydajności ruchowej i ilości wyposażenia </w:t>
      </w:r>
      <w:r w:rsidRPr="0004222A">
        <w:t>systemów telekomunikacyjnych</w:t>
      </w:r>
      <w:r>
        <w:t xml:space="preserve"> i </w:t>
      </w:r>
      <w:r w:rsidRPr="0004222A">
        <w:t>sieci telekomunikacyjnych</w:t>
      </w:r>
      <w:r>
        <w:t>.</w:t>
      </w:r>
    </w:p>
    <w:p w:rsidR="00C720D9" w:rsidRDefault="00C720D9" w:rsidP="001D25D8">
      <w:pPr>
        <w:rPr>
          <w:b/>
          <w:u w:val="single"/>
        </w:rPr>
      </w:pPr>
    </w:p>
    <w:p w:rsidR="001D25D8" w:rsidRPr="00646D30" w:rsidRDefault="001D25D8" w:rsidP="001D25D8">
      <w:pPr>
        <w:rPr>
          <w:b/>
          <w:u w:val="single"/>
        </w:rPr>
      </w:pPr>
      <w:r w:rsidRPr="00646D30">
        <w:rPr>
          <w:b/>
          <w:u w:val="single"/>
        </w:rPr>
        <w:t>Godzina największego ruchu</w:t>
      </w:r>
    </w:p>
    <w:p w:rsidR="001D25D8" w:rsidRDefault="001D25D8" w:rsidP="001D25D8"/>
    <w:p w:rsidR="001D25D8" w:rsidRDefault="001D25D8" w:rsidP="001D25D8">
      <w:r>
        <w:t xml:space="preserve">Jest to okres 60 kolejnych minut w ciągu doby, podczas którego średnie natężenie ruchu jest największe. Aby wyznaczyć średnie natężenie ruchu w GNR, potrzebny jest współczynnik skupienia. </w:t>
      </w:r>
    </w:p>
    <w:p w:rsidR="001D25D8" w:rsidRDefault="00292487" w:rsidP="001D25D8">
      <w:pPr>
        <w:ind w:firstLine="708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72.75pt;height:30.7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Equation.3" ShapeID="_x0000_s1028" DrawAspect="Content" ObjectID="_1521553318" r:id="rId5"/>
        </w:object>
      </w:r>
      <w:r w:rsidR="008F1B75">
        <w:br w:type="textWrapping" w:clear="all"/>
      </w:r>
    </w:p>
    <w:p w:rsidR="001D25D8" w:rsidRDefault="001D25D8" w:rsidP="001D25D8">
      <w:pPr>
        <w:ind w:firstLine="708"/>
      </w:pPr>
      <w:r w:rsidRPr="00555CF6">
        <w:rPr>
          <w:position w:val="-30"/>
        </w:rPr>
        <w:object w:dxaOrig="720" w:dyaOrig="680">
          <v:shape id="_x0000_i1025" type="#_x0000_t75" style="width:36.75pt;height:33.75pt" o:ole="">
            <v:imagedata r:id="rId6" o:title=""/>
          </v:shape>
          <o:OLEObject Type="Embed" ProgID="Equation.3" ShapeID="_x0000_i1025" DrawAspect="Content" ObjectID="_1521553317" r:id="rId7"/>
        </w:object>
      </w:r>
    </w:p>
    <w:p w:rsidR="001D25D8" w:rsidRDefault="001D25D8" w:rsidP="001D25D8">
      <w:pPr>
        <w:ind w:firstLine="708"/>
      </w:pPr>
    </w:p>
    <w:p w:rsidR="001D25D8" w:rsidRDefault="001D25D8" w:rsidP="001D25D8">
      <w:pPr>
        <w:ind w:firstLine="708"/>
      </w:pPr>
      <w:r>
        <w:t>c</w:t>
      </w:r>
      <w:r w:rsidRPr="008F60FB">
        <w:rPr>
          <w:vertAlign w:val="subscript"/>
        </w:rPr>
        <w:t>d</w:t>
      </w:r>
      <w:r>
        <w:t xml:space="preserve"> – liczba połączeń wychodzących z danej grupy źródeł w ciągu doby</w:t>
      </w:r>
    </w:p>
    <w:p w:rsidR="001D25D8" w:rsidRDefault="001D25D8" w:rsidP="001D25D8">
      <w:pPr>
        <w:ind w:firstLine="708"/>
      </w:pPr>
      <w:r>
        <w:t>c – liczba połączeń wychodzących z danej grupy w ciągu godziny największego ruchu</w:t>
      </w:r>
    </w:p>
    <w:p w:rsidR="001D25D8" w:rsidRDefault="001D25D8" w:rsidP="001D25D8">
      <w:pPr>
        <w:ind w:firstLine="708"/>
      </w:pPr>
      <w:r>
        <w:t xml:space="preserve">T – czas obserwacji </w:t>
      </w:r>
    </w:p>
    <w:p w:rsidR="001D25D8" w:rsidRDefault="001D25D8" w:rsidP="001D25D8">
      <w:pPr>
        <w:rPr>
          <w:b/>
          <w:u w:val="single"/>
        </w:rPr>
      </w:pPr>
    </w:p>
    <w:p w:rsidR="001D25D8" w:rsidRDefault="001D25D8" w:rsidP="001D25D8">
      <w:pPr>
        <w:rPr>
          <w:b/>
          <w:u w:val="single"/>
        </w:rPr>
      </w:pPr>
    </w:p>
    <w:p w:rsidR="004C2098" w:rsidRDefault="004C2098"/>
    <w:p w:rsidR="00DF0E7D" w:rsidRPr="005B09D4" w:rsidRDefault="00DF0E7D" w:rsidP="00DF0E7D">
      <w:pPr>
        <w:rPr>
          <w:b/>
        </w:rPr>
      </w:pPr>
      <w:r w:rsidRPr="005B09D4">
        <w:rPr>
          <w:b/>
        </w:rPr>
        <w:t>Natężenie w sensie TCBH</w:t>
      </w:r>
      <w:r w:rsidR="005B09D4">
        <w:rPr>
          <w:b/>
        </w:rPr>
        <w:t xml:space="preserve"> (Time-</w:t>
      </w:r>
      <w:proofErr w:type="spellStart"/>
      <w:r w:rsidR="005B09D4">
        <w:rPr>
          <w:b/>
        </w:rPr>
        <w:t>Consistent</w:t>
      </w:r>
      <w:proofErr w:type="spellEnd"/>
      <w:r w:rsidR="005B09D4">
        <w:rPr>
          <w:b/>
        </w:rPr>
        <w:t xml:space="preserve"> </w:t>
      </w:r>
      <w:proofErr w:type="spellStart"/>
      <w:r w:rsidR="005B09D4">
        <w:rPr>
          <w:b/>
        </w:rPr>
        <w:t>Busy</w:t>
      </w:r>
      <w:proofErr w:type="spellEnd"/>
      <w:r w:rsidR="005B09D4">
        <w:rPr>
          <w:b/>
        </w:rPr>
        <w:t xml:space="preserve"> </w:t>
      </w:r>
      <w:proofErr w:type="spellStart"/>
      <w:r w:rsidR="005B09D4">
        <w:rPr>
          <w:b/>
        </w:rPr>
        <w:t>Hour</w:t>
      </w:r>
      <w:proofErr w:type="spellEnd"/>
      <w:r w:rsidR="005B09D4">
        <w:rPr>
          <w:b/>
        </w:rPr>
        <w:t xml:space="preserve">) </w:t>
      </w:r>
    </w:p>
    <w:p w:rsidR="00DF0E7D" w:rsidRDefault="00153E91" w:rsidP="00DF0E7D">
      <w:r>
        <w:t xml:space="preserve">Standardowa </w:t>
      </w:r>
      <w:r w:rsidR="00DF0E7D">
        <w:t>metoda obliczania śred</w:t>
      </w:r>
      <w:r>
        <w:t>niej godziny największego ruchu.</w:t>
      </w:r>
    </w:p>
    <w:p w:rsidR="00DF0E7D" w:rsidRDefault="00153E91" w:rsidP="00DF0E7D">
      <w:r>
        <w:t>K</w:t>
      </w:r>
      <w:r w:rsidR="00DF0E7D">
        <w:t>ażdego dnia dla poszczególnych kwadransów zapisuje się wartości załatwianego ruchu</w:t>
      </w:r>
    </w:p>
    <w:p w:rsidR="00C91576" w:rsidRDefault="00C91576" w:rsidP="00DF0E7D">
      <w:r>
        <w:t>Następnie</w:t>
      </w:r>
      <w:r w:rsidR="00DF0E7D">
        <w:t xml:space="preserve"> wartości z tych samych kwadransów poszczególn</w:t>
      </w:r>
      <w:r>
        <w:t>ych dni są następnie uśredniane.</w:t>
      </w:r>
    </w:p>
    <w:p w:rsidR="00DF0E7D" w:rsidRDefault="00C91576" w:rsidP="00DF0E7D">
      <w:r>
        <w:t>C</w:t>
      </w:r>
      <w:r w:rsidR="00DF0E7D">
        <w:t>ztery następujące po sobie kwadranse z tego dnia, które po zsumowaniu dają największą wartość, tworzą godzinę TCBH z jej natężeniem</w:t>
      </w:r>
      <w:r>
        <w:t>.</w:t>
      </w:r>
    </w:p>
    <w:p w:rsidR="00DF0E7D" w:rsidRDefault="00DF0E7D" w:rsidP="00DF0E7D"/>
    <w:p w:rsidR="00DF0E7D" w:rsidRDefault="00DF0E7D" w:rsidP="00DF0E7D"/>
    <w:p w:rsidR="005B09D4" w:rsidRPr="004639CC" w:rsidRDefault="00DF0E7D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Natężenie</w:t>
      </w:r>
      <w:proofErr w:type="spellEnd"/>
      <w:r w:rsidRPr="004639CC">
        <w:rPr>
          <w:b/>
          <w:lang w:val="en-US"/>
        </w:rPr>
        <w:t xml:space="preserve"> w </w:t>
      </w:r>
      <w:proofErr w:type="spellStart"/>
      <w:r w:rsidRPr="004639CC">
        <w:rPr>
          <w:b/>
          <w:lang w:val="en-US"/>
        </w:rPr>
        <w:t>sensie</w:t>
      </w:r>
      <w:proofErr w:type="spellEnd"/>
      <w:r w:rsidRPr="004639CC">
        <w:rPr>
          <w:b/>
          <w:lang w:val="en-US"/>
        </w:rPr>
        <w:t xml:space="preserve"> AD</w:t>
      </w:r>
      <w:r w:rsidR="005B09D4" w:rsidRPr="004639CC">
        <w:rPr>
          <w:b/>
          <w:lang w:val="en-US"/>
        </w:rPr>
        <w:t xml:space="preserve">PH (Average Daily Peak Hour) </w:t>
      </w:r>
    </w:p>
    <w:p w:rsidR="00DF0E7D" w:rsidRDefault="00DF0E7D" w:rsidP="00DF0E7D">
      <w:r>
        <w:t>Metoda ta wymaga ciągłego pomiaru wszystkich kwadransów, lecz tylko godziny największego ruchu z każdego dnia są zachowywane do uśrednienia. Dlatego nazywana jest metodą ADPH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Hour</w:t>
      </w:r>
      <w:proofErr w:type="spellEnd"/>
      <w:r>
        <w:t>)</w:t>
      </w:r>
      <w:r w:rsidR="00C91576">
        <w:t xml:space="preserve">. </w:t>
      </w:r>
      <w:r>
        <w:t>W ramach tej metody stosujemy jeszcze podział na ADPQH i ADPFH</w:t>
      </w:r>
    </w:p>
    <w:p w:rsidR="0004222A" w:rsidRDefault="0004222A" w:rsidP="00DF0E7D"/>
    <w:p w:rsidR="0004222A" w:rsidRDefault="0004222A" w:rsidP="00DF0E7D"/>
    <w:p w:rsidR="0004222A" w:rsidRDefault="0004222A" w:rsidP="00DF0E7D"/>
    <w:p w:rsidR="0004222A" w:rsidRDefault="0004222A" w:rsidP="00DF0E7D"/>
    <w:p w:rsidR="0004222A" w:rsidRDefault="0004222A" w:rsidP="00DF0E7D"/>
    <w:p w:rsidR="0004222A" w:rsidRDefault="0004222A" w:rsidP="00DF0E7D"/>
    <w:p w:rsidR="0004222A" w:rsidRDefault="0004222A" w:rsidP="00DF0E7D"/>
    <w:p w:rsidR="005B09D4" w:rsidRDefault="005B09D4" w:rsidP="00DF0E7D"/>
    <w:p w:rsidR="00DF0E7D" w:rsidRPr="004639CC" w:rsidRDefault="00DF0E7D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Natężenie</w:t>
      </w:r>
      <w:proofErr w:type="spellEnd"/>
      <w:r w:rsidRPr="004639CC">
        <w:rPr>
          <w:b/>
          <w:lang w:val="en-US"/>
        </w:rPr>
        <w:t xml:space="preserve"> w </w:t>
      </w:r>
      <w:proofErr w:type="spellStart"/>
      <w:r w:rsidRPr="004639CC">
        <w:rPr>
          <w:b/>
          <w:lang w:val="en-US"/>
        </w:rPr>
        <w:t>sensie</w:t>
      </w:r>
      <w:proofErr w:type="spellEnd"/>
      <w:r w:rsidRPr="004639CC">
        <w:rPr>
          <w:b/>
          <w:lang w:val="en-US"/>
        </w:rPr>
        <w:t xml:space="preserve"> ADPH (Average Daily Peak Hour) </w:t>
      </w:r>
    </w:p>
    <w:p w:rsidR="005B09D4" w:rsidRPr="005B09D4" w:rsidRDefault="00DF0E7D" w:rsidP="005B09D4">
      <w:pPr>
        <w:tabs>
          <w:tab w:val="left" w:pos="1290"/>
        </w:tabs>
        <w:rPr>
          <w:b/>
        </w:rPr>
      </w:pPr>
      <w:r w:rsidRPr="005B09D4">
        <w:rPr>
          <w:b/>
        </w:rPr>
        <w:t>ADPQH</w:t>
      </w:r>
      <w:r w:rsidR="005B09D4" w:rsidRPr="005B09D4">
        <w:rPr>
          <w:b/>
        </w:rPr>
        <w:tab/>
      </w:r>
    </w:p>
    <w:p w:rsidR="005B09D4" w:rsidRDefault="00C91576" w:rsidP="00DF0E7D">
      <w:r>
        <w:t xml:space="preserve">Natężenie </w:t>
      </w:r>
      <w:r w:rsidR="00DF0E7D">
        <w:t>ruchu jest mierzone w sposób ciągły przez cały dzień w 15-minutowych przedziałach. Wartości natężenia są przetwarzane codziennie w celu znalezienia czterech kolejnych kwadransów, których suma daje największą wartość natężenia. Tylko ta wartość natężenia ruchu zastaje przechowana. Średnia jest obliczana z dziennych natężeń szczytowych</w:t>
      </w:r>
      <w:r>
        <w:t>.</w:t>
      </w:r>
    </w:p>
    <w:p w:rsidR="00DF0E7D" w:rsidRDefault="00DF0E7D" w:rsidP="00DF0E7D"/>
    <w:p w:rsidR="00DF0E7D" w:rsidRDefault="00DF0E7D" w:rsidP="00DF0E7D"/>
    <w:p w:rsidR="00DF0E7D" w:rsidRPr="004639CC" w:rsidRDefault="005B09D4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</w:t>
      </w:r>
      <w:r w:rsidR="00DF0E7D" w:rsidRPr="004639CC">
        <w:rPr>
          <w:b/>
          <w:lang w:val="en-US"/>
        </w:rPr>
        <w:t>enie</w:t>
      </w:r>
      <w:proofErr w:type="spellEnd"/>
      <w:r w:rsidR="00DF0E7D" w:rsidRPr="004639CC">
        <w:rPr>
          <w:b/>
          <w:lang w:val="en-US"/>
        </w:rPr>
        <w:t xml:space="preserve"> w </w:t>
      </w:r>
      <w:proofErr w:type="spellStart"/>
      <w:r w:rsidR="00DF0E7D" w:rsidRPr="004639CC">
        <w:rPr>
          <w:b/>
          <w:lang w:val="en-US"/>
        </w:rPr>
        <w:t>sensie</w:t>
      </w:r>
      <w:proofErr w:type="spellEnd"/>
      <w:r w:rsidR="00DF0E7D" w:rsidRPr="004639CC">
        <w:rPr>
          <w:b/>
          <w:lang w:val="en-US"/>
        </w:rPr>
        <w:t xml:space="preserve"> AD</w:t>
      </w:r>
      <w:r w:rsidRPr="004639CC">
        <w:rPr>
          <w:b/>
          <w:lang w:val="en-US"/>
        </w:rPr>
        <w:t xml:space="preserve">PH (Average Daily Peak Hour) </w:t>
      </w:r>
    </w:p>
    <w:p w:rsidR="00DF0E7D" w:rsidRPr="005B09D4" w:rsidRDefault="00DF0E7D" w:rsidP="00DF0E7D">
      <w:pPr>
        <w:rPr>
          <w:b/>
          <w:i/>
        </w:rPr>
      </w:pPr>
      <w:r w:rsidRPr="005B09D4">
        <w:rPr>
          <w:b/>
          <w:i/>
        </w:rPr>
        <w:t>ADPFH</w:t>
      </w:r>
    </w:p>
    <w:p w:rsidR="00DF0E7D" w:rsidRDefault="00C91576" w:rsidP="00DF0E7D">
      <w:r>
        <w:t>Natężenie</w:t>
      </w:r>
      <w:r w:rsidR="00DF0E7D">
        <w:t xml:space="preserve"> ruchu jest mierzone w sposób ciągły przez cały dzień w godzinnych przedziałach. Tylko największa wartość natężenia jest rejestrowana. Natężenie w sensie ADPH jest średnią z 10 dziennych natężeń szczytowych, wybranych spośród 14 kolejnych dni pomiarowych</w:t>
      </w:r>
    </w:p>
    <w:p w:rsidR="00DF0E7D" w:rsidRDefault="00DF0E7D" w:rsidP="00DF0E7D"/>
    <w:p w:rsidR="00DF0E7D" w:rsidRPr="004639CC" w:rsidRDefault="005B09D4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</w:t>
      </w:r>
      <w:r w:rsidR="00DF0E7D" w:rsidRPr="004639CC">
        <w:rPr>
          <w:b/>
          <w:lang w:val="en-US"/>
        </w:rPr>
        <w:t>enie</w:t>
      </w:r>
      <w:proofErr w:type="spellEnd"/>
      <w:r w:rsidR="00DF0E7D" w:rsidRPr="004639CC">
        <w:rPr>
          <w:b/>
          <w:lang w:val="en-US"/>
        </w:rPr>
        <w:t xml:space="preserve"> w </w:t>
      </w:r>
      <w:proofErr w:type="spellStart"/>
      <w:r w:rsidR="00DF0E7D" w:rsidRPr="004639CC">
        <w:rPr>
          <w:b/>
          <w:lang w:val="en-US"/>
        </w:rPr>
        <w:t>sensie</w:t>
      </w:r>
      <w:proofErr w:type="spellEnd"/>
      <w:r w:rsidR="00DF0E7D" w:rsidRPr="004639CC">
        <w:rPr>
          <w:b/>
          <w:lang w:val="en-US"/>
        </w:rPr>
        <w:t xml:space="preserve"> </w:t>
      </w:r>
      <w:r w:rsidRPr="004639CC">
        <w:rPr>
          <w:b/>
          <w:lang w:val="en-US"/>
        </w:rPr>
        <w:t>ADPH (Average Daily Peak Hour)</w:t>
      </w:r>
    </w:p>
    <w:p w:rsidR="00DF0E7D" w:rsidRDefault="00DF0E7D" w:rsidP="00DF0E7D">
      <w:r>
        <w:t>UWAGA!</w:t>
      </w:r>
    </w:p>
    <w:p w:rsidR="00DF0E7D" w:rsidRDefault="00DF0E7D" w:rsidP="00DF0E7D">
      <w:r>
        <w:t>Wynikiem w metodz</w:t>
      </w:r>
      <w:r w:rsidR="005B09D4">
        <w:t>ie ADPH jest tylko wartość natęż</w:t>
      </w:r>
      <w:r>
        <w:t>enia ruchu, bez umiejscowien</w:t>
      </w:r>
      <w:r w:rsidR="005B09D4">
        <w:t>ia GNR w czasie doby (bo dla różnych dni może być ono róż</w:t>
      </w:r>
      <w:r>
        <w:t>ne)</w:t>
      </w:r>
    </w:p>
    <w:p w:rsidR="00DF0E7D" w:rsidRDefault="00DF0E7D" w:rsidP="00DF0E7D"/>
    <w:p w:rsidR="005B09D4" w:rsidRPr="004639CC" w:rsidRDefault="005B09D4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</w:t>
      </w:r>
      <w:r w:rsidR="00DF0E7D" w:rsidRPr="004639CC">
        <w:rPr>
          <w:b/>
          <w:lang w:val="en-US"/>
        </w:rPr>
        <w:t>enie</w:t>
      </w:r>
      <w:proofErr w:type="spellEnd"/>
      <w:r w:rsidR="00DF0E7D" w:rsidRPr="004639CC">
        <w:rPr>
          <w:b/>
          <w:lang w:val="en-US"/>
        </w:rPr>
        <w:t xml:space="preserve"> w </w:t>
      </w:r>
      <w:proofErr w:type="spellStart"/>
      <w:r w:rsidR="00DF0E7D" w:rsidRPr="004639CC">
        <w:rPr>
          <w:b/>
          <w:lang w:val="en-US"/>
        </w:rPr>
        <w:t>sensie</w:t>
      </w:r>
      <w:proofErr w:type="spellEnd"/>
      <w:r w:rsidR="00DF0E7D" w:rsidRPr="004639CC">
        <w:rPr>
          <w:b/>
          <w:lang w:val="en-US"/>
        </w:rPr>
        <w:t xml:space="preserve"> FDMP (Fixed Daily Measurement Period) </w:t>
      </w:r>
    </w:p>
    <w:p w:rsidR="00C91576" w:rsidRDefault="005B09D4" w:rsidP="00DF0E7D">
      <w:r>
        <w:t>Operator może uznać, ż</w:t>
      </w:r>
      <w:r w:rsidR="00DF0E7D">
        <w:t xml:space="preserve">e jest rzeczą ekonomicznie uzasadnioną, by ograniczyć pomiary do kilku lub jednej godziny dziennie </w:t>
      </w:r>
      <w:r w:rsidR="00C91576">
        <w:t xml:space="preserve">. </w:t>
      </w:r>
    </w:p>
    <w:p w:rsidR="00C91576" w:rsidRDefault="00DF0E7D" w:rsidP="00DF0E7D">
      <w:r>
        <w:t>Okres pomiaru w metodzie</w:t>
      </w:r>
      <w:r w:rsidR="005B09D4">
        <w:t xml:space="preserve"> FDMP powinien odpowiadać najwyżej położ</w:t>
      </w:r>
      <w:r>
        <w:t>onej części przekroju ruchu, w której przypuszczalnie znajduje się godzina największego ruchu obliczana metodą TCBH. Wartości pomiarow</w:t>
      </w:r>
      <w:r w:rsidR="005B09D4">
        <w:t>e zbierane są oddzielnie dla każ</w:t>
      </w:r>
      <w:r>
        <w:t>dego kwadransa, a godzina największego ruchu jest określ</w:t>
      </w:r>
      <w:r w:rsidR="00C91576">
        <w:t xml:space="preserve">ana na końcu okresu pomiarowego. </w:t>
      </w:r>
    </w:p>
    <w:p w:rsidR="00DF0E7D" w:rsidRDefault="00DF0E7D" w:rsidP="00DF0E7D">
      <w:r>
        <w:t>W praktyce metoda ta dostarcza wyniki, które stanowią około 95% poziomu ruchu obliczanego metodą TCBH</w:t>
      </w:r>
    </w:p>
    <w:p w:rsidR="00DF0E7D" w:rsidRDefault="00DF0E7D" w:rsidP="00DF0E7D"/>
    <w:p w:rsidR="00DF0E7D" w:rsidRDefault="00DF0E7D" w:rsidP="00DF0E7D"/>
    <w:p w:rsidR="00DF0E7D" w:rsidRPr="004639CC" w:rsidRDefault="00DF0E7D" w:rsidP="00DF0E7D">
      <w:pPr>
        <w:rPr>
          <w:b/>
          <w:lang w:val="en-US"/>
        </w:rPr>
      </w:pPr>
      <w:proofErr w:type="spellStart"/>
      <w:r w:rsidRPr="004639CC">
        <w:rPr>
          <w:b/>
          <w:lang w:val="en-US"/>
        </w:rPr>
        <w:t>Natężenie</w:t>
      </w:r>
      <w:proofErr w:type="spellEnd"/>
      <w:r w:rsidRPr="004639CC">
        <w:rPr>
          <w:b/>
          <w:lang w:val="en-US"/>
        </w:rPr>
        <w:t xml:space="preserve"> w </w:t>
      </w:r>
      <w:proofErr w:type="spellStart"/>
      <w:r w:rsidRPr="004639CC">
        <w:rPr>
          <w:b/>
          <w:lang w:val="en-US"/>
        </w:rPr>
        <w:t>sensie</w:t>
      </w:r>
      <w:proofErr w:type="spellEnd"/>
      <w:r w:rsidRPr="004639CC">
        <w:rPr>
          <w:b/>
          <w:lang w:val="en-US"/>
        </w:rPr>
        <w:t xml:space="preserve"> FDMH (Fixed Daily Measurement Hour)</w:t>
      </w:r>
    </w:p>
    <w:p w:rsidR="00DF0E7D" w:rsidRDefault="00C91576" w:rsidP="00DF0E7D">
      <w:r>
        <w:t xml:space="preserve">Jest to najprostsza metoda pomiarowa. </w:t>
      </w:r>
      <w:r w:rsidR="00DF0E7D">
        <w:t>Jeśli stały dzienny okres pomiarowy jest zredukowany do 1 godziny, to koniecznym jest zebranie tylko pojedynczych wartości pom</w:t>
      </w:r>
      <w:r w:rsidR="005B09D4">
        <w:t>iarowych z każ</w:t>
      </w:r>
      <w:r w:rsidR="00DF0E7D">
        <w:t>dego dnia</w:t>
      </w:r>
    </w:p>
    <w:p w:rsidR="00DF0E7D" w:rsidRDefault="00C91576" w:rsidP="00DF0E7D">
      <w:r>
        <w:t>C</w:t>
      </w:r>
      <w:r w:rsidR="00DF0E7D">
        <w:t>zas stałego pomiaru dziennego jest</w:t>
      </w:r>
      <w:r w:rsidR="005B09D4">
        <w:t xml:space="preserve"> określony indywidualnie dla każ</w:t>
      </w:r>
      <w:r w:rsidR="00DF0E7D">
        <w:t xml:space="preserve">dej wiązki łączy, dostarcza wyniki, które stanowią 90% poziomu ruchu </w:t>
      </w:r>
      <w:r w:rsidR="005B09D4">
        <w:t>obliczanego metodą TCBH. Jednakż</w:t>
      </w:r>
      <w:r w:rsidR="00DF0E7D">
        <w:t>e zmian</w:t>
      </w:r>
      <w:r w:rsidR="005B09D4">
        <w:t>y wokół średniej są duż</w:t>
      </w:r>
      <w:r w:rsidR="00DF0E7D">
        <w:t>e</w:t>
      </w:r>
      <w:r w:rsidR="005B09D4">
        <w:t>.</w:t>
      </w:r>
    </w:p>
    <w:p w:rsidR="00DF0E7D" w:rsidRDefault="00DF0E7D" w:rsidP="00DF0E7D"/>
    <w:p w:rsidR="00DF0E7D" w:rsidRDefault="00DF0E7D" w:rsidP="00DF0E7D"/>
    <w:p w:rsidR="00DF0E7D" w:rsidRDefault="00DF0E7D" w:rsidP="00DF0E7D"/>
    <w:p w:rsidR="00DF0E7D" w:rsidRDefault="00DF0E7D" w:rsidP="00DF0E7D"/>
    <w:p w:rsidR="004639CC" w:rsidRDefault="004639CC" w:rsidP="00DF0E7D"/>
    <w:p w:rsidR="004639CC" w:rsidRDefault="004639CC" w:rsidP="00DF0E7D">
      <w:r>
        <w:t>//////////</w:t>
      </w:r>
    </w:p>
    <w:p w:rsidR="004639CC" w:rsidRDefault="004639CC" w:rsidP="00DF0E7D">
      <w:r>
        <w:t>Można jeszcze zrobić</w:t>
      </w:r>
      <w:r w:rsidR="00292487">
        <w:t xml:space="preserve"> pracę na losowych danych</w:t>
      </w:r>
      <w:bookmarkStart w:id="0" w:name="_GoBack"/>
      <w:bookmarkEnd w:id="0"/>
    </w:p>
    <w:sectPr w:rsidR="00463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56"/>
    <w:rsid w:val="00037255"/>
    <w:rsid w:val="0004222A"/>
    <w:rsid w:val="00047EF0"/>
    <w:rsid w:val="000618FF"/>
    <w:rsid w:val="00082F07"/>
    <w:rsid w:val="000F332D"/>
    <w:rsid w:val="000F5412"/>
    <w:rsid w:val="001210D6"/>
    <w:rsid w:val="001269D0"/>
    <w:rsid w:val="00153E91"/>
    <w:rsid w:val="001546A1"/>
    <w:rsid w:val="00163C7B"/>
    <w:rsid w:val="001825A9"/>
    <w:rsid w:val="001C16C1"/>
    <w:rsid w:val="001D25D8"/>
    <w:rsid w:val="001E5887"/>
    <w:rsid w:val="001F59CA"/>
    <w:rsid w:val="00212A37"/>
    <w:rsid w:val="002226C3"/>
    <w:rsid w:val="00222CCE"/>
    <w:rsid w:val="00235CCD"/>
    <w:rsid w:val="00247E5C"/>
    <w:rsid w:val="00253681"/>
    <w:rsid w:val="00281E5C"/>
    <w:rsid w:val="00292487"/>
    <w:rsid w:val="00296769"/>
    <w:rsid w:val="002A2560"/>
    <w:rsid w:val="002C17B0"/>
    <w:rsid w:val="002C2288"/>
    <w:rsid w:val="003463D4"/>
    <w:rsid w:val="0037137A"/>
    <w:rsid w:val="00375127"/>
    <w:rsid w:val="00376CBB"/>
    <w:rsid w:val="00387D0A"/>
    <w:rsid w:val="003916AF"/>
    <w:rsid w:val="00392575"/>
    <w:rsid w:val="003B00F0"/>
    <w:rsid w:val="003B0C1D"/>
    <w:rsid w:val="003B4191"/>
    <w:rsid w:val="003B5D24"/>
    <w:rsid w:val="003E38DB"/>
    <w:rsid w:val="003E4F1A"/>
    <w:rsid w:val="003F3D9C"/>
    <w:rsid w:val="00403661"/>
    <w:rsid w:val="004046C8"/>
    <w:rsid w:val="00435D19"/>
    <w:rsid w:val="00456C41"/>
    <w:rsid w:val="004639CC"/>
    <w:rsid w:val="004A5D9C"/>
    <w:rsid w:val="004A718E"/>
    <w:rsid w:val="004B5C9F"/>
    <w:rsid w:val="004C2098"/>
    <w:rsid w:val="004E3FA1"/>
    <w:rsid w:val="00500F51"/>
    <w:rsid w:val="00507493"/>
    <w:rsid w:val="00514B2C"/>
    <w:rsid w:val="00515D3E"/>
    <w:rsid w:val="005269F8"/>
    <w:rsid w:val="00534B2C"/>
    <w:rsid w:val="00536376"/>
    <w:rsid w:val="00536555"/>
    <w:rsid w:val="0057280D"/>
    <w:rsid w:val="005948BB"/>
    <w:rsid w:val="00594C21"/>
    <w:rsid w:val="005A4224"/>
    <w:rsid w:val="005B09D4"/>
    <w:rsid w:val="005B61B5"/>
    <w:rsid w:val="005C635C"/>
    <w:rsid w:val="00623350"/>
    <w:rsid w:val="00632581"/>
    <w:rsid w:val="00637B97"/>
    <w:rsid w:val="00662739"/>
    <w:rsid w:val="00663D3E"/>
    <w:rsid w:val="00665529"/>
    <w:rsid w:val="006658F3"/>
    <w:rsid w:val="0066733C"/>
    <w:rsid w:val="00673CE0"/>
    <w:rsid w:val="006937C8"/>
    <w:rsid w:val="0069693D"/>
    <w:rsid w:val="006D7A63"/>
    <w:rsid w:val="006E36A3"/>
    <w:rsid w:val="006F39C2"/>
    <w:rsid w:val="006F3F26"/>
    <w:rsid w:val="006F7988"/>
    <w:rsid w:val="007007EE"/>
    <w:rsid w:val="00727298"/>
    <w:rsid w:val="00734217"/>
    <w:rsid w:val="00742511"/>
    <w:rsid w:val="00756B4B"/>
    <w:rsid w:val="00776D7E"/>
    <w:rsid w:val="007A6EED"/>
    <w:rsid w:val="007B6278"/>
    <w:rsid w:val="007C4595"/>
    <w:rsid w:val="007E03C2"/>
    <w:rsid w:val="00814FAD"/>
    <w:rsid w:val="008277A3"/>
    <w:rsid w:val="008515E0"/>
    <w:rsid w:val="0086273D"/>
    <w:rsid w:val="00880C5D"/>
    <w:rsid w:val="0088325D"/>
    <w:rsid w:val="008B37F4"/>
    <w:rsid w:val="008B789E"/>
    <w:rsid w:val="008E2437"/>
    <w:rsid w:val="008F1B75"/>
    <w:rsid w:val="00920130"/>
    <w:rsid w:val="00920576"/>
    <w:rsid w:val="00923AC2"/>
    <w:rsid w:val="00924CD5"/>
    <w:rsid w:val="009311E9"/>
    <w:rsid w:val="0094777A"/>
    <w:rsid w:val="009504EF"/>
    <w:rsid w:val="00951D0E"/>
    <w:rsid w:val="00956953"/>
    <w:rsid w:val="009A5FB1"/>
    <w:rsid w:val="009A7CE4"/>
    <w:rsid w:val="009A7D6B"/>
    <w:rsid w:val="009F1CFE"/>
    <w:rsid w:val="009F38D5"/>
    <w:rsid w:val="00A0058F"/>
    <w:rsid w:val="00A00B76"/>
    <w:rsid w:val="00A014D9"/>
    <w:rsid w:val="00A01FE3"/>
    <w:rsid w:val="00A0209A"/>
    <w:rsid w:val="00A074D8"/>
    <w:rsid w:val="00A317D7"/>
    <w:rsid w:val="00A405B7"/>
    <w:rsid w:val="00A429E0"/>
    <w:rsid w:val="00A45AB4"/>
    <w:rsid w:val="00A75956"/>
    <w:rsid w:val="00A96BED"/>
    <w:rsid w:val="00AB33E4"/>
    <w:rsid w:val="00AB7E2E"/>
    <w:rsid w:val="00B0381A"/>
    <w:rsid w:val="00B27CE9"/>
    <w:rsid w:val="00B4664A"/>
    <w:rsid w:val="00B66BEF"/>
    <w:rsid w:val="00B71888"/>
    <w:rsid w:val="00B73C54"/>
    <w:rsid w:val="00B77EA8"/>
    <w:rsid w:val="00B929D6"/>
    <w:rsid w:val="00B93411"/>
    <w:rsid w:val="00B95D24"/>
    <w:rsid w:val="00BA6F97"/>
    <w:rsid w:val="00BC1A42"/>
    <w:rsid w:val="00BE5853"/>
    <w:rsid w:val="00BF424A"/>
    <w:rsid w:val="00C16450"/>
    <w:rsid w:val="00C35CA2"/>
    <w:rsid w:val="00C407D4"/>
    <w:rsid w:val="00C4304B"/>
    <w:rsid w:val="00C5242F"/>
    <w:rsid w:val="00C67D2B"/>
    <w:rsid w:val="00C720D9"/>
    <w:rsid w:val="00C91576"/>
    <w:rsid w:val="00C97C3F"/>
    <w:rsid w:val="00CA1EBB"/>
    <w:rsid w:val="00CA3AF7"/>
    <w:rsid w:val="00CA7CE5"/>
    <w:rsid w:val="00CB5D60"/>
    <w:rsid w:val="00CB6921"/>
    <w:rsid w:val="00CD07B3"/>
    <w:rsid w:val="00CE7FBE"/>
    <w:rsid w:val="00CF6F81"/>
    <w:rsid w:val="00D33C80"/>
    <w:rsid w:val="00D34BD8"/>
    <w:rsid w:val="00D379C8"/>
    <w:rsid w:val="00D471DA"/>
    <w:rsid w:val="00D519E4"/>
    <w:rsid w:val="00D877F1"/>
    <w:rsid w:val="00DD46E0"/>
    <w:rsid w:val="00DE57F8"/>
    <w:rsid w:val="00DF0E7D"/>
    <w:rsid w:val="00E2361B"/>
    <w:rsid w:val="00E47CF5"/>
    <w:rsid w:val="00E57D00"/>
    <w:rsid w:val="00E61899"/>
    <w:rsid w:val="00E631E3"/>
    <w:rsid w:val="00E64075"/>
    <w:rsid w:val="00E7370E"/>
    <w:rsid w:val="00E7739A"/>
    <w:rsid w:val="00E82E9B"/>
    <w:rsid w:val="00EA16BB"/>
    <w:rsid w:val="00ED0DA8"/>
    <w:rsid w:val="00ED20CA"/>
    <w:rsid w:val="00ED3FB6"/>
    <w:rsid w:val="00F073BB"/>
    <w:rsid w:val="00F342E0"/>
    <w:rsid w:val="00F407FF"/>
    <w:rsid w:val="00F41062"/>
    <w:rsid w:val="00F52B0A"/>
    <w:rsid w:val="00F74B31"/>
    <w:rsid w:val="00F764A3"/>
    <w:rsid w:val="00F958F8"/>
    <w:rsid w:val="00FB2BD7"/>
    <w:rsid w:val="00FB7C3A"/>
    <w:rsid w:val="00FD2AC6"/>
    <w:rsid w:val="00FD4F06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AAD9AF4-36C1-4C27-A223-D9CE4BC8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D2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720D9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C720D9"/>
    <w:rPr>
      <w:color w:val="0000FF"/>
      <w:u w:val="single"/>
    </w:rPr>
  </w:style>
  <w:style w:type="character" w:customStyle="1" w:styleId="css-gen2">
    <w:name w:val="css-gen2"/>
    <w:basedOn w:val="Domylnaczcionkaakapitu"/>
    <w:rsid w:val="004B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541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Madź</dc:creator>
  <cp:lastModifiedBy>Adrian Kuliński</cp:lastModifiedBy>
  <cp:revision>3</cp:revision>
  <dcterms:created xsi:type="dcterms:W3CDTF">2016-03-08T19:55:00Z</dcterms:created>
  <dcterms:modified xsi:type="dcterms:W3CDTF">2016-04-07T14:56:00Z</dcterms:modified>
</cp:coreProperties>
</file>