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3CBC1">
      <w:pPr>
        <w:jc w:val="center"/>
        <w:rPr>
          <w:rFonts w:hint="eastAsia"/>
          <w:b/>
          <w:color w:val="1A365D"/>
          <w:sz w:val="48"/>
          <w:lang w:val="en-US" w:eastAsia="zh-CN"/>
        </w:rPr>
      </w:pPr>
    </w:p>
    <w:p w14:paraId="5AF451B7">
      <w:pPr>
        <w:jc w:val="center"/>
        <w:rPr>
          <w:rFonts w:hint="eastAsia"/>
          <w:b/>
          <w:color w:val="1A365D"/>
          <w:sz w:val="48"/>
          <w:lang w:val="en-US" w:eastAsia="zh-CN"/>
        </w:rPr>
      </w:pPr>
    </w:p>
    <w:p w14:paraId="46EEE826">
      <w:pPr>
        <w:jc w:val="center"/>
        <w:rPr>
          <w:rFonts w:hint="eastAsia"/>
          <w:b/>
          <w:color w:val="1A365D"/>
          <w:sz w:val="48"/>
          <w:lang w:val="en-US" w:eastAsia="zh-CN"/>
        </w:rPr>
      </w:pPr>
    </w:p>
    <w:p w14:paraId="38DF9FAD">
      <w:pPr>
        <w:jc w:val="center"/>
        <w:rPr>
          <w:rFonts w:hint="default"/>
          <w:b/>
          <w:color w:val="1A365D"/>
          <w:sz w:val="48"/>
          <w:lang w:val="en-US"/>
        </w:rPr>
      </w:pPr>
      <w:r>
        <w:rPr>
          <w:rFonts w:hint="eastAsia"/>
          <w:b/>
          <w:color w:val="1A365D"/>
          <w:sz w:val="48"/>
          <w:lang w:val="en-US" w:eastAsia="zh-CN"/>
        </w:rPr>
        <w:t>模式识别（公选课）——</w:t>
      </w:r>
    </w:p>
    <w:p w14:paraId="1F3AB147">
      <w:pPr>
        <w:jc w:val="center"/>
      </w:pPr>
      <w:r>
        <w:rPr>
          <w:b/>
          <w:color w:val="1A365D"/>
          <w:sz w:val="48"/>
        </w:rPr>
        <w:t>基于机器学习算法的</w:t>
      </w:r>
      <w:r>
        <w:rPr>
          <w:b/>
          <w:color w:val="1A365D"/>
          <w:sz w:val="48"/>
        </w:rPr>
        <w:br w:type="textWrapping"/>
      </w:r>
      <w:r>
        <w:rPr>
          <w:b/>
          <w:color w:val="1A365D"/>
          <w:sz w:val="48"/>
        </w:rPr>
        <w:t>心脏病风险预测研究报告</w:t>
      </w:r>
    </w:p>
    <w:p w14:paraId="51BB2DF0">
      <w:pPr>
        <w:spacing w:after="2400"/>
        <w:jc w:val="center"/>
      </w:pPr>
      <w:r>
        <w:rPr>
          <w:color w:val="4A5568"/>
          <w:sz w:val="28"/>
        </w:rPr>
        <w:t>Comparative Study on Machine Learning Algorithms for Heart Disease Risk Prediction</w:t>
      </w:r>
    </w:p>
    <w:tbl>
      <w:tblPr>
        <w:tblStyle w:val="32"/>
        <w:tblW w:w="0" w:type="auto"/>
        <w:jc w:val="center"/>
        <w:tblLayout w:type="autofit"/>
        <w:tblCellMar>
          <w:top w:w="0" w:type="dxa"/>
          <w:left w:w="108" w:type="dxa"/>
          <w:bottom w:w="0" w:type="dxa"/>
          <w:right w:w="108" w:type="dxa"/>
        </w:tblCellMar>
      </w:tblPr>
      <w:tblGrid>
        <w:gridCol w:w="2880"/>
        <w:gridCol w:w="5760"/>
      </w:tblGrid>
      <w:tr w14:paraId="5277DA4A">
        <w:tblPrEx>
          <w:tblCellMar>
            <w:top w:w="0" w:type="dxa"/>
            <w:left w:w="108" w:type="dxa"/>
            <w:bottom w:w="0" w:type="dxa"/>
            <w:right w:w="108" w:type="dxa"/>
          </w:tblCellMar>
        </w:tblPrEx>
        <w:trPr>
          <w:jc w:val="center"/>
        </w:trPr>
        <w:tc>
          <w:tcPr>
            <w:tcW w:w="2880" w:type="dxa"/>
          </w:tcPr>
          <w:p w14:paraId="02AA7F7F">
            <w:pPr>
              <w:jc w:val="right"/>
            </w:pPr>
            <w:r>
              <w:rPr>
                <w:b/>
                <w:sz w:val="24"/>
              </w:rPr>
              <w:t>课程名称：</w:t>
            </w:r>
          </w:p>
        </w:tc>
        <w:tc>
          <w:tcPr>
            <w:tcW w:w="5760" w:type="dxa"/>
            <w:tcBorders>
              <w:bottom w:val="single" w:color="718096" w:sz="6" w:space="0"/>
            </w:tcBorders>
          </w:tcPr>
          <w:p w14:paraId="6C28A3DD">
            <w:pPr>
              <w:rPr>
                <w:rFonts w:hint="default" w:eastAsia="宋体"/>
                <w:lang w:val="en-US" w:eastAsia="zh-CN"/>
              </w:rPr>
            </w:pPr>
            <w:r>
              <w:rPr>
                <w:rFonts w:hint="eastAsia" w:eastAsia="宋体"/>
                <w:lang w:val="en-US" w:eastAsia="zh-CN"/>
              </w:rPr>
              <w:t>模式识别（公选课）</w:t>
            </w:r>
          </w:p>
        </w:tc>
      </w:tr>
      <w:tr w14:paraId="4724E04B">
        <w:tblPrEx>
          <w:tblCellMar>
            <w:top w:w="0" w:type="dxa"/>
            <w:left w:w="108" w:type="dxa"/>
            <w:bottom w:w="0" w:type="dxa"/>
            <w:right w:w="108" w:type="dxa"/>
          </w:tblCellMar>
        </w:tblPrEx>
        <w:trPr>
          <w:jc w:val="center"/>
        </w:trPr>
        <w:tc>
          <w:tcPr>
            <w:tcW w:w="2880" w:type="dxa"/>
          </w:tcPr>
          <w:p w14:paraId="1B010816">
            <w:pPr>
              <w:jc w:val="right"/>
            </w:pPr>
            <w:r>
              <w:rPr>
                <w:b/>
                <w:sz w:val="24"/>
              </w:rPr>
              <w:t>课题方向：</w:t>
            </w:r>
          </w:p>
        </w:tc>
        <w:tc>
          <w:tcPr>
            <w:tcW w:w="5760" w:type="dxa"/>
            <w:tcBorders>
              <w:bottom w:val="single" w:color="718096" w:sz="6" w:space="0"/>
            </w:tcBorders>
          </w:tcPr>
          <w:p w14:paraId="207B51D1">
            <w:r>
              <w:rPr>
                <w:sz w:val="24"/>
              </w:rPr>
              <w:t>医疗健康数据分析（基于Kaggle数据集）</w:t>
            </w:r>
          </w:p>
        </w:tc>
      </w:tr>
      <w:tr w14:paraId="29F1BFC0">
        <w:tblPrEx>
          <w:tblCellMar>
            <w:top w:w="0" w:type="dxa"/>
            <w:left w:w="108" w:type="dxa"/>
            <w:bottom w:w="0" w:type="dxa"/>
            <w:right w:w="108" w:type="dxa"/>
          </w:tblCellMar>
        </w:tblPrEx>
        <w:trPr>
          <w:jc w:val="center"/>
        </w:trPr>
        <w:tc>
          <w:tcPr>
            <w:tcW w:w="2880" w:type="dxa"/>
          </w:tcPr>
          <w:p w14:paraId="2B9793A9">
            <w:pPr>
              <w:jc w:val="right"/>
            </w:pPr>
            <w:r>
              <w:rPr>
                <w:b/>
                <w:sz w:val="24"/>
              </w:rPr>
              <w:t>学生姓名：</w:t>
            </w:r>
          </w:p>
        </w:tc>
        <w:tc>
          <w:tcPr>
            <w:tcW w:w="5760" w:type="dxa"/>
            <w:tcBorders>
              <w:bottom w:val="single" w:color="718096" w:sz="6" w:space="0"/>
            </w:tcBorders>
          </w:tcPr>
          <w:p w14:paraId="24A17054">
            <w:r>
              <w:rPr>
                <w:sz w:val="24"/>
              </w:rPr>
              <w:t>陈增</w:t>
            </w:r>
          </w:p>
        </w:tc>
      </w:tr>
      <w:tr w14:paraId="1FE5C4AC">
        <w:tblPrEx>
          <w:tblCellMar>
            <w:top w:w="0" w:type="dxa"/>
            <w:left w:w="108" w:type="dxa"/>
            <w:bottom w:w="0" w:type="dxa"/>
            <w:right w:w="108" w:type="dxa"/>
          </w:tblCellMar>
        </w:tblPrEx>
        <w:trPr>
          <w:jc w:val="center"/>
        </w:trPr>
        <w:tc>
          <w:tcPr>
            <w:tcW w:w="2880" w:type="dxa"/>
          </w:tcPr>
          <w:p w14:paraId="45E8DA20">
            <w:pPr>
              <w:jc w:val="right"/>
            </w:pPr>
            <w:r>
              <w:rPr>
                <w:b/>
                <w:sz w:val="24"/>
              </w:rPr>
              <w:t>学       号：</w:t>
            </w:r>
          </w:p>
        </w:tc>
        <w:tc>
          <w:tcPr>
            <w:tcW w:w="5760" w:type="dxa"/>
            <w:tcBorders>
              <w:bottom w:val="single" w:color="718096" w:sz="6" w:space="0"/>
            </w:tcBorders>
          </w:tcPr>
          <w:p w14:paraId="1173592E">
            <w:r>
              <w:rPr>
                <w:sz w:val="24"/>
              </w:rPr>
              <w:t>U202211671</w:t>
            </w:r>
          </w:p>
        </w:tc>
      </w:tr>
      <w:tr w14:paraId="049118B1">
        <w:tblPrEx>
          <w:tblCellMar>
            <w:top w:w="0" w:type="dxa"/>
            <w:left w:w="108" w:type="dxa"/>
            <w:bottom w:w="0" w:type="dxa"/>
            <w:right w:w="108" w:type="dxa"/>
          </w:tblCellMar>
        </w:tblPrEx>
        <w:trPr>
          <w:jc w:val="center"/>
        </w:trPr>
        <w:tc>
          <w:tcPr>
            <w:tcW w:w="2880" w:type="dxa"/>
          </w:tcPr>
          <w:p w14:paraId="1E3BD368">
            <w:pPr>
              <w:jc w:val="right"/>
            </w:pPr>
            <w:r>
              <w:rPr>
                <w:b/>
                <w:sz w:val="24"/>
              </w:rPr>
              <w:t>提交日期：</w:t>
            </w:r>
          </w:p>
        </w:tc>
        <w:tc>
          <w:tcPr>
            <w:tcW w:w="5760" w:type="dxa"/>
            <w:tcBorders>
              <w:bottom w:val="single" w:color="718096" w:sz="6" w:space="0"/>
            </w:tcBorders>
          </w:tcPr>
          <w:p w14:paraId="0BDBB886">
            <w:r>
              <w:rPr>
                <w:sz w:val="24"/>
              </w:rPr>
              <w:t>2026年5月</w:t>
            </w:r>
          </w:p>
        </w:tc>
      </w:tr>
    </w:tbl>
    <w:p w14:paraId="5DBB1F1C">
      <w:r>
        <w:br w:type="page"/>
      </w:r>
    </w:p>
    <w:p w14:paraId="6C38AAE8">
      <w:pPr>
        <w:keepNext/>
        <w:spacing w:before="280" w:after="80"/>
      </w:pPr>
      <w:r>
        <w:rPr>
          <w:b/>
          <w:color w:val="1A365D"/>
          <w:sz w:val="32"/>
        </w:rPr>
        <w:t>摘 要</w:t>
      </w:r>
    </w:p>
    <w:p w14:paraId="12FCB2CD">
      <w:pPr>
        <w:ind w:firstLine="440"/>
      </w:pPr>
      <w:r>
        <w:t>心血管疾病是目前全球范围内致死率最高的慢性疾病之一，早期筛查与风险预测对降低临床死亡率具有至关重要的战略意义。本文基于Kaggle平台托管的经典心脏病数据集（Heart Disease Dataset，包含303例临床样本、13个核心生理特征），提出了一套完整的数据挖掘与机器学习预测工作流。首先，通过探索性数据分析（EDA）深入挖掘了胸痛类型（cp）、最大心率（thalach）等核心指标与心脏病发生率的统计相关性。随后，对数据进行了缺失值校验、分类变量独热编码以及连续变量的Z-score标准化处理。在此基础上，本文构建、迭代并横向对比了三种不同数学架构的模型：逻辑回归（Logistic Regression）、支持向量机（SVM，采用RBF核）与随机森林（Random Forest）。</w:t>
      </w:r>
    </w:p>
    <w:p w14:paraId="39CAF9BC">
      <w:pPr>
        <w:ind w:firstLine="440"/>
      </w:pPr>
      <w:r>
        <w:t>实验结果表明：三款模型均表现出了优异的分类性能。在经过优化的测试集评估中，支持向量机（SVM）模型取得了高水平的综合准确率（92.68%）和F1-Score（0.9300）；逻辑回归模型在计算效率与模型解释性上表现卓越，其准确率为80.98%；而随机森林模型由于完美拟合了特征空间的规则，在当前的数据划分下达到了100.00%的测试准确率。针对医疗预测这一特殊场景，本文重点评估了各模型的“召回率（Recall）”，其中逻辑回归和支持向量机分别达到了91.43%和94.29%的高召回率，能最大程度避免临床漏诊。本研究不仅完整复现了Kaggle机器学习竞赛项目的规范研发流程，其定量分析结果也为计算机辅助临床医疗诊断系统提供了可靠的算法基石。</w:t>
      </w:r>
    </w:p>
    <w:p w14:paraId="11616228">
      <w:r>
        <w:rPr>
          <w:b/>
        </w:rPr>
        <w:t>关键词：</w:t>
      </w:r>
      <w:r>
        <w:t>Kaggle数据集；机器学习；心脏病预测；逻辑回归；支持向量机；随机森林</w:t>
      </w:r>
    </w:p>
    <w:p w14:paraId="2F6CD2FA">
      <w:pPr>
        <w:keepNext/>
        <w:spacing w:before="280" w:after="80"/>
      </w:pPr>
      <w:r>
        <w:rPr>
          <w:b/>
          <w:color w:val="1A365D"/>
          <w:sz w:val="32"/>
        </w:rPr>
        <w:t>3. 背景和待解决的问题</w:t>
      </w:r>
    </w:p>
    <w:p w14:paraId="06D9DF46">
      <w:pPr>
        <w:keepNext/>
        <w:spacing w:before="280" w:after="80"/>
      </w:pPr>
      <w:r>
        <w:rPr>
          <w:b/>
          <w:color w:val="2B6CB0"/>
          <w:sz w:val="26"/>
        </w:rPr>
        <w:t>3.1 研究背景与实际应用价值</w:t>
      </w:r>
    </w:p>
    <w:p w14:paraId="1C62C654">
      <w:pPr>
        <w:ind w:firstLine="440"/>
      </w:pPr>
      <w:r>
        <w:t>世界卫生组织（WHO）发布的报告显示，心血管疾病（CVDs）高居全球死因首位，每年夺走约1790万条生命。传统的临床诊断高度依赖于高成本的影像学检查（如冠状动脉造影）以及医生的主观临床经验，这导致在基础医疗资源匮乏的地区，许多患者错过了最佳的干预窗口期。随着电子健康档案（EHR）的普及，利用高通量、多维度的常规临床指标，借助计算机算法实现无创、快速且低成本的心脏病风险自动化筛查，已成为智慧医疗和精准医学领域的核心研究方向之一。</w:t>
      </w:r>
    </w:p>
    <w:p w14:paraId="60A5EFF3">
      <w:pPr>
        <w:keepNext/>
        <w:spacing w:before="280" w:after="80"/>
      </w:pPr>
      <w:r>
        <w:rPr>
          <w:b/>
          <w:color w:val="2B6CB0"/>
          <w:sz w:val="26"/>
        </w:rPr>
        <w:t>3.2 待解决的科学与工程问题</w:t>
      </w:r>
    </w:p>
    <w:p w14:paraId="01A368B5">
      <w:pPr>
        <w:ind w:firstLine="440"/>
      </w:pPr>
      <w:r>
        <w:t>虽然利用机器学习进行医学辅助诊断已取得了一定进展，但在实际工程落地中仍面临以下关键技术挑战：</w:t>
      </w:r>
      <w:r>
        <w:br w:type="textWrapping"/>
      </w:r>
      <w:r>
        <w:t>1. 临床特征的多模态与量纲异质性：数据集中特征需要合理的标准化处理，否则会直接影响距离敏感型算法的收敛速度。</w:t>
      </w:r>
      <w:r>
        <w:br w:type="textWrapping"/>
      </w:r>
      <w:r>
        <w:t>2. 医疗决策中的非对称代价损失（漏诊 vs 误诊）：临床上，“漏诊”（将心脏病患者误判为健康，即假阴性FN）的代价是病情的极度恶化甚至生命危险；而“误诊”的代价仅为后续的复查。因此，如何在保证准确率的同时，最大化提升召回率（Recall），是本课题亟待解决的工程问题。</w:t>
      </w:r>
    </w:p>
    <w:p w14:paraId="7C0AB9C4">
      <w:pPr>
        <w:keepNext/>
        <w:spacing w:before="280" w:after="80"/>
      </w:pPr>
      <w:r>
        <w:rPr>
          <w:b/>
          <w:color w:val="1A365D"/>
          <w:sz w:val="32"/>
        </w:rPr>
        <w:t>4. 探索性数据分析 (EDA)</w:t>
      </w:r>
    </w:p>
    <w:p w14:paraId="1BBF4685">
      <w:pPr>
        <w:ind w:firstLine="440"/>
      </w:pPr>
      <w:r>
        <w:t>在开展模型训练前，必须对数据集的统计特性进行全方位的审视。本节采用定量统计与可视化方法，对Kaggle平台托管的经典心脏病数据集的特征分布、标签平衡性及变量相关性进行深度剖析。通过热力图发现，胸痛类型（cp）和最大心率（thalach）与心脏病呈现强正相关，而主要血管数量（ca）则呈现强负相关。</w:t>
      </w:r>
    </w:p>
    <w:p w14:paraId="4C823F89">
      <w:pPr>
        <w:ind w:firstLine="440"/>
        <w:jc w:val="center"/>
      </w:pPr>
      <w:r>
        <w:drawing>
          <wp:inline distT="0" distB="0" distL="114300" distR="114300">
            <wp:extent cx="4819650" cy="3841115"/>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819650" cy="3841115"/>
                    </a:xfrm>
                    <a:prstGeom prst="rect">
                      <a:avLst/>
                    </a:prstGeom>
                    <a:noFill/>
                    <a:ln>
                      <a:noFill/>
                    </a:ln>
                  </pic:spPr>
                </pic:pic>
              </a:graphicData>
            </a:graphic>
          </wp:inline>
        </w:drawing>
      </w:r>
    </w:p>
    <w:p w14:paraId="099DF5F6">
      <w:pPr>
        <w:jc w:val="center"/>
      </w:pPr>
      <w:r>
        <w:rPr>
          <w:b/>
          <w:sz w:val="20"/>
        </w:rPr>
        <w:t>图 4-1：基于皮尔逊相关系数的心脏病生理特征相关性热力图 (Feature Correlation Matrix)</w:t>
      </w:r>
    </w:p>
    <w:p w14:paraId="4E9DA560">
      <w:pPr>
        <w:keepNext/>
        <w:spacing w:before="280" w:after="80"/>
      </w:pPr>
      <w:r>
        <w:rPr>
          <w:b/>
          <w:color w:val="1A365D"/>
          <w:sz w:val="32"/>
        </w:rPr>
        <w:t>5. 数据预处理和特征选择</w:t>
      </w:r>
    </w:p>
    <w:p w14:paraId="3B4FEED3">
      <w:pPr>
        <w:ind w:firstLine="440"/>
      </w:pPr>
      <w:r>
        <w:t>为了消除量纲对梯度下降速度及距离计算的扭曲，本文设计了严格的数据清洗与特征转换管道（Pipeline）：首先对离散变量应用了独热编码（One-Hot Encoding），随后对连续变量应用了Z-score标准化处理。采用分层抽样（Stratified Sampling）按 80% 训练集、20% 测试集的比例进行切分，确保样本标签分布一致。</w:t>
      </w:r>
    </w:p>
    <w:p w14:paraId="7DBC15D1">
      <w:pPr>
        <w:keepNext/>
        <w:numPr>
          <w:ilvl w:val="0"/>
          <w:numId w:val="7"/>
        </w:numPr>
        <w:spacing w:before="280" w:after="80"/>
        <w:rPr>
          <w:b/>
          <w:color w:val="1A365D"/>
          <w:sz w:val="32"/>
        </w:rPr>
      </w:pPr>
      <w:r>
        <w:rPr>
          <w:b/>
          <w:color w:val="1A365D"/>
          <w:sz w:val="32"/>
        </w:rPr>
        <w:t>机器学习模型迭代与构建</w:t>
      </w:r>
    </w:p>
    <w:p w14:paraId="51CA8C93">
      <w:pPr>
        <w:keepNext/>
        <w:numPr>
          <w:ilvl w:val="0"/>
          <w:numId w:val="0"/>
        </w:numPr>
        <w:spacing w:before="180" w:after="60"/>
        <w:rPr>
          <w:rFonts w:hint="eastAsia" w:ascii="宋体" w:hAnsi="宋体" w:eastAsia="宋体"/>
          <w:b/>
          <w:color w:val="1A365D"/>
          <w:sz w:val="22"/>
          <w:szCs w:val="22"/>
          <w:lang w:val="en-US" w:eastAsia="zh-CN"/>
        </w:rPr>
      </w:pPr>
      <w:r>
        <w:rPr>
          <w:rFonts w:hint="eastAsia" w:ascii="宋体" w:hAnsi="宋体" w:eastAsia="宋体"/>
          <w:b/>
          <w:color w:val="1A365D"/>
          <w:sz w:val="22"/>
          <w:szCs w:val="22"/>
          <w:lang w:val="en-US" w:eastAsia="zh-CN"/>
        </w:rPr>
        <w:t>模型构建采用python中的sklearn库</w:t>
      </w:r>
    </w:p>
    <w:p w14:paraId="65C0C414">
      <w:pPr>
        <w:keepNext/>
        <w:numPr>
          <w:ilvl w:val="0"/>
          <w:numId w:val="0"/>
        </w:numPr>
        <w:spacing w:before="180" w:after="60"/>
      </w:pPr>
      <w:r>
        <w:drawing>
          <wp:inline distT="0" distB="0" distL="114300" distR="114300">
            <wp:extent cx="5941060" cy="832485"/>
            <wp:effectExtent l="0" t="0" r="254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941060" cy="832485"/>
                    </a:xfrm>
                    <a:prstGeom prst="rect">
                      <a:avLst/>
                    </a:prstGeom>
                    <a:noFill/>
                    <a:ln>
                      <a:noFill/>
                    </a:ln>
                  </pic:spPr>
                </pic:pic>
              </a:graphicData>
            </a:graphic>
          </wp:inline>
        </w:drawing>
      </w:r>
    </w:p>
    <w:p w14:paraId="128F39EB">
      <w:pPr>
        <w:keepNext/>
        <w:numPr>
          <w:ilvl w:val="0"/>
          <w:numId w:val="0"/>
        </w:numPr>
        <w:spacing w:before="180" w:after="60"/>
        <w:jc w:val="center"/>
        <w:rPr>
          <w:rFonts w:hint="default" w:eastAsia="宋体"/>
          <w:lang w:val="en-US" w:eastAsia="zh-CN"/>
        </w:rPr>
      </w:pPr>
      <w:r>
        <w:rPr>
          <w:b/>
          <w:sz w:val="20"/>
        </w:rPr>
        <w:t>图 6-1：</w:t>
      </w:r>
      <w:r>
        <w:rPr>
          <w:rFonts w:hint="eastAsia" w:eastAsia="宋体"/>
          <w:b/>
          <w:sz w:val="20"/>
          <w:lang w:val="en-US" w:eastAsia="zh-CN"/>
        </w:rPr>
        <w:t>导入必要的库</w:t>
      </w:r>
    </w:p>
    <w:p w14:paraId="3BADB73F">
      <w:pPr>
        <w:keepNext/>
        <w:numPr>
          <w:ilvl w:val="0"/>
          <w:numId w:val="0"/>
        </w:numPr>
        <w:spacing w:before="180" w:after="60"/>
      </w:pPr>
      <w:r>
        <w:drawing>
          <wp:inline distT="0" distB="0" distL="114300" distR="114300">
            <wp:extent cx="5939790" cy="3319780"/>
            <wp:effectExtent l="0" t="0" r="381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939790" cy="3319780"/>
                    </a:xfrm>
                    <a:prstGeom prst="rect">
                      <a:avLst/>
                    </a:prstGeom>
                    <a:noFill/>
                    <a:ln>
                      <a:noFill/>
                    </a:ln>
                  </pic:spPr>
                </pic:pic>
              </a:graphicData>
            </a:graphic>
          </wp:inline>
        </w:drawing>
      </w:r>
    </w:p>
    <w:p w14:paraId="1FF15870">
      <w:pPr>
        <w:keepNext/>
        <w:numPr>
          <w:ilvl w:val="0"/>
          <w:numId w:val="0"/>
        </w:numPr>
        <w:spacing w:before="180" w:after="60"/>
        <w:jc w:val="center"/>
        <w:rPr>
          <w:rFonts w:hint="eastAsia"/>
          <w:lang w:val="en-US" w:eastAsia="zh-CN"/>
        </w:rPr>
      </w:pPr>
      <w:r>
        <w:rPr>
          <w:b/>
          <w:sz w:val="20"/>
        </w:rPr>
        <w:t>图 6-</w:t>
      </w:r>
      <w:r>
        <w:rPr>
          <w:rFonts w:hint="eastAsia" w:eastAsia="宋体"/>
          <w:b/>
          <w:sz w:val="20"/>
          <w:lang w:val="en-US" w:eastAsia="zh-CN"/>
        </w:rPr>
        <w:t>2</w:t>
      </w:r>
      <w:r>
        <w:rPr>
          <w:b/>
          <w:sz w:val="20"/>
        </w:rPr>
        <w:t>：</w:t>
      </w:r>
      <w:r>
        <w:rPr>
          <w:rFonts w:hint="eastAsia" w:eastAsia="宋体"/>
          <w:b/>
          <w:sz w:val="20"/>
          <w:lang w:val="en-US" w:eastAsia="zh-CN"/>
        </w:rPr>
        <w:t>构建模型类</w:t>
      </w:r>
    </w:p>
    <w:p w14:paraId="5046BF98">
      <w:pPr>
        <w:keepNext/>
        <w:spacing w:before="280" w:after="80"/>
      </w:pPr>
      <w:r>
        <w:rPr>
          <w:b/>
          <w:color w:val="2B6CB0"/>
          <w:sz w:val="26"/>
        </w:rPr>
        <w:t>6.1 模型一：逻辑回归 (Logistic Regression)</w:t>
      </w:r>
    </w:p>
    <w:p w14:paraId="50C98275">
      <w:pPr>
        <w:ind w:firstLine="440"/>
      </w:pPr>
      <w:r>
        <w:t>逻辑回归作为广义线性模型，通过Sigmoid函数将特征的线性组合映射至(0, 1)区间。在当前测试集划分下，逻辑回归模型取得了 80.98% 的准确率，其针对患病样本的召回率（Recall）达到了 91.43%，展示出优秀的临床初筛潜力。</w:t>
      </w:r>
    </w:p>
    <w:p w14:paraId="533CE180">
      <w:pPr>
        <w:jc w:val="center"/>
      </w:pPr>
      <w:r>
        <w:drawing>
          <wp:inline distT="0" distB="0" distL="114300" distR="114300">
            <wp:extent cx="5935980" cy="859790"/>
            <wp:effectExtent l="0" t="0" r="7620"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935980" cy="859790"/>
                    </a:xfrm>
                    <a:prstGeom prst="rect">
                      <a:avLst/>
                    </a:prstGeom>
                    <a:noFill/>
                    <a:ln>
                      <a:noFill/>
                    </a:ln>
                  </pic:spPr>
                </pic:pic>
              </a:graphicData>
            </a:graphic>
          </wp:inline>
        </w:drawing>
      </w:r>
    </w:p>
    <w:p w14:paraId="4BF765E0">
      <w:pPr>
        <w:jc w:val="center"/>
      </w:pPr>
      <w:r>
        <w:drawing>
          <wp:inline distT="0" distB="0" distL="114300" distR="114300">
            <wp:extent cx="5353050" cy="27622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353050" cy="2762250"/>
                    </a:xfrm>
                    <a:prstGeom prst="rect">
                      <a:avLst/>
                    </a:prstGeom>
                    <a:noFill/>
                    <a:ln>
                      <a:noFill/>
                    </a:ln>
                  </pic:spPr>
                </pic:pic>
              </a:graphicData>
            </a:graphic>
          </wp:inline>
        </w:drawing>
      </w:r>
    </w:p>
    <w:p w14:paraId="17535287">
      <w:pPr>
        <w:keepNext/>
        <w:numPr>
          <w:ilvl w:val="0"/>
          <w:numId w:val="0"/>
        </w:numPr>
        <w:spacing w:before="180" w:after="60"/>
        <w:jc w:val="center"/>
        <w:rPr>
          <w:rFonts w:hint="default"/>
          <w:lang w:val="en-US" w:eastAsia="zh-CN"/>
        </w:rPr>
      </w:pPr>
      <w:r>
        <w:rPr>
          <w:b/>
          <w:sz w:val="20"/>
        </w:rPr>
        <w:t>图 6-</w:t>
      </w:r>
      <w:r>
        <w:rPr>
          <w:rFonts w:hint="eastAsia" w:eastAsia="宋体"/>
          <w:b/>
          <w:sz w:val="20"/>
          <w:lang w:val="en-US" w:eastAsia="zh-CN"/>
        </w:rPr>
        <w:t>3</w:t>
      </w:r>
      <w:r>
        <w:rPr>
          <w:b/>
          <w:sz w:val="20"/>
        </w:rPr>
        <w:t>：</w:t>
      </w:r>
      <w:r>
        <w:rPr>
          <w:rFonts w:hint="eastAsia" w:eastAsia="宋体"/>
          <w:b/>
          <w:sz w:val="20"/>
          <w:lang w:val="en-US" w:eastAsia="zh-CN"/>
        </w:rPr>
        <w:t>构建逻辑回归模型并输出结果</w:t>
      </w:r>
    </w:p>
    <w:p w14:paraId="1235BC98">
      <w:pPr>
        <w:jc w:val="center"/>
      </w:pPr>
    </w:p>
    <w:p w14:paraId="35B39995">
      <w:pPr>
        <w:ind w:firstLine="440"/>
        <w:jc w:val="center"/>
      </w:pPr>
      <w:r>
        <w:drawing>
          <wp:inline distT="0" distB="0" distL="114300" distR="114300">
            <wp:extent cx="4143375" cy="37242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143375" cy="3724275"/>
                    </a:xfrm>
                    <a:prstGeom prst="rect">
                      <a:avLst/>
                    </a:prstGeom>
                    <a:noFill/>
                    <a:ln>
                      <a:noFill/>
                    </a:ln>
                  </pic:spPr>
                </pic:pic>
              </a:graphicData>
            </a:graphic>
          </wp:inline>
        </w:drawing>
      </w:r>
    </w:p>
    <w:p w14:paraId="46C28EF4">
      <w:pPr>
        <w:jc w:val="center"/>
        <w:rPr>
          <w:b/>
          <w:sz w:val="20"/>
        </w:rPr>
      </w:pPr>
      <w:r>
        <w:rPr>
          <w:b/>
          <w:sz w:val="20"/>
        </w:rPr>
        <w:t>图 6-</w:t>
      </w:r>
      <w:r>
        <w:rPr>
          <w:rFonts w:hint="eastAsia" w:eastAsia="宋体"/>
          <w:b/>
          <w:sz w:val="20"/>
          <w:lang w:val="en-US" w:eastAsia="zh-CN"/>
        </w:rPr>
        <w:t>4</w:t>
      </w:r>
      <w:r>
        <w:rPr>
          <w:b/>
          <w:sz w:val="20"/>
        </w:rPr>
        <w:t>：逻辑回归测试集分类混淆矩阵 (Logistic Regression Confusion Matrix)</w:t>
      </w:r>
    </w:p>
    <w:p w14:paraId="781FFE9C">
      <w:pPr>
        <w:jc w:val="center"/>
        <w:rPr>
          <w:b/>
          <w:sz w:val="20"/>
        </w:rPr>
      </w:pPr>
    </w:p>
    <w:p w14:paraId="5FBEFD54">
      <w:pPr>
        <w:keepNext/>
        <w:spacing w:before="280" w:after="80"/>
      </w:pPr>
      <w:r>
        <w:rPr>
          <w:b/>
          <w:color w:val="2B6CB0"/>
          <w:sz w:val="26"/>
        </w:rPr>
        <w:t>6.2 模型二：支持向量机 (Support Vector Machine)</w:t>
      </w:r>
    </w:p>
    <w:p w14:paraId="61685A52">
      <w:pPr>
        <w:ind w:firstLine="440"/>
      </w:pPr>
      <w:r>
        <w:t>支持向量机通过引入高斯径向基核函数（RBF Kernel），能够完美地处理特征空间的非线性划分。实验结果显示，SVM在测试集上表现极其卓越，准确率达到了 92.68%，且召回率（Recall）高达 94.29%，精确率达到 92.00%。</w:t>
      </w:r>
      <w:r>
        <w:drawing>
          <wp:inline distT="0" distB="0" distL="114300" distR="114300">
            <wp:extent cx="5935980" cy="95250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935980" cy="952500"/>
                    </a:xfrm>
                    <a:prstGeom prst="rect">
                      <a:avLst/>
                    </a:prstGeom>
                    <a:noFill/>
                    <a:ln>
                      <a:noFill/>
                    </a:ln>
                  </pic:spPr>
                </pic:pic>
              </a:graphicData>
            </a:graphic>
          </wp:inline>
        </w:drawing>
      </w:r>
    </w:p>
    <w:p w14:paraId="433F6D9E">
      <w:pPr>
        <w:ind w:firstLine="440"/>
        <w:jc w:val="center"/>
      </w:pPr>
      <w:r>
        <w:drawing>
          <wp:inline distT="0" distB="0" distL="114300" distR="114300">
            <wp:extent cx="4790440" cy="2369185"/>
            <wp:effectExtent l="0" t="0" r="1016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4790440" cy="2369185"/>
                    </a:xfrm>
                    <a:prstGeom prst="rect">
                      <a:avLst/>
                    </a:prstGeom>
                    <a:noFill/>
                    <a:ln>
                      <a:noFill/>
                    </a:ln>
                  </pic:spPr>
                </pic:pic>
              </a:graphicData>
            </a:graphic>
          </wp:inline>
        </w:drawing>
      </w:r>
    </w:p>
    <w:p w14:paraId="1EC3F380">
      <w:pPr>
        <w:keepNext/>
        <w:numPr>
          <w:ilvl w:val="0"/>
          <w:numId w:val="0"/>
        </w:numPr>
        <w:spacing w:before="180" w:after="60"/>
        <w:jc w:val="center"/>
      </w:pPr>
      <w:r>
        <w:rPr>
          <w:b/>
          <w:sz w:val="20"/>
        </w:rPr>
        <w:t>图 6-</w:t>
      </w:r>
      <w:r>
        <w:rPr>
          <w:rFonts w:hint="eastAsia" w:eastAsia="宋体"/>
          <w:b/>
          <w:sz w:val="20"/>
          <w:lang w:val="en-US" w:eastAsia="zh-CN"/>
        </w:rPr>
        <w:t>5</w:t>
      </w:r>
      <w:r>
        <w:rPr>
          <w:b/>
          <w:sz w:val="20"/>
        </w:rPr>
        <w:t>：</w:t>
      </w:r>
      <w:r>
        <w:rPr>
          <w:rFonts w:hint="eastAsia" w:eastAsia="宋体"/>
          <w:b/>
          <w:sz w:val="20"/>
          <w:lang w:val="en-US" w:eastAsia="zh-CN"/>
        </w:rPr>
        <w:t>构建支持向量机模型并输出结果</w:t>
      </w:r>
    </w:p>
    <w:p w14:paraId="7A4CD3B4">
      <w:pPr>
        <w:ind w:firstLine="440"/>
        <w:jc w:val="center"/>
      </w:pPr>
      <w:r>
        <w:drawing>
          <wp:inline distT="0" distB="0" distL="114300" distR="114300">
            <wp:extent cx="3261995" cy="2932430"/>
            <wp:effectExtent l="0" t="0" r="1460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3261995" cy="2932430"/>
                    </a:xfrm>
                    <a:prstGeom prst="rect">
                      <a:avLst/>
                    </a:prstGeom>
                    <a:noFill/>
                    <a:ln>
                      <a:noFill/>
                    </a:ln>
                  </pic:spPr>
                </pic:pic>
              </a:graphicData>
            </a:graphic>
          </wp:inline>
        </w:drawing>
      </w:r>
    </w:p>
    <w:p w14:paraId="1B9C2011">
      <w:pPr>
        <w:jc w:val="center"/>
      </w:pPr>
      <w:r>
        <w:rPr>
          <w:b/>
          <w:sz w:val="20"/>
        </w:rPr>
        <w:t>图 6-</w:t>
      </w:r>
      <w:r>
        <w:rPr>
          <w:rFonts w:hint="eastAsia" w:eastAsia="宋体"/>
          <w:b/>
          <w:sz w:val="20"/>
          <w:lang w:val="en-US" w:eastAsia="zh-CN"/>
        </w:rPr>
        <w:t>6</w:t>
      </w:r>
      <w:r>
        <w:rPr>
          <w:b/>
          <w:sz w:val="20"/>
        </w:rPr>
        <w:t>：支持向量机测试集分类混淆矩阵 (Support Vector Machine Confusion Matrix)</w:t>
      </w:r>
    </w:p>
    <w:p w14:paraId="0455423C">
      <w:pPr>
        <w:keepNext/>
        <w:spacing w:before="280" w:after="80"/>
      </w:pPr>
      <w:r>
        <w:rPr>
          <w:b/>
          <w:color w:val="2B6CB0"/>
          <w:sz w:val="26"/>
        </w:rPr>
        <w:t>6.3 模型三：随机森林 (Random Forest)</w:t>
      </w:r>
    </w:p>
    <w:p w14:paraId="5A2CCACB">
      <w:pPr>
        <w:ind w:firstLine="440"/>
      </w:pPr>
      <w:r>
        <w:t>随机森林利用多棵决策树的集成投票机制提供极强的分类边界。在此次特定的测试集上，随机森林跑出了 100.00% 的准确率、精确率和召回率。这一表现说明集成树模型对现有特征分布具有绝对的拟合能力，但在后续实际应用中需注意通过K折交叉验证防止过拟合风险。</w:t>
      </w:r>
    </w:p>
    <w:p w14:paraId="23E49E0C">
      <w:pPr>
        <w:ind w:firstLine="440"/>
        <w:jc w:val="center"/>
      </w:pPr>
      <w:r>
        <w:drawing>
          <wp:inline distT="0" distB="0" distL="114300" distR="114300">
            <wp:extent cx="5067935" cy="1719580"/>
            <wp:effectExtent l="0" t="0" r="18415"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067935" cy="1719580"/>
                    </a:xfrm>
                    <a:prstGeom prst="rect">
                      <a:avLst/>
                    </a:prstGeom>
                    <a:noFill/>
                    <a:ln>
                      <a:noFill/>
                    </a:ln>
                  </pic:spPr>
                </pic:pic>
              </a:graphicData>
            </a:graphic>
          </wp:inline>
        </w:drawing>
      </w:r>
    </w:p>
    <w:p w14:paraId="4ACE95FE">
      <w:pPr>
        <w:ind w:firstLine="440"/>
        <w:jc w:val="center"/>
      </w:pPr>
      <w:r>
        <w:drawing>
          <wp:inline distT="0" distB="0" distL="114300" distR="114300">
            <wp:extent cx="3726815" cy="1880870"/>
            <wp:effectExtent l="0" t="0" r="698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3726815" cy="1880870"/>
                    </a:xfrm>
                    <a:prstGeom prst="rect">
                      <a:avLst/>
                    </a:prstGeom>
                    <a:noFill/>
                    <a:ln>
                      <a:noFill/>
                    </a:ln>
                  </pic:spPr>
                </pic:pic>
              </a:graphicData>
            </a:graphic>
          </wp:inline>
        </w:drawing>
      </w:r>
    </w:p>
    <w:p w14:paraId="7DC2F829">
      <w:pPr>
        <w:keepNext/>
        <w:numPr>
          <w:ilvl w:val="0"/>
          <w:numId w:val="0"/>
        </w:numPr>
        <w:spacing w:before="180" w:after="60"/>
        <w:jc w:val="center"/>
      </w:pPr>
      <w:r>
        <w:rPr>
          <w:b/>
          <w:sz w:val="20"/>
        </w:rPr>
        <w:t>图 6-</w:t>
      </w:r>
      <w:r>
        <w:rPr>
          <w:rFonts w:hint="eastAsia" w:eastAsia="宋体"/>
          <w:b/>
          <w:sz w:val="20"/>
          <w:lang w:val="en-US" w:eastAsia="zh-CN"/>
        </w:rPr>
        <w:t>7</w:t>
      </w:r>
      <w:r>
        <w:rPr>
          <w:b/>
          <w:sz w:val="20"/>
        </w:rPr>
        <w:t>：</w:t>
      </w:r>
      <w:r>
        <w:rPr>
          <w:rFonts w:hint="eastAsia" w:eastAsia="宋体"/>
          <w:b/>
          <w:sz w:val="20"/>
          <w:lang w:val="en-US" w:eastAsia="zh-CN"/>
        </w:rPr>
        <w:t>构建随机森林模型并输出结果</w:t>
      </w:r>
    </w:p>
    <w:p w14:paraId="4B9EA43E">
      <w:pPr>
        <w:ind w:firstLine="440"/>
        <w:jc w:val="center"/>
      </w:pPr>
      <w:r>
        <w:drawing>
          <wp:inline distT="0" distB="0" distL="114300" distR="114300">
            <wp:extent cx="2875280" cy="2533015"/>
            <wp:effectExtent l="0" t="0" r="127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2875280" cy="2533015"/>
                    </a:xfrm>
                    <a:prstGeom prst="rect">
                      <a:avLst/>
                    </a:prstGeom>
                    <a:noFill/>
                    <a:ln>
                      <a:noFill/>
                    </a:ln>
                  </pic:spPr>
                </pic:pic>
              </a:graphicData>
            </a:graphic>
          </wp:inline>
        </w:drawing>
      </w:r>
    </w:p>
    <w:p w14:paraId="07A1ACE2">
      <w:pPr>
        <w:jc w:val="center"/>
      </w:pPr>
      <w:r>
        <w:rPr>
          <w:b/>
          <w:sz w:val="20"/>
        </w:rPr>
        <w:t>图 6-</w:t>
      </w:r>
      <w:r>
        <w:rPr>
          <w:rFonts w:hint="eastAsia" w:eastAsia="宋体"/>
          <w:b/>
          <w:sz w:val="20"/>
          <w:lang w:val="en-US" w:eastAsia="zh-CN"/>
        </w:rPr>
        <w:t>8</w:t>
      </w:r>
      <w:r>
        <w:rPr>
          <w:b/>
          <w:sz w:val="20"/>
        </w:rPr>
        <w:t>：随机森林测试集分类混淆矩阵 (Random Forest Confusion Matrix)</w:t>
      </w:r>
    </w:p>
    <w:p w14:paraId="5655CA09">
      <w:pPr>
        <w:keepNext/>
        <w:spacing w:before="280" w:after="80"/>
      </w:pPr>
      <w:r>
        <w:rPr>
          <w:b/>
          <w:color w:val="1A365D"/>
          <w:sz w:val="32"/>
        </w:rPr>
        <w:t>7. 不同模型的结果比较</w:t>
      </w:r>
    </w:p>
    <w:p w14:paraId="5229C952">
      <w:pPr>
        <w:ind w:firstLine="440"/>
      </w:pPr>
      <w:r>
        <w:t>根据代码的实际运行结果，本节将三个模型的性能指标进行定量横向对标，结果矩阵如表 7-1 所示：</w:t>
      </w:r>
      <w:bookmarkStart w:id="0" w:name="_GoBack"/>
      <w:bookmarkEnd w:id="0"/>
    </w:p>
    <w:tbl>
      <w:tblPr>
        <w:tblStyle w:val="32"/>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4884D39B">
        <w:tblPrEx>
          <w:tblCellMar>
            <w:top w:w="0" w:type="dxa"/>
            <w:left w:w="108" w:type="dxa"/>
            <w:bottom w:w="0" w:type="dxa"/>
            <w:right w:w="108" w:type="dxa"/>
          </w:tblCellMar>
        </w:tblPrEx>
        <w:trPr>
          <w:jc w:val="center"/>
        </w:trPr>
        <w:tc>
          <w:tcPr>
            <w:tcW w:w="1872" w:type="dxa"/>
            <w:shd w:val="clear" w:color="auto" w:fill="2B6CB0"/>
            <w:tcMar>
              <w:top w:w="100" w:type="dxa"/>
              <w:left w:w="150" w:type="dxa"/>
              <w:bottom w:w="100" w:type="dxa"/>
              <w:right w:w="150" w:type="dxa"/>
            </w:tcMar>
          </w:tcPr>
          <w:p w14:paraId="749235D3">
            <w:pPr>
              <w:jc w:val="center"/>
            </w:pPr>
            <w:r>
              <w:rPr>
                <w:b/>
                <w:color w:val="FFFFFF"/>
                <w:sz w:val="20"/>
              </w:rPr>
              <w:t>评估模型 (Model)</w:t>
            </w:r>
          </w:p>
        </w:tc>
        <w:tc>
          <w:tcPr>
            <w:tcW w:w="1872" w:type="dxa"/>
            <w:shd w:val="clear" w:color="auto" w:fill="2B6CB0"/>
            <w:tcMar>
              <w:top w:w="100" w:type="dxa"/>
              <w:left w:w="150" w:type="dxa"/>
              <w:bottom w:w="100" w:type="dxa"/>
              <w:right w:w="150" w:type="dxa"/>
            </w:tcMar>
          </w:tcPr>
          <w:p w14:paraId="52238E0E">
            <w:pPr>
              <w:jc w:val="center"/>
            </w:pPr>
            <w:r>
              <w:rPr>
                <w:b/>
                <w:color w:val="FFFFFF"/>
                <w:sz w:val="20"/>
              </w:rPr>
              <w:t>准确率 (Accuracy)</w:t>
            </w:r>
          </w:p>
        </w:tc>
        <w:tc>
          <w:tcPr>
            <w:tcW w:w="1872" w:type="dxa"/>
            <w:shd w:val="clear" w:color="auto" w:fill="2B6CB0"/>
            <w:tcMar>
              <w:top w:w="100" w:type="dxa"/>
              <w:left w:w="150" w:type="dxa"/>
              <w:bottom w:w="100" w:type="dxa"/>
              <w:right w:w="150" w:type="dxa"/>
            </w:tcMar>
          </w:tcPr>
          <w:p w14:paraId="773426B2">
            <w:pPr>
              <w:jc w:val="center"/>
            </w:pPr>
            <w:r>
              <w:rPr>
                <w:b/>
                <w:color w:val="FFFFFF"/>
                <w:sz w:val="20"/>
              </w:rPr>
              <w:t>精确率 (Precision)</w:t>
            </w:r>
          </w:p>
        </w:tc>
        <w:tc>
          <w:tcPr>
            <w:tcW w:w="1872" w:type="dxa"/>
            <w:shd w:val="clear" w:color="auto" w:fill="2B6CB0"/>
            <w:tcMar>
              <w:top w:w="100" w:type="dxa"/>
              <w:left w:w="150" w:type="dxa"/>
              <w:bottom w:w="100" w:type="dxa"/>
              <w:right w:w="150" w:type="dxa"/>
            </w:tcMar>
          </w:tcPr>
          <w:p w14:paraId="3ADC74AE">
            <w:pPr>
              <w:jc w:val="center"/>
            </w:pPr>
            <w:r>
              <w:rPr>
                <w:b/>
                <w:color w:val="FFFFFF"/>
                <w:sz w:val="20"/>
              </w:rPr>
              <w:t>召回率 (Recall)</w:t>
            </w:r>
          </w:p>
        </w:tc>
        <w:tc>
          <w:tcPr>
            <w:tcW w:w="1872" w:type="dxa"/>
            <w:shd w:val="clear" w:color="auto" w:fill="2B6CB0"/>
            <w:tcMar>
              <w:top w:w="100" w:type="dxa"/>
              <w:left w:w="150" w:type="dxa"/>
              <w:bottom w:w="100" w:type="dxa"/>
              <w:right w:w="150" w:type="dxa"/>
            </w:tcMar>
          </w:tcPr>
          <w:p w14:paraId="573F5563">
            <w:pPr>
              <w:jc w:val="center"/>
            </w:pPr>
            <w:r>
              <w:rPr>
                <w:b/>
                <w:color w:val="FFFFFF"/>
                <w:sz w:val="20"/>
              </w:rPr>
              <w:t>F1 分数 (F1-Score)</w:t>
            </w:r>
          </w:p>
        </w:tc>
      </w:tr>
      <w:tr w14:paraId="27951F1A">
        <w:tblPrEx>
          <w:tblCellMar>
            <w:top w:w="0" w:type="dxa"/>
            <w:left w:w="108" w:type="dxa"/>
            <w:bottom w:w="0" w:type="dxa"/>
            <w:right w:w="108" w:type="dxa"/>
          </w:tblCellMar>
        </w:tblPrEx>
        <w:trPr>
          <w:jc w:val="center"/>
        </w:trPr>
        <w:tc>
          <w:tcPr>
            <w:tcW w:w="1872" w:type="dxa"/>
            <w:tcMar>
              <w:top w:w="100" w:type="dxa"/>
              <w:left w:w="150" w:type="dxa"/>
              <w:bottom w:w="100" w:type="dxa"/>
              <w:right w:w="150" w:type="dxa"/>
            </w:tcMar>
          </w:tcPr>
          <w:p w14:paraId="50B1015F">
            <w:pPr>
              <w:jc w:val="center"/>
            </w:pPr>
            <w:r>
              <w:rPr>
                <w:sz w:val="20"/>
              </w:rPr>
              <w:t>逻辑回归 (Logistic Regression)</w:t>
            </w:r>
          </w:p>
        </w:tc>
        <w:tc>
          <w:tcPr>
            <w:tcW w:w="1872" w:type="dxa"/>
            <w:tcMar>
              <w:top w:w="100" w:type="dxa"/>
              <w:left w:w="150" w:type="dxa"/>
              <w:bottom w:w="100" w:type="dxa"/>
              <w:right w:w="150" w:type="dxa"/>
            </w:tcMar>
          </w:tcPr>
          <w:p w14:paraId="06BF5A9E">
            <w:pPr>
              <w:jc w:val="center"/>
            </w:pPr>
            <w:r>
              <w:rPr>
                <w:sz w:val="20"/>
              </w:rPr>
              <w:t>80.98%</w:t>
            </w:r>
          </w:p>
        </w:tc>
        <w:tc>
          <w:tcPr>
            <w:tcW w:w="1872" w:type="dxa"/>
            <w:tcMar>
              <w:top w:w="100" w:type="dxa"/>
              <w:left w:w="150" w:type="dxa"/>
              <w:bottom w:w="100" w:type="dxa"/>
              <w:right w:w="150" w:type="dxa"/>
            </w:tcMar>
          </w:tcPr>
          <w:p w14:paraId="0A4C69C8">
            <w:pPr>
              <w:jc w:val="center"/>
            </w:pPr>
            <w:r>
              <w:rPr>
                <w:sz w:val="20"/>
              </w:rPr>
              <w:t>76.00%</w:t>
            </w:r>
          </w:p>
        </w:tc>
        <w:tc>
          <w:tcPr>
            <w:tcW w:w="1872" w:type="dxa"/>
            <w:tcMar>
              <w:top w:w="100" w:type="dxa"/>
              <w:left w:w="150" w:type="dxa"/>
              <w:bottom w:w="100" w:type="dxa"/>
              <w:right w:w="150" w:type="dxa"/>
            </w:tcMar>
          </w:tcPr>
          <w:p w14:paraId="045696F7">
            <w:pPr>
              <w:jc w:val="center"/>
            </w:pPr>
            <w:r>
              <w:rPr>
                <w:sz w:val="20"/>
              </w:rPr>
              <w:t>91.43%</w:t>
            </w:r>
          </w:p>
        </w:tc>
        <w:tc>
          <w:tcPr>
            <w:tcW w:w="1872" w:type="dxa"/>
            <w:tcMar>
              <w:top w:w="100" w:type="dxa"/>
              <w:left w:w="150" w:type="dxa"/>
              <w:bottom w:w="100" w:type="dxa"/>
              <w:right w:w="150" w:type="dxa"/>
            </w:tcMar>
          </w:tcPr>
          <w:p w14:paraId="4017276D">
            <w:pPr>
              <w:jc w:val="center"/>
            </w:pPr>
            <w:r>
              <w:rPr>
                <w:sz w:val="20"/>
              </w:rPr>
              <w:t>0.8300</w:t>
            </w:r>
          </w:p>
        </w:tc>
      </w:tr>
      <w:tr w14:paraId="48E8A498">
        <w:tblPrEx>
          <w:tblCellMar>
            <w:top w:w="0" w:type="dxa"/>
            <w:left w:w="108" w:type="dxa"/>
            <w:bottom w:w="0" w:type="dxa"/>
            <w:right w:w="108" w:type="dxa"/>
          </w:tblCellMar>
        </w:tblPrEx>
        <w:trPr>
          <w:jc w:val="center"/>
        </w:trPr>
        <w:tc>
          <w:tcPr>
            <w:tcW w:w="1872" w:type="dxa"/>
            <w:shd w:val="clear" w:color="auto" w:fill="F7FAFC"/>
            <w:tcMar>
              <w:top w:w="100" w:type="dxa"/>
              <w:left w:w="150" w:type="dxa"/>
              <w:bottom w:w="100" w:type="dxa"/>
              <w:right w:w="150" w:type="dxa"/>
            </w:tcMar>
          </w:tcPr>
          <w:p w14:paraId="2B11E663">
            <w:pPr>
              <w:jc w:val="center"/>
            </w:pPr>
            <w:r>
              <w:rPr>
                <w:sz w:val="20"/>
              </w:rPr>
              <w:t>支持向量机 (SVM - RBF)</w:t>
            </w:r>
          </w:p>
        </w:tc>
        <w:tc>
          <w:tcPr>
            <w:tcW w:w="1872" w:type="dxa"/>
            <w:shd w:val="clear" w:color="auto" w:fill="F7FAFC"/>
            <w:tcMar>
              <w:top w:w="100" w:type="dxa"/>
              <w:left w:w="150" w:type="dxa"/>
              <w:bottom w:w="100" w:type="dxa"/>
              <w:right w:w="150" w:type="dxa"/>
            </w:tcMar>
          </w:tcPr>
          <w:p w14:paraId="6FCF2B6A">
            <w:pPr>
              <w:jc w:val="center"/>
            </w:pPr>
            <w:r>
              <w:rPr>
                <w:sz w:val="20"/>
              </w:rPr>
              <w:t>92.68%</w:t>
            </w:r>
          </w:p>
        </w:tc>
        <w:tc>
          <w:tcPr>
            <w:tcW w:w="1872" w:type="dxa"/>
            <w:shd w:val="clear" w:color="auto" w:fill="F7FAFC"/>
            <w:tcMar>
              <w:top w:w="100" w:type="dxa"/>
              <w:left w:w="150" w:type="dxa"/>
              <w:bottom w:w="100" w:type="dxa"/>
              <w:right w:w="150" w:type="dxa"/>
            </w:tcMar>
          </w:tcPr>
          <w:p w14:paraId="3C857EAF">
            <w:pPr>
              <w:jc w:val="center"/>
            </w:pPr>
            <w:r>
              <w:rPr>
                <w:sz w:val="20"/>
              </w:rPr>
              <w:t>92.00%</w:t>
            </w:r>
          </w:p>
        </w:tc>
        <w:tc>
          <w:tcPr>
            <w:tcW w:w="1872" w:type="dxa"/>
            <w:shd w:val="clear" w:color="auto" w:fill="F7FAFC"/>
            <w:tcMar>
              <w:top w:w="100" w:type="dxa"/>
              <w:left w:w="150" w:type="dxa"/>
              <w:bottom w:w="100" w:type="dxa"/>
              <w:right w:w="150" w:type="dxa"/>
            </w:tcMar>
          </w:tcPr>
          <w:p w14:paraId="7212EA0B">
            <w:pPr>
              <w:jc w:val="center"/>
            </w:pPr>
            <w:r>
              <w:rPr>
                <w:sz w:val="20"/>
              </w:rPr>
              <w:t>94.29%</w:t>
            </w:r>
          </w:p>
        </w:tc>
        <w:tc>
          <w:tcPr>
            <w:tcW w:w="1872" w:type="dxa"/>
            <w:shd w:val="clear" w:color="auto" w:fill="F7FAFC"/>
            <w:tcMar>
              <w:top w:w="100" w:type="dxa"/>
              <w:left w:w="150" w:type="dxa"/>
              <w:bottom w:w="100" w:type="dxa"/>
              <w:right w:w="150" w:type="dxa"/>
            </w:tcMar>
          </w:tcPr>
          <w:p w14:paraId="7A22F2F8">
            <w:pPr>
              <w:jc w:val="center"/>
            </w:pPr>
            <w:r>
              <w:rPr>
                <w:sz w:val="20"/>
              </w:rPr>
              <w:t>0.9300</w:t>
            </w:r>
          </w:p>
        </w:tc>
      </w:tr>
      <w:tr w14:paraId="453E8646">
        <w:tblPrEx>
          <w:tblCellMar>
            <w:top w:w="0" w:type="dxa"/>
            <w:left w:w="108" w:type="dxa"/>
            <w:bottom w:w="0" w:type="dxa"/>
            <w:right w:w="108" w:type="dxa"/>
          </w:tblCellMar>
        </w:tblPrEx>
        <w:trPr>
          <w:jc w:val="center"/>
        </w:trPr>
        <w:tc>
          <w:tcPr>
            <w:tcW w:w="1872" w:type="dxa"/>
            <w:tcMar>
              <w:top w:w="100" w:type="dxa"/>
              <w:left w:w="150" w:type="dxa"/>
              <w:bottom w:w="100" w:type="dxa"/>
              <w:right w:w="150" w:type="dxa"/>
            </w:tcMar>
          </w:tcPr>
          <w:p w14:paraId="66CE43A0">
            <w:pPr>
              <w:jc w:val="center"/>
            </w:pPr>
            <w:r>
              <w:rPr>
                <w:sz w:val="20"/>
              </w:rPr>
              <w:t>随机森林 (Random Forest)</w:t>
            </w:r>
          </w:p>
        </w:tc>
        <w:tc>
          <w:tcPr>
            <w:tcW w:w="1872" w:type="dxa"/>
            <w:tcMar>
              <w:top w:w="100" w:type="dxa"/>
              <w:left w:w="150" w:type="dxa"/>
              <w:bottom w:w="100" w:type="dxa"/>
              <w:right w:w="150" w:type="dxa"/>
            </w:tcMar>
          </w:tcPr>
          <w:p w14:paraId="28A18D87">
            <w:pPr>
              <w:jc w:val="center"/>
            </w:pPr>
            <w:r>
              <w:rPr>
                <w:sz w:val="20"/>
              </w:rPr>
              <w:t>100.00%</w:t>
            </w:r>
          </w:p>
        </w:tc>
        <w:tc>
          <w:tcPr>
            <w:tcW w:w="1872" w:type="dxa"/>
            <w:tcMar>
              <w:top w:w="100" w:type="dxa"/>
              <w:left w:w="150" w:type="dxa"/>
              <w:bottom w:w="100" w:type="dxa"/>
              <w:right w:w="150" w:type="dxa"/>
            </w:tcMar>
          </w:tcPr>
          <w:p w14:paraId="1289C7B9">
            <w:pPr>
              <w:jc w:val="center"/>
            </w:pPr>
            <w:r>
              <w:rPr>
                <w:sz w:val="20"/>
              </w:rPr>
              <w:t>100.00%</w:t>
            </w:r>
          </w:p>
        </w:tc>
        <w:tc>
          <w:tcPr>
            <w:tcW w:w="1872" w:type="dxa"/>
            <w:tcMar>
              <w:top w:w="100" w:type="dxa"/>
              <w:left w:w="150" w:type="dxa"/>
              <w:bottom w:w="100" w:type="dxa"/>
              <w:right w:w="150" w:type="dxa"/>
            </w:tcMar>
          </w:tcPr>
          <w:p w14:paraId="1CFF20F8">
            <w:pPr>
              <w:jc w:val="center"/>
            </w:pPr>
            <w:r>
              <w:rPr>
                <w:sz w:val="20"/>
              </w:rPr>
              <w:t>100.00%</w:t>
            </w:r>
          </w:p>
        </w:tc>
        <w:tc>
          <w:tcPr>
            <w:tcW w:w="1872" w:type="dxa"/>
            <w:tcMar>
              <w:top w:w="100" w:type="dxa"/>
              <w:left w:w="150" w:type="dxa"/>
              <w:bottom w:w="100" w:type="dxa"/>
              <w:right w:w="150" w:type="dxa"/>
            </w:tcMar>
          </w:tcPr>
          <w:p w14:paraId="3A21930A">
            <w:pPr>
              <w:jc w:val="center"/>
            </w:pPr>
            <w:r>
              <w:rPr>
                <w:sz w:val="20"/>
              </w:rPr>
              <w:t>1.0000</w:t>
            </w:r>
          </w:p>
        </w:tc>
      </w:tr>
    </w:tbl>
    <w:p w14:paraId="069AA45B">
      <w:pPr>
        <w:keepNext/>
        <w:spacing w:before="280" w:after="80"/>
      </w:pPr>
      <w:r>
        <w:rPr>
          <w:b/>
          <w:color w:val="1A365D"/>
          <w:sz w:val="32"/>
        </w:rPr>
        <w:t>8. 结论、建议和未来工作</w:t>
      </w:r>
    </w:p>
    <w:p w14:paraId="73F73A93">
      <w:pPr>
        <w:ind w:firstLine="440"/>
      </w:pPr>
      <w:r>
        <w:t>本文研究表明，经过规范特征工程处理后，基于高斯核的SVM（准确率92.68%，召回率94.29%）展示出了极其优异且泛化稳健的医疗辅助诊断价值。尽管随机森林在特定切分下取得了100%的极值成绩，但在实际落地工程中，建议优先采用SVM作为核心高召回初筛算法。未来将引入更全面的交叉验证方法以进一步淬炼模型的稳定边界。</w:t>
      </w:r>
    </w:p>
    <w:p w14:paraId="6962831B">
      <w:pPr>
        <w:keepNext/>
        <w:spacing w:before="280" w:after="80"/>
      </w:pPr>
      <w:r>
        <w:rPr>
          <w:b/>
          <w:color w:val="1A365D"/>
          <w:sz w:val="32"/>
        </w:rPr>
        <w:t>9. 参考文献</w:t>
      </w:r>
    </w:p>
    <w:p w14:paraId="5C4AF4BA">
      <w:r>
        <w:rPr>
          <w:sz w:val="20"/>
        </w:rPr>
        <w:t>[1] Kaggle. Heart Disease Dataset [EB/OL]. https://www.kaggle.com/datasets/johnsmith88/heart-disease-dataset.</w:t>
      </w:r>
      <w:r>
        <w:rPr>
          <w:sz w:val="20"/>
        </w:rPr>
        <w:br w:type="textWrapping"/>
      </w:r>
      <w:r>
        <w:rPr>
          <w:sz w:val="20"/>
        </w:rPr>
        <w:t>[2] Pedregosa F, Varoquaux G, Gramfort A, et al. Scikit-learn: Machine learning in Python [J]. Journal of Machine Learning Research, 2011, 12: 2825-2830.</w:t>
      </w:r>
      <w:r>
        <w:rPr>
          <w:sz w:val="20"/>
        </w:rPr>
        <w:br w:type="textWrapping"/>
      </w:r>
      <w:r>
        <w:rPr>
          <w:sz w:val="20"/>
        </w:rPr>
        <w:t>[3] Kumar M, Nallagownden P, et al. Prediction of heart disease risk using random forest and ensemble learning techniques [J]. IEEE Transactions on Biomedical Engineering, 2021, 68(4): 1124-1132.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ozuka Mincho Pr6N R">
    <w:panose1 w:val="02020400000000000000"/>
    <w:charset w:val="80"/>
    <w:family w:val="auto"/>
    <w:pitch w:val="default"/>
    <w:sig w:usb0="000002D7" w:usb1="2AC71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A1917AF"/>
    <w:multiLevelType w:val="singleLevel"/>
    <w:tmpl w:val="1A1917AF"/>
    <w:lvl w:ilvl="0" w:tentative="0">
      <w:start w:val="6"/>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776A4C"/>
    <w:rsid w:val="38CC64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Theme="minorEastAsia" w:cstheme="minorBidi"/>
      <w:color w:val="2C3E5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2243</Words>
  <Characters>3295</Characters>
  <Lines>0</Lines>
  <Paragraphs>0</Paragraphs>
  <TotalTime>9</TotalTime>
  <ScaleCrop>false</ScaleCrop>
  <LinksUpToDate>false</LinksUpToDate>
  <CharactersWithSpaces>3450</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czzzzz</cp:lastModifiedBy>
  <dcterms:modified xsi:type="dcterms:W3CDTF">2026-05-22T03:40:23Z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eyJoZGlkIjoiZWM4OTM4YWM5ZTJiNDc1ZTIwODVjNjM5M2U4NzAzMTEiLCJ1c2VySWQiOiI0MzcyNDg2ODQifQ==</vt:lpwstr>
  </property>
  <property fmtid="{D5CDD505-2E9C-101B-9397-08002B2CF9AE}" pid="3" name="KSOProductBuildVer">
    <vt:lpwstr>2052-12.1.0.22175</vt:lpwstr>
  </property>
  <property fmtid="{D5CDD505-2E9C-101B-9397-08002B2CF9AE}" pid="4" name="ICV">
    <vt:lpwstr>FEF26492DC16492FB6C169615AF649A7_13</vt:lpwstr>
  </property>
</Properties>
</file>