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E264" w14:textId="308A7CA4" w:rsidR="009425BD" w:rsidRDefault="00EC7762">
      <w:r>
        <w:t>Travaux Pratiques 2</w:t>
      </w:r>
    </w:p>
    <w:p w14:paraId="4BDC75E5" w14:textId="63A3B59F" w:rsidR="00EC7762" w:rsidRDefault="00EC7762"/>
    <w:p w14:paraId="1A7B7007" w14:textId="7036E8E5" w:rsidR="00EC7762" w:rsidRDefault="00EC7762">
      <w:r>
        <w:t>Récolte des besoins :</w:t>
      </w:r>
    </w:p>
    <w:p w14:paraId="0591999F" w14:textId="15AE6404" w:rsidR="00EC7762" w:rsidRDefault="00EC7762">
      <w:r>
        <w:t xml:space="preserve">Le responsable de l’entreprise, M. </w:t>
      </w:r>
      <w:proofErr w:type="spellStart"/>
      <w:r>
        <w:t>Tholdi</w:t>
      </w:r>
      <w:proofErr w:type="spellEnd"/>
      <w:r>
        <w:t xml:space="preserve">, est très impliqué dans l’évolution technique de son système informatique. Il désire en particulier améliorer le système qui permet le suivi de l’arrivée en port des </w:t>
      </w:r>
      <w:r w:rsidRPr="004818A9">
        <w:t>containeurs</w:t>
      </w:r>
      <w:r>
        <w:t xml:space="preserve"> puis de leur chargement sur les camions. Pour cela une nouvelle base de données devra être créée, et M. </w:t>
      </w:r>
      <w:proofErr w:type="spellStart"/>
      <w:r>
        <w:t>Tholdi</w:t>
      </w:r>
      <w:proofErr w:type="spellEnd"/>
      <w:r>
        <w:t xml:space="preserve"> a établi le cahier des charges suivant :</w:t>
      </w:r>
    </w:p>
    <w:p w14:paraId="5E3FB83B" w14:textId="7F3F8511" w:rsidR="00EC7762" w:rsidRDefault="00EC7762">
      <w:r>
        <w:t xml:space="preserve">Les </w:t>
      </w:r>
      <w:r w:rsidRPr="004818A9">
        <w:rPr>
          <w:highlight w:val="green"/>
        </w:rPr>
        <w:t>conteneurs</w:t>
      </w:r>
      <w:r>
        <w:t xml:space="preserve"> sont identifiés par un </w:t>
      </w:r>
      <w:r w:rsidRPr="004818A9">
        <w:rPr>
          <w:highlight w:val="yellow"/>
        </w:rPr>
        <w:t>code</w:t>
      </w:r>
      <w:r>
        <w:t xml:space="preserve"> international unique qui est reconnu </w:t>
      </w:r>
      <w:r w:rsidR="00961D9E">
        <w:t>dans tous</w:t>
      </w:r>
      <w:r>
        <w:t xml:space="preserve"> les ports. Afin de placer ce containeur sur la remorque appropriée, il est nécessaire de connaître ses </w:t>
      </w:r>
      <w:r w:rsidRPr="004818A9">
        <w:rPr>
          <w:highlight w:val="yellow"/>
        </w:rPr>
        <w:t>dimensions</w:t>
      </w:r>
      <w:r>
        <w:t>.</w:t>
      </w:r>
    </w:p>
    <w:p w14:paraId="16D62943" w14:textId="717B0F92" w:rsidR="00EC7762" w:rsidRDefault="00EC7762">
      <w:r>
        <w:t xml:space="preserve">Chaque container appartient à un </w:t>
      </w:r>
      <w:r w:rsidRPr="004818A9">
        <w:rPr>
          <w:highlight w:val="green"/>
        </w:rPr>
        <w:t>client</w:t>
      </w:r>
      <w:r>
        <w:t xml:space="preserve"> qui est identifié par son </w:t>
      </w:r>
      <w:r w:rsidRPr="004818A9">
        <w:rPr>
          <w:highlight w:val="yellow"/>
        </w:rPr>
        <w:t>code</w:t>
      </w:r>
      <w:r>
        <w:t xml:space="preserve"> et dont on </w:t>
      </w:r>
      <w:r>
        <w:t xml:space="preserve">veut conserver la </w:t>
      </w:r>
      <w:r w:rsidRPr="004818A9">
        <w:rPr>
          <w:highlight w:val="yellow"/>
        </w:rPr>
        <w:t>raison sociale</w:t>
      </w:r>
      <w:r>
        <w:t xml:space="preserve"> et les </w:t>
      </w:r>
      <w:r w:rsidRPr="004818A9">
        <w:rPr>
          <w:highlight w:val="yellow"/>
        </w:rPr>
        <w:t>coordonnées</w:t>
      </w:r>
      <w:r>
        <w:t>.</w:t>
      </w:r>
    </w:p>
    <w:p w14:paraId="191158AA" w14:textId="3FBE1B65" w:rsidR="00961D9E" w:rsidRDefault="00961D9E">
      <w:r>
        <w:t xml:space="preserve">Il est nécessaire de connaître pour chaque </w:t>
      </w:r>
      <w:r w:rsidRPr="004818A9">
        <w:rPr>
          <w:highlight w:val="green"/>
        </w:rPr>
        <w:t>client</w:t>
      </w:r>
      <w:r>
        <w:t xml:space="preserve">, le </w:t>
      </w:r>
      <w:r w:rsidRPr="004818A9">
        <w:rPr>
          <w:highlight w:val="yellow"/>
        </w:rPr>
        <w:t>pays</w:t>
      </w:r>
      <w:r>
        <w:t xml:space="preserve"> dans lequel il est inscrit. C</w:t>
      </w:r>
      <w:r>
        <w:t>eci permettra de définir le pays d’origine de tous ces containeurs. Cette information est nécessaire pour les droits d’enregistrement en douane.</w:t>
      </w:r>
    </w:p>
    <w:p w14:paraId="28B19755" w14:textId="77777777" w:rsidR="00961D9E" w:rsidRDefault="00961D9E">
      <w:r>
        <w:t xml:space="preserve">Les services douaniers fournissent, pour cette raison, une liste des pays comportant leur code et leur nom internationaux qui doivent être utilisés dans la base de données. </w:t>
      </w:r>
    </w:p>
    <w:p w14:paraId="04BABF96" w14:textId="77777777" w:rsidR="00961D9E" w:rsidRDefault="00961D9E">
      <w:r>
        <w:t xml:space="preserve">Les </w:t>
      </w:r>
      <w:r w:rsidRPr="004818A9">
        <w:rPr>
          <w:highlight w:val="green"/>
        </w:rPr>
        <w:t>co</w:t>
      </w:r>
      <w:r w:rsidRPr="004818A9">
        <w:rPr>
          <w:highlight w:val="green"/>
        </w:rPr>
        <w:t>ntaineurs</w:t>
      </w:r>
      <w:r>
        <w:t xml:space="preserve"> ne peuvent pas transporter n’importe quel </w:t>
      </w:r>
      <w:r w:rsidRPr="004818A9">
        <w:rPr>
          <w:highlight w:val="yellow"/>
        </w:rPr>
        <w:t>type de matière</w:t>
      </w:r>
      <w:r>
        <w:t xml:space="preserve">. En effet, les problématiques du transport de liquides en vrac ou de produits finis emballés ne sont pas les mêmes. Pour cela, le système informatique doit comporter la liste complète des </w:t>
      </w:r>
      <w:r w:rsidRPr="004818A9">
        <w:rPr>
          <w:highlight w:val="green"/>
        </w:rPr>
        <w:t>types de matière</w:t>
      </w:r>
      <w:r>
        <w:t xml:space="preserve"> susceptibles d’être transportés par la société </w:t>
      </w:r>
      <w:proofErr w:type="spellStart"/>
      <w:r>
        <w:t>Tholdi</w:t>
      </w:r>
      <w:proofErr w:type="spellEnd"/>
      <w:r>
        <w:t xml:space="preserve"> (le </w:t>
      </w:r>
      <w:r w:rsidRPr="004818A9">
        <w:rPr>
          <w:highlight w:val="yellow"/>
        </w:rPr>
        <w:t>code</w:t>
      </w:r>
      <w:r>
        <w:t xml:space="preserve"> de ce type et son </w:t>
      </w:r>
      <w:r w:rsidRPr="004818A9">
        <w:rPr>
          <w:highlight w:val="yellow"/>
        </w:rPr>
        <w:t>libellé</w:t>
      </w:r>
      <w:r>
        <w:t xml:space="preserve"> suffisent). </w:t>
      </w:r>
    </w:p>
    <w:p w14:paraId="7B2DB7AC" w14:textId="1D5A75D1" w:rsidR="00961D9E" w:rsidRDefault="00961D9E">
      <w:r>
        <w:t xml:space="preserve">On veut connaitre la quantité maximale de chaque type de matière que peut transporter </w:t>
      </w:r>
      <w:r>
        <w:t>un containeur.</w:t>
      </w:r>
    </w:p>
    <w:p w14:paraId="326682BB" w14:textId="4D458665" w:rsidR="00764299" w:rsidRDefault="00764299">
      <w:r>
        <w:t xml:space="preserve">Dans le but de suivre l’activité de l’entreprise ainsi que celle des clients, il faut connaitre </w:t>
      </w:r>
      <w:r>
        <w:t>le nombre d’utilisations de chaque containeur, pour chaque année.</w:t>
      </w:r>
    </w:p>
    <w:p w14:paraId="303B8997" w14:textId="5871495E" w:rsidR="00C57F57" w:rsidRDefault="006135FF">
      <w:r>
        <w:t>Informations complémentaires :</w:t>
      </w:r>
    </w:p>
    <w:p w14:paraId="0D18724B" w14:textId="74F85F72" w:rsidR="006135FF" w:rsidRPr="006135FF" w:rsidRDefault="006135FF">
      <w:pPr>
        <w:rPr>
          <w:rFonts w:cstheme="minorHAnsi"/>
        </w:rPr>
      </w:pPr>
      <w:r w:rsidRPr="006135FF">
        <w:rPr>
          <w:rFonts w:cstheme="minorHAnsi"/>
          <w:shd w:val="clear" w:color="auto" w:fill="FFFFFF"/>
        </w:rPr>
        <w:t xml:space="preserve">Quelle est la taille d'un conteneur maritime ? Les conteneurs maritimes ISO standard ont une largeur de 2,43 m et une hauteur de 2,59 m. Ils sont disponibles en deux longueurs : 6,06 m et 12,2 m. Des conteneurs d'expédition très hauts, appelés conteneurs à haut volume, sont disponibles à une hauteur de 2,89 m (9,5 </w:t>
      </w:r>
      <w:proofErr w:type="spellStart"/>
      <w:r w:rsidRPr="006135FF">
        <w:rPr>
          <w:rFonts w:cstheme="minorHAnsi"/>
          <w:shd w:val="clear" w:color="auto" w:fill="FFFFFF"/>
        </w:rPr>
        <w:t>ft</w:t>
      </w:r>
      <w:proofErr w:type="spellEnd"/>
      <w:r w:rsidRPr="006135FF">
        <w:rPr>
          <w:rFonts w:cstheme="minorHAnsi"/>
          <w:shd w:val="clear" w:color="auto" w:fill="FFFFFF"/>
        </w:rPr>
        <w:t>).</w:t>
      </w:r>
    </w:p>
    <w:p w14:paraId="6783B1AE" w14:textId="77777777" w:rsidR="00764299" w:rsidRDefault="00764299"/>
    <w:p w14:paraId="543F13A9" w14:textId="77777777" w:rsidR="00764299" w:rsidRDefault="00764299"/>
    <w:p w14:paraId="09652E7C" w14:textId="77777777" w:rsidR="00764299" w:rsidRDefault="00764299"/>
    <w:p w14:paraId="011C1AC4" w14:textId="77777777" w:rsidR="00764299" w:rsidRDefault="00764299"/>
    <w:p w14:paraId="3E8B7FCC" w14:textId="77777777" w:rsidR="00764299" w:rsidRDefault="00764299"/>
    <w:p w14:paraId="41F6C685" w14:textId="77777777" w:rsidR="00764299" w:rsidRDefault="00764299"/>
    <w:p w14:paraId="0B0D9203" w14:textId="77777777" w:rsidR="00764299" w:rsidRDefault="00764299"/>
    <w:p w14:paraId="06465697" w14:textId="77777777" w:rsidR="00764299" w:rsidRDefault="00764299"/>
    <w:p w14:paraId="37F0F1A4" w14:textId="77777777" w:rsidR="00764299" w:rsidRDefault="00764299"/>
    <w:p w14:paraId="4401ED3C" w14:textId="537483CB" w:rsidR="00C57F57" w:rsidRDefault="00C57F57">
      <w:r>
        <w:lastRenderedPageBreak/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4120"/>
        <w:gridCol w:w="2126"/>
        <w:gridCol w:w="1709"/>
      </w:tblGrid>
      <w:tr w:rsidR="004818A9" w14:paraId="560C1C98" w14:textId="77777777" w:rsidTr="00F925C5">
        <w:tc>
          <w:tcPr>
            <w:tcW w:w="2651" w:type="dxa"/>
          </w:tcPr>
          <w:p w14:paraId="558A9A54" w14:textId="17885CB0" w:rsidR="004818A9" w:rsidRDefault="004818A9">
            <w:r>
              <w:t>Mnémonique</w:t>
            </w:r>
          </w:p>
        </w:tc>
        <w:tc>
          <w:tcPr>
            <w:tcW w:w="4120" w:type="dxa"/>
          </w:tcPr>
          <w:p w14:paraId="414F7310" w14:textId="644C07C7" w:rsidR="004818A9" w:rsidRDefault="004818A9">
            <w:r>
              <w:t>Libellé</w:t>
            </w:r>
          </w:p>
        </w:tc>
        <w:tc>
          <w:tcPr>
            <w:tcW w:w="2126" w:type="dxa"/>
          </w:tcPr>
          <w:p w14:paraId="1FFE11E5" w14:textId="6C0F8EE7" w:rsidR="004818A9" w:rsidRDefault="004818A9">
            <w:r>
              <w:t>Type (Longueur)</w:t>
            </w:r>
          </w:p>
        </w:tc>
        <w:tc>
          <w:tcPr>
            <w:tcW w:w="1709" w:type="dxa"/>
          </w:tcPr>
          <w:p w14:paraId="710132F0" w14:textId="5FCE208E" w:rsidR="004818A9" w:rsidRDefault="004818A9">
            <w:r>
              <w:t>Contraintes</w:t>
            </w:r>
          </w:p>
        </w:tc>
      </w:tr>
      <w:tr w:rsidR="004818A9" w14:paraId="72246BF0" w14:textId="77777777" w:rsidTr="00F925C5">
        <w:tc>
          <w:tcPr>
            <w:tcW w:w="2651" w:type="dxa"/>
          </w:tcPr>
          <w:p w14:paraId="29B1D35A" w14:textId="55CF6D85" w:rsidR="004818A9" w:rsidRDefault="00F925C5">
            <w:proofErr w:type="spellStart"/>
            <w:r>
              <w:t>Conteneur_code</w:t>
            </w:r>
            <w:proofErr w:type="spellEnd"/>
          </w:p>
        </w:tc>
        <w:tc>
          <w:tcPr>
            <w:tcW w:w="4120" w:type="dxa"/>
          </w:tcPr>
          <w:p w14:paraId="2605FF42" w14:textId="31C7A686" w:rsidR="004818A9" w:rsidRDefault="00F925C5">
            <w:r>
              <w:t>Code international du conteneur</w:t>
            </w:r>
          </w:p>
        </w:tc>
        <w:tc>
          <w:tcPr>
            <w:tcW w:w="2126" w:type="dxa"/>
          </w:tcPr>
          <w:p w14:paraId="4F1E5F77" w14:textId="7A5FE68F" w:rsidR="004818A9" w:rsidRDefault="00806512">
            <w:r>
              <w:t>Varchar (25)</w:t>
            </w:r>
          </w:p>
        </w:tc>
        <w:tc>
          <w:tcPr>
            <w:tcW w:w="1709" w:type="dxa"/>
          </w:tcPr>
          <w:p w14:paraId="5B4145ED" w14:textId="082DED8D" w:rsidR="004818A9" w:rsidRDefault="00D6217C">
            <w:r>
              <w:t>Identifiant</w:t>
            </w:r>
          </w:p>
        </w:tc>
      </w:tr>
      <w:tr w:rsidR="004818A9" w14:paraId="46937F3B" w14:textId="77777777" w:rsidTr="00F925C5">
        <w:tc>
          <w:tcPr>
            <w:tcW w:w="2651" w:type="dxa"/>
          </w:tcPr>
          <w:p w14:paraId="7A4DC407" w14:textId="701195FB" w:rsidR="004818A9" w:rsidRDefault="00F925C5">
            <w:proofErr w:type="spellStart"/>
            <w:r>
              <w:t>Conteneur_</w:t>
            </w:r>
            <w:r w:rsidR="00CA08EC">
              <w:t>longueur</w:t>
            </w:r>
            <w:proofErr w:type="spellEnd"/>
          </w:p>
        </w:tc>
        <w:tc>
          <w:tcPr>
            <w:tcW w:w="4120" w:type="dxa"/>
          </w:tcPr>
          <w:p w14:paraId="14664BD6" w14:textId="7B593A8E" w:rsidR="004818A9" w:rsidRDefault="00CA08EC">
            <w:r>
              <w:t xml:space="preserve">Longueur </w:t>
            </w:r>
            <w:r w:rsidR="00F925C5">
              <w:t>du conteneur</w:t>
            </w:r>
          </w:p>
        </w:tc>
        <w:tc>
          <w:tcPr>
            <w:tcW w:w="2126" w:type="dxa"/>
          </w:tcPr>
          <w:p w14:paraId="33781DFF" w14:textId="73B8C795" w:rsidR="004818A9" w:rsidRDefault="00DD5739">
            <w:r>
              <w:t>Entier (2)</w:t>
            </w:r>
          </w:p>
        </w:tc>
        <w:tc>
          <w:tcPr>
            <w:tcW w:w="1709" w:type="dxa"/>
          </w:tcPr>
          <w:p w14:paraId="22237D88" w14:textId="718BBDBC" w:rsidR="004818A9" w:rsidRDefault="00DD5739">
            <w:r>
              <w:t>Obligatoire</w:t>
            </w:r>
          </w:p>
        </w:tc>
      </w:tr>
      <w:tr w:rsidR="00CA08EC" w14:paraId="1BFC80D5" w14:textId="77777777" w:rsidTr="00F925C5">
        <w:tc>
          <w:tcPr>
            <w:tcW w:w="2651" w:type="dxa"/>
          </w:tcPr>
          <w:p w14:paraId="62FACC72" w14:textId="5404963B" w:rsidR="00CA08EC" w:rsidRDefault="00CA08EC">
            <w:proofErr w:type="spellStart"/>
            <w:r>
              <w:t>Conteneur_largeur</w:t>
            </w:r>
            <w:proofErr w:type="spellEnd"/>
          </w:p>
        </w:tc>
        <w:tc>
          <w:tcPr>
            <w:tcW w:w="4120" w:type="dxa"/>
          </w:tcPr>
          <w:p w14:paraId="4A822AA6" w14:textId="19D2869E" w:rsidR="00CA08EC" w:rsidRDefault="00CA08EC">
            <w:r>
              <w:t>Largeur du conteneur</w:t>
            </w:r>
          </w:p>
        </w:tc>
        <w:tc>
          <w:tcPr>
            <w:tcW w:w="2126" w:type="dxa"/>
          </w:tcPr>
          <w:p w14:paraId="7EAAF818" w14:textId="36C98CA4" w:rsidR="00CA08EC" w:rsidRDefault="00DD5739">
            <w:r>
              <w:t>Entier (2)</w:t>
            </w:r>
          </w:p>
        </w:tc>
        <w:tc>
          <w:tcPr>
            <w:tcW w:w="1709" w:type="dxa"/>
          </w:tcPr>
          <w:p w14:paraId="7FFCB018" w14:textId="4087F7FB" w:rsidR="00CA08EC" w:rsidRDefault="00DD5739">
            <w:r>
              <w:t>Obligatoire</w:t>
            </w:r>
          </w:p>
        </w:tc>
      </w:tr>
      <w:tr w:rsidR="00CA08EC" w14:paraId="3431BC0C" w14:textId="77777777" w:rsidTr="00F925C5">
        <w:tc>
          <w:tcPr>
            <w:tcW w:w="2651" w:type="dxa"/>
          </w:tcPr>
          <w:p w14:paraId="39063AA8" w14:textId="49FC647B" w:rsidR="00CA08EC" w:rsidRDefault="006135FF">
            <w:proofErr w:type="spellStart"/>
            <w:r>
              <w:t>C</w:t>
            </w:r>
            <w:r w:rsidR="00CA08EC">
              <w:t>onteneur</w:t>
            </w:r>
            <w:r>
              <w:t>_hauteur</w:t>
            </w:r>
            <w:proofErr w:type="spellEnd"/>
          </w:p>
        </w:tc>
        <w:tc>
          <w:tcPr>
            <w:tcW w:w="4120" w:type="dxa"/>
          </w:tcPr>
          <w:p w14:paraId="3F0505B0" w14:textId="7D00C459" w:rsidR="00CA08EC" w:rsidRDefault="006135FF">
            <w:r>
              <w:t>Hauteur du conteneur</w:t>
            </w:r>
          </w:p>
        </w:tc>
        <w:tc>
          <w:tcPr>
            <w:tcW w:w="2126" w:type="dxa"/>
          </w:tcPr>
          <w:p w14:paraId="3EB815CB" w14:textId="73A84452" w:rsidR="00CA08EC" w:rsidRDefault="00DD5739">
            <w:r>
              <w:t>Entier (2)</w:t>
            </w:r>
          </w:p>
        </w:tc>
        <w:tc>
          <w:tcPr>
            <w:tcW w:w="1709" w:type="dxa"/>
          </w:tcPr>
          <w:p w14:paraId="3728D2F4" w14:textId="604DBF12" w:rsidR="00CA08EC" w:rsidRDefault="00DD5739">
            <w:r>
              <w:t>Obligatoire</w:t>
            </w:r>
          </w:p>
        </w:tc>
      </w:tr>
      <w:tr w:rsidR="004818A9" w14:paraId="0D262B8D" w14:textId="77777777" w:rsidTr="00F925C5">
        <w:tc>
          <w:tcPr>
            <w:tcW w:w="2651" w:type="dxa"/>
          </w:tcPr>
          <w:p w14:paraId="2384D673" w14:textId="77777777" w:rsidR="004818A9" w:rsidRDefault="004818A9"/>
        </w:tc>
        <w:tc>
          <w:tcPr>
            <w:tcW w:w="4120" w:type="dxa"/>
          </w:tcPr>
          <w:p w14:paraId="3A23AF5A" w14:textId="77777777" w:rsidR="004818A9" w:rsidRDefault="004818A9"/>
        </w:tc>
        <w:tc>
          <w:tcPr>
            <w:tcW w:w="2126" w:type="dxa"/>
          </w:tcPr>
          <w:p w14:paraId="060AE4AB" w14:textId="77777777" w:rsidR="004818A9" w:rsidRDefault="004818A9"/>
        </w:tc>
        <w:tc>
          <w:tcPr>
            <w:tcW w:w="1709" w:type="dxa"/>
          </w:tcPr>
          <w:p w14:paraId="6AF326D8" w14:textId="77777777" w:rsidR="004818A9" w:rsidRDefault="004818A9"/>
        </w:tc>
      </w:tr>
      <w:tr w:rsidR="004818A9" w14:paraId="5D6BB4A4" w14:textId="77777777" w:rsidTr="00F925C5">
        <w:tc>
          <w:tcPr>
            <w:tcW w:w="2651" w:type="dxa"/>
          </w:tcPr>
          <w:p w14:paraId="0C617619" w14:textId="3F3F5164" w:rsidR="004818A9" w:rsidRDefault="00F925C5">
            <w:proofErr w:type="spellStart"/>
            <w:r>
              <w:t>Client_code</w:t>
            </w:r>
            <w:proofErr w:type="spellEnd"/>
          </w:p>
        </w:tc>
        <w:tc>
          <w:tcPr>
            <w:tcW w:w="4120" w:type="dxa"/>
          </w:tcPr>
          <w:p w14:paraId="11FC6790" w14:textId="036F56A7" w:rsidR="004818A9" w:rsidRDefault="00F925C5">
            <w:r>
              <w:t>Code du client</w:t>
            </w:r>
          </w:p>
        </w:tc>
        <w:tc>
          <w:tcPr>
            <w:tcW w:w="2126" w:type="dxa"/>
          </w:tcPr>
          <w:p w14:paraId="1B1DC7EC" w14:textId="36A8AC09" w:rsidR="004818A9" w:rsidRDefault="007E7675">
            <w:r>
              <w:t>Int (11)</w:t>
            </w:r>
          </w:p>
        </w:tc>
        <w:tc>
          <w:tcPr>
            <w:tcW w:w="1709" w:type="dxa"/>
          </w:tcPr>
          <w:p w14:paraId="608B5C95" w14:textId="4C051852" w:rsidR="004818A9" w:rsidRDefault="007E7675">
            <w:r>
              <w:t xml:space="preserve">Identifiant </w:t>
            </w:r>
          </w:p>
        </w:tc>
      </w:tr>
      <w:tr w:rsidR="004818A9" w14:paraId="2BD0AA4B" w14:textId="77777777" w:rsidTr="00F925C5">
        <w:tc>
          <w:tcPr>
            <w:tcW w:w="2651" w:type="dxa"/>
          </w:tcPr>
          <w:p w14:paraId="07FDE2BB" w14:textId="5E5919C9" w:rsidR="004818A9" w:rsidRDefault="00CA08EC">
            <w:proofErr w:type="spellStart"/>
            <w:r>
              <w:t>Client_raison_sociale</w:t>
            </w:r>
            <w:proofErr w:type="spellEnd"/>
          </w:p>
        </w:tc>
        <w:tc>
          <w:tcPr>
            <w:tcW w:w="4120" w:type="dxa"/>
          </w:tcPr>
          <w:p w14:paraId="31EFC9AB" w14:textId="5D374B47" w:rsidR="004818A9" w:rsidRDefault="00CA08EC">
            <w:r>
              <w:t>Raison sociale du client</w:t>
            </w:r>
          </w:p>
        </w:tc>
        <w:tc>
          <w:tcPr>
            <w:tcW w:w="2126" w:type="dxa"/>
          </w:tcPr>
          <w:p w14:paraId="571885A1" w14:textId="403B7D5B" w:rsidR="004818A9" w:rsidRDefault="00CA08EC">
            <w:r>
              <w:t>Varchar (255)</w:t>
            </w:r>
          </w:p>
        </w:tc>
        <w:tc>
          <w:tcPr>
            <w:tcW w:w="1709" w:type="dxa"/>
          </w:tcPr>
          <w:p w14:paraId="62CB4987" w14:textId="008AA1D4" w:rsidR="004818A9" w:rsidRDefault="006135FF">
            <w:r>
              <w:t>Obligatoire</w:t>
            </w:r>
          </w:p>
        </w:tc>
      </w:tr>
      <w:tr w:rsidR="004818A9" w14:paraId="07939FBF" w14:textId="77777777" w:rsidTr="00F925C5">
        <w:tc>
          <w:tcPr>
            <w:tcW w:w="2651" w:type="dxa"/>
          </w:tcPr>
          <w:p w14:paraId="7F21C873" w14:textId="01199B6E" w:rsidR="004818A9" w:rsidRDefault="00CA08EC">
            <w:proofErr w:type="spellStart"/>
            <w:r>
              <w:t>Client_</w:t>
            </w:r>
            <w:r w:rsidR="006135FF">
              <w:t>numero</w:t>
            </w:r>
            <w:proofErr w:type="spellEnd"/>
          </w:p>
        </w:tc>
        <w:tc>
          <w:tcPr>
            <w:tcW w:w="4120" w:type="dxa"/>
          </w:tcPr>
          <w:p w14:paraId="4E13CF60" w14:textId="21E263B1" w:rsidR="004818A9" w:rsidRDefault="007E7675">
            <w:r>
              <w:t>Numéro</w:t>
            </w:r>
            <w:r w:rsidR="006135FF">
              <w:t xml:space="preserve"> de rue</w:t>
            </w:r>
            <w:r w:rsidR="00CA08EC">
              <w:t xml:space="preserve"> du client</w:t>
            </w:r>
          </w:p>
        </w:tc>
        <w:tc>
          <w:tcPr>
            <w:tcW w:w="2126" w:type="dxa"/>
          </w:tcPr>
          <w:p w14:paraId="6907696B" w14:textId="0EA2D3CD" w:rsidR="004818A9" w:rsidRDefault="006135FF">
            <w:r>
              <w:t>Varchar (25)</w:t>
            </w:r>
          </w:p>
        </w:tc>
        <w:tc>
          <w:tcPr>
            <w:tcW w:w="1709" w:type="dxa"/>
          </w:tcPr>
          <w:p w14:paraId="5C641C04" w14:textId="77777777" w:rsidR="004818A9" w:rsidRDefault="004818A9"/>
        </w:tc>
      </w:tr>
      <w:tr w:rsidR="004818A9" w14:paraId="4C6112E0" w14:textId="77777777" w:rsidTr="00F925C5">
        <w:tc>
          <w:tcPr>
            <w:tcW w:w="2651" w:type="dxa"/>
          </w:tcPr>
          <w:p w14:paraId="45641124" w14:textId="5EE4CE35" w:rsidR="004818A9" w:rsidRDefault="006135FF">
            <w:proofErr w:type="spellStart"/>
            <w:r>
              <w:t>Client_type_voie</w:t>
            </w:r>
            <w:proofErr w:type="spellEnd"/>
          </w:p>
        </w:tc>
        <w:tc>
          <w:tcPr>
            <w:tcW w:w="4120" w:type="dxa"/>
          </w:tcPr>
          <w:p w14:paraId="2AF2791B" w14:textId="1341B375" w:rsidR="004818A9" w:rsidRDefault="006135FF">
            <w:r>
              <w:t>Type de voie du client</w:t>
            </w:r>
          </w:p>
        </w:tc>
        <w:tc>
          <w:tcPr>
            <w:tcW w:w="2126" w:type="dxa"/>
          </w:tcPr>
          <w:p w14:paraId="331CD148" w14:textId="2D86E49C" w:rsidR="004818A9" w:rsidRDefault="004512B1">
            <w:r>
              <w:t>Varchar (32)</w:t>
            </w:r>
          </w:p>
        </w:tc>
        <w:tc>
          <w:tcPr>
            <w:tcW w:w="1709" w:type="dxa"/>
          </w:tcPr>
          <w:p w14:paraId="73959424" w14:textId="77777777" w:rsidR="004818A9" w:rsidRDefault="004818A9"/>
        </w:tc>
      </w:tr>
      <w:tr w:rsidR="004512B1" w14:paraId="487735F8" w14:textId="77777777" w:rsidTr="00F925C5">
        <w:tc>
          <w:tcPr>
            <w:tcW w:w="2651" w:type="dxa"/>
          </w:tcPr>
          <w:p w14:paraId="2499E422" w14:textId="39001F97" w:rsidR="004512B1" w:rsidRDefault="004512B1">
            <w:proofErr w:type="spellStart"/>
            <w:r>
              <w:t>Client_nom_voie</w:t>
            </w:r>
            <w:proofErr w:type="spellEnd"/>
          </w:p>
        </w:tc>
        <w:tc>
          <w:tcPr>
            <w:tcW w:w="4120" w:type="dxa"/>
          </w:tcPr>
          <w:p w14:paraId="3ED1BBA0" w14:textId="15F909E4" w:rsidR="004512B1" w:rsidRDefault="004512B1">
            <w:r>
              <w:t>Nom de voie du client</w:t>
            </w:r>
          </w:p>
        </w:tc>
        <w:tc>
          <w:tcPr>
            <w:tcW w:w="2126" w:type="dxa"/>
          </w:tcPr>
          <w:p w14:paraId="0F17C9B6" w14:textId="77906166" w:rsidR="004512B1" w:rsidRDefault="004512B1">
            <w:r>
              <w:t>Varchar (32)</w:t>
            </w:r>
          </w:p>
        </w:tc>
        <w:tc>
          <w:tcPr>
            <w:tcW w:w="1709" w:type="dxa"/>
          </w:tcPr>
          <w:p w14:paraId="1EA203C4" w14:textId="77777777" w:rsidR="004512B1" w:rsidRDefault="004512B1"/>
        </w:tc>
      </w:tr>
      <w:tr w:rsidR="004512B1" w14:paraId="13F25F84" w14:textId="77777777" w:rsidTr="00F925C5">
        <w:tc>
          <w:tcPr>
            <w:tcW w:w="2651" w:type="dxa"/>
          </w:tcPr>
          <w:p w14:paraId="41E2C148" w14:textId="2EA322B8" w:rsidR="004512B1" w:rsidRDefault="004512B1">
            <w:proofErr w:type="spellStart"/>
            <w:r>
              <w:t>Client_CP</w:t>
            </w:r>
            <w:proofErr w:type="spellEnd"/>
          </w:p>
        </w:tc>
        <w:tc>
          <w:tcPr>
            <w:tcW w:w="4120" w:type="dxa"/>
          </w:tcPr>
          <w:p w14:paraId="331DCF62" w14:textId="0E709686" w:rsidR="004512B1" w:rsidRDefault="004512B1">
            <w:r>
              <w:t>Code postal du client</w:t>
            </w:r>
          </w:p>
        </w:tc>
        <w:tc>
          <w:tcPr>
            <w:tcW w:w="2126" w:type="dxa"/>
          </w:tcPr>
          <w:p w14:paraId="19A9AF7B" w14:textId="1EA6AF10" w:rsidR="004512B1" w:rsidRDefault="004512B1">
            <w:r>
              <w:t>Char (5)</w:t>
            </w:r>
          </w:p>
        </w:tc>
        <w:tc>
          <w:tcPr>
            <w:tcW w:w="1709" w:type="dxa"/>
          </w:tcPr>
          <w:p w14:paraId="1DBDC319" w14:textId="15F2CCAD" w:rsidR="004512B1" w:rsidRDefault="00764299">
            <w:r>
              <w:t>Obligatoire</w:t>
            </w:r>
          </w:p>
        </w:tc>
      </w:tr>
      <w:tr w:rsidR="004512B1" w14:paraId="339D0C11" w14:textId="77777777" w:rsidTr="00F925C5">
        <w:tc>
          <w:tcPr>
            <w:tcW w:w="2651" w:type="dxa"/>
          </w:tcPr>
          <w:p w14:paraId="7E78D097" w14:textId="049D40DF" w:rsidR="004512B1" w:rsidRDefault="004512B1">
            <w:proofErr w:type="spellStart"/>
            <w:r>
              <w:t>Client_ville</w:t>
            </w:r>
            <w:proofErr w:type="spellEnd"/>
          </w:p>
        </w:tc>
        <w:tc>
          <w:tcPr>
            <w:tcW w:w="4120" w:type="dxa"/>
          </w:tcPr>
          <w:p w14:paraId="7BE72C55" w14:textId="2563492A" w:rsidR="004512B1" w:rsidRDefault="004512B1">
            <w:r>
              <w:t>Ville du client</w:t>
            </w:r>
          </w:p>
        </w:tc>
        <w:tc>
          <w:tcPr>
            <w:tcW w:w="2126" w:type="dxa"/>
          </w:tcPr>
          <w:p w14:paraId="6E9CC644" w14:textId="2DF01ADA" w:rsidR="004512B1" w:rsidRDefault="004512B1">
            <w:r>
              <w:t>Varchar (50)</w:t>
            </w:r>
          </w:p>
        </w:tc>
        <w:tc>
          <w:tcPr>
            <w:tcW w:w="1709" w:type="dxa"/>
          </w:tcPr>
          <w:p w14:paraId="0F6F159E" w14:textId="2C87061C" w:rsidR="004512B1" w:rsidRDefault="00764299">
            <w:r>
              <w:t>Obligatoire</w:t>
            </w:r>
          </w:p>
        </w:tc>
      </w:tr>
      <w:tr w:rsidR="001F4DD4" w14:paraId="0E51A36E" w14:textId="77777777" w:rsidTr="00F925C5">
        <w:tc>
          <w:tcPr>
            <w:tcW w:w="2651" w:type="dxa"/>
          </w:tcPr>
          <w:p w14:paraId="682EF75E" w14:textId="48822C2A" w:rsidR="001F4DD4" w:rsidRDefault="001F4DD4">
            <w:proofErr w:type="spellStart"/>
            <w:r>
              <w:t>Client_pays</w:t>
            </w:r>
            <w:proofErr w:type="spellEnd"/>
          </w:p>
        </w:tc>
        <w:tc>
          <w:tcPr>
            <w:tcW w:w="4120" w:type="dxa"/>
          </w:tcPr>
          <w:p w14:paraId="6CD4CBE1" w14:textId="2CE9F1F2" w:rsidR="001F4DD4" w:rsidRDefault="001F4DD4">
            <w:r>
              <w:t>Pays du client</w:t>
            </w:r>
          </w:p>
        </w:tc>
        <w:tc>
          <w:tcPr>
            <w:tcW w:w="2126" w:type="dxa"/>
          </w:tcPr>
          <w:p w14:paraId="3A9E64CF" w14:textId="022B9551" w:rsidR="001F4DD4" w:rsidRDefault="001F4DD4">
            <w:r>
              <w:t>Varchar (60)</w:t>
            </w:r>
          </w:p>
        </w:tc>
        <w:tc>
          <w:tcPr>
            <w:tcW w:w="1709" w:type="dxa"/>
          </w:tcPr>
          <w:p w14:paraId="698E2C98" w14:textId="4E28768A" w:rsidR="001F4DD4" w:rsidRDefault="001F4DD4">
            <w:r>
              <w:t>Obligatoire</w:t>
            </w:r>
          </w:p>
        </w:tc>
      </w:tr>
      <w:tr w:rsidR="00764299" w14:paraId="423AF7D6" w14:textId="77777777" w:rsidTr="00F925C5">
        <w:tc>
          <w:tcPr>
            <w:tcW w:w="2651" w:type="dxa"/>
          </w:tcPr>
          <w:p w14:paraId="2E83E2E7" w14:textId="77777777" w:rsidR="00764299" w:rsidRDefault="00764299"/>
        </w:tc>
        <w:tc>
          <w:tcPr>
            <w:tcW w:w="4120" w:type="dxa"/>
          </w:tcPr>
          <w:p w14:paraId="14A49309" w14:textId="77777777" w:rsidR="00764299" w:rsidRDefault="00764299"/>
        </w:tc>
        <w:tc>
          <w:tcPr>
            <w:tcW w:w="2126" w:type="dxa"/>
          </w:tcPr>
          <w:p w14:paraId="08A96EF4" w14:textId="77777777" w:rsidR="00764299" w:rsidRDefault="00764299"/>
        </w:tc>
        <w:tc>
          <w:tcPr>
            <w:tcW w:w="1709" w:type="dxa"/>
          </w:tcPr>
          <w:p w14:paraId="67124055" w14:textId="77777777" w:rsidR="00764299" w:rsidRDefault="00764299"/>
        </w:tc>
      </w:tr>
      <w:tr w:rsidR="00764299" w14:paraId="4B7EE39A" w14:textId="77777777" w:rsidTr="00F925C5">
        <w:tc>
          <w:tcPr>
            <w:tcW w:w="2651" w:type="dxa"/>
          </w:tcPr>
          <w:p w14:paraId="7B6CABC1" w14:textId="3B1B35F3" w:rsidR="00764299" w:rsidRDefault="00764299">
            <w:proofErr w:type="spellStart"/>
            <w:r>
              <w:t>Matiere_code</w:t>
            </w:r>
            <w:proofErr w:type="spellEnd"/>
          </w:p>
        </w:tc>
        <w:tc>
          <w:tcPr>
            <w:tcW w:w="4120" w:type="dxa"/>
          </w:tcPr>
          <w:p w14:paraId="1305FE95" w14:textId="1EB2B149" w:rsidR="00764299" w:rsidRDefault="00764299">
            <w:r>
              <w:t>Code du type de matière</w:t>
            </w:r>
          </w:p>
        </w:tc>
        <w:tc>
          <w:tcPr>
            <w:tcW w:w="2126" w:type="dxa"/>
          </w:tcPr>
          <w:p w14:paraId="68044A28" w14:textId="3FF6DDB7" w:rsidR="00764299" w:rsidRDefault="00764299">
            <w:r>
              <w:t>Int (11)</w:t>
            </w:r>
          </w:p>
        </w:tc>
        <w:tc>
          <w:tcPr>
            <w:tcW w:w="1709" w:type="dxa"/>
          </w:tcPr>
          <w:p w14:paraId="079DCAEF" w14:textId="72316C02" w:rsidR="00764299" w:rsidRDefault="00764299">
            <w:r>
              <w:t>Identifiant</w:t>
            </w:r>
          </w:p>
        </w:tc>
      </w:tr>
      <w:tr w:rsidR="00764299" w14:paraId="1D921647" w14:textId="77777777" w:rsidTr="00F925C5">
        <w:tc>
          <w:tcPr>
            <w:tcW w:w="2651" w:type="dxa"/>
          </w:tcPr>
          <w:p w14:paraId="406D1BCF" w14:textId="62FA59A9" w:rsidR="00764299" w:rsidRDefault="00764299">
            <w:proofErr w:type="spellStart"/>
            <w:r>
              <w:t>Matiere_libelle</w:t>
            </w:r>
            <w:proofErr w:type="spellEnd"/>
          </w:p>
        </w:tc>
        <w:tc>
          <w:tcPr>
            <w:tcW w:w="4120" w:type="dxa"/>
          </w:tcPr>
          <w:p w14:paraId="34D0B59B" w14:textId="06C36953" w:rsidR="00764299" w:rsidRDefault="00764299">
            <w:r>
              <w:t>Libellé de la matière</w:t>
            </w:r>
          </w:p>
        </w:tc>
        <w:tc>
          <w:tcPr>
            <w:tcW w:w="2126" w:type="dxa"/>
          </w:tcPr>
          <w:p w14:paraId="45D3DA3E" w14:textId="1FAABD84" w:rsidR="00764299" w:rsidRDefault="00764299">
            <w:r>
              <w:t>Varchar (255)</w:t>
            </w:r>
          </w:p>
        </w:tc>
        <w:tc>
          <w:tcPr>
            <w:tcW w:w="1709" w:type="dxa"/>
          </w:tcPr>
          <w:p w14:paraId="6B685BAE" w14:textId="6BBABE25" w:rsidR="00764299" w:rsidRDefault="00764299">
            <w:r>
              <w:t>Obligatoire</w:t>
            </w:r>
          </w:p>
        </w:tc>
      </w:tr>
    </w:tbl>
    <w:p w14:paraId="52341448" w14:textId="1802E262" w:rsidR="00C57F57" w:rsidRDefault="00C57F57"/>
    <w:p w14:paraId="41B391C2" w14:textId="4A68880F" w:rsidR="000A7B07" w:rsidRDefault="000A7B07">
      <w:r>
        <w:t>Règles de gestion :</w:t>
      </w:r>
    </w:p>
    <w:p w14:paraId="27388257" w14:textId="77777777" w:rsidR="000A7B07" w:rsidRDefault="000A7B07"/>
    <w:sectPr w:rsidR="000A7B07" w:rsidSect="00EC77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06D4"/>
    <w:rsid w:val="000A7B07"/>
    <w:rsid w:val="001F4DD4"/>
    <w:rsid w:val="004512B1"/>
    <w:rsid w:val="004818A9"/>
    <w:rsid w:val="006135FF"/>
    <w:rsid w:val="00737C85"/>
    <w:rsid w:val="00764299"/>
    <w:rsid w:val="007E7675"/>
    <w:rsid w:val="00806512"/>
    <w:rsid w:val="009425BD"/>
    <w:rsid w:val="00961D9E"/>
    <w:rsid w:val="00C57F57"/>
    <w:rsid w:val="00CA08EC"/>
    <w:rsid w:val="00D6217C"/>
    <w:rsid w:val="00DD5739"/>
    <w:rsid w:val="00EC7762"/>
    <w:rsid w:val="00ED06D4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9D60"/>
  <w15:chartTrackingRefBased/>
  <w15:docId w15:val="{AB436526-179E-4A3F-AE21-E6005D73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8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2022-08-26T07:51:00Z</dcterms:created>
  <dcterms:modified xsi:type="dcterms:W3CDTF">2022-08-26T09:50:00Z</dcterms:modified>
</cp:coreProperties>
</file>