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8"/>
        </w:rPr>
        <w:t>Predictive Modelling for Personalised Long COVID</w:t>
        <w:br/>
        <w:t>Risk Assessment and Prevention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9888"/>
      </w:tblGrid>
      <w:tr>
        <w:tc>
          <w:tcPr>
            <w:tcW w:type="dxa" w:w="988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sz w:val="20"/>
              </w:rPr>
              <w:t>Durga Prasad Narsing</w:t>
            </w:r>
          </w:p>
        </w:tc>
      </w:tr>
      <w:tr>
        <w:tc>
          <w:tcPr>
            <w:tcW w:type="dxa" w:w="988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School of Computing</w:t>
            </w:r>
          </w:p>
        </w:tc>
      </w:tr>
      <w:tr>
        <w:tc>
          <w:tcPr>
            <w:tcW w:type="dxa" w:w="988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Dublin City University</w:t>
            </w:r>
          </w:p>
        </w:tc>
      </w:tr>
      <w:tr>
        <w:tc>
          <w:tcPr>
            <w:tcW w:type="dxa" w:w="988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Glasnevin, Dublin 9, Ireland</w:t>
            </w:r>
          </w:p>
        </w:tc>
      </w:tr>
      <w:tr>
        <w:tc>
          <w:tcPr>
            <w:tcW w:type="dxa" w:w="988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durgaprasadnarsing2@gmail.com</w:t>
            </w:r>
          </w:p>
        </w:tc>
      </w:tr>
    </w:tbl>
    <w:p>
      <w:pPr>
        <w:spacing w:before="0" w:after="160"/>
      </w:pPr>
    </w:p>
    <w:p>
      <w:pPr>
        <w:spacing w:before="0" w:after="0"/>
        <w:ind w:firstLine="0"/>
        <w:jc w:val="left"/>
      </w:pPr>
      <w:r>
        <w:rPr>
          <w:rFonts w:ascii="Times New Roman" w:hAnsi="Times New Roman"/>
          <w:b/>
          <w:i/>
          <w:sz w:val="18"/>
        </w:rPr>
        <w:t>Abstract</w:t>
      </w:r>
    </w:p>
    <w:p>
      <w:pPr>
        <w:spacing w:before="0" w:after="60"/>
        <w:ind w:firstLine="0"/>
        <w:jc w:val="both"/>
      </w:pPr>
      <w:r>
        <w:rPr>
          <w:rFonts w:ascii="Times New Roman" w:hAnsi="Times New Roman"/>
          <w:b w:val="0"/>
          <w:i/>
          <w:sz w:val="18"/>
        </w:rPr>
        <w:t>Post-COVID-19 Condition (Long COVID) affects an estimated 6% of SARS-CoV-2 infected individuals, imposing persistent health burdens that current clinical pathways struggle to anticipate. Existing predictive models suffer from four recurring methodological gaps: calibration is rarely reported, demographic fairness is seldom audited, post-admission features introduce target leakage, and per-patient explainability is largely absent. This paper presents a 13-phase, leakage-free, responsible-ML pipeline applied to 220,218 confirmed COVID-19 cases from the Mexican Government surveillance dataset, using in-hospital mortality as a clinically justified proxy for severe Long COVID outcome risk. Nine admission-time features are modelled with Logistic Regression, Random Forest, Gradient Boosting, XGBoost, and a Stacking ensemble. A calibrated Logistic Regression achieves AUC 0.888 (95% CI 0.884-0.892); DeLong statistical testing confirms non-inferiority over all complex models (p &gt; 0.05). Isotonic calibration reduces Brier score from 0.135 to 0.078 and count-weighted ECE from 0.195 to 0.002. An eight-subgroup fairness audit reveals equitable calibration in every group (ECE &lt; 0.015) with TPR disparity reduced from 0.603 to 0.045 via group-specific threshold mitigation. Tree-SHAP identifies pneumonia (44.2%) and age (33.0%) as dominant risk drivers. A Streamlit web prototype delivers calibrated risk scores and real-time explanations, closing all four identified gaps in a single reproducible workflow.</w:t>
      </w:r>
    </w:p>
    <w:p>
      <w:pPr>
        <w:spacing w:before="0" w:after="200"/>
        <w:ind w:firstLine="0"/>
        <w:jc w:val="both"/>
      </w:pPr>
      <w:r>
        <w:rPr>
          <w:rFonts w:ascii="Times New Roman" w:hAnsi="Times New Roman"/>
          <w:b w:val="0"/>
          <w:i/>
          <w:sz w:val="18"/>
        </w:rPr>
        <w:t>Index Terms -- Long COVID, PASC, COVID-19 mortality, machine learning, calibration, DeLong test, SHAP, fairness audit, responsible AI, clinical decision support, Streamlit.</w:t>
      </w:r>
    </w:p>
    <w:p>
      <w:pPr>
        <w:sectPr>
          <w:cols w:num="1" w:space="284" w:equalWidth="1"/>
          <w:pgSz w:w="11906" w:h="16838"/>
          <w:pgMar w:top="1077" w:right="1009" w:bottom="1440" w:left="1009" w:header="720" w:footer="720" w:gutter="0"/>
          <w:docGrid w:linePitch="360"/>
        </w:sectPr>
      </w:pPr>
    </w:p>
    <w:p>
      <w:pPr>
        <w:spacing w:before="140" w:after="60"/>
        <w:ind w:firstLine="0"/>
        <w:jc w:val="center"/>
      </w:pPr>
      <w:r>
        <w:rPr>
          <w:rFonts w:ascii="Times New Roman" w:hAnsi="Times New Roman"/>
          <w:b/>
          <w:i w:val="0"/>
          <w:sz w:val="20"/>
        </w:rPr>
        <w:t>I. INTRODUCTION</w:t>
      </w:r>
    </w:p>
    <w:p>
      <w:pPr>
        <w:spacing w:before="0" w:after="60"/>
        <w:ind w:firstLine="280"/>
        <w:jc w:val="both"/>
      </w:pPr>
      <w:r>
        <w:rPr>
          <w:rFonts w:ascii="Times New Roman" w:hAnsi="Times New Roman"/>
          <w:b w:val="0"/>
          <w:i w:val="0"/>
          <w:sz w:val="20"/>
        </w:rPr>
        <w:t>Post-COVID-19 Condition (PASC), or Long COVID, is a major global public health burden. The World Health Organisation estimates that approximately 6% of individuals infected with SARS-CoV-2 develop PASC [1], characterised by persistent symptoms -- fatigue, dyspnoea, cognitive impairment, and cardiovascular sequelae -- whose prevalence and duration have been quantified by systematic review and meta-analysis [16], lasting months to years beyond the acute episode. United States national surveillance data report 6.9% of adults ever affected and 3.4% with currently ongoing symptoms [2], with disproportionate vulnerability in older adults, females, and individuals with pre-existing chronic comorbidities. The heterogeneity and scale of Long COVID demand validated clinical tools that identify high-risk patients at the point of acute presentation, before the window for early intervention closes.</w:t>
      </w:r>
    </w:p>
    <w:p>
      <w:pPr>
        <w:spacing w:before="0" w:after="60"/>
        <w:ind w:firstLine="280"/>
        <w:jc w:val="both"/>
      </w:pPr>
      <w:r>
        <w:rPr>
          <w:rFonts w:ascii="Times New Roman" w:hAnsi="Times New Roman"/>
          <w:b w:val="0"/>
          <w:i w:val="0"/>
          <w:sz w:val="20"/>
        </w:rPr>
        <w:t>Despite rapid growth in predictive modelling research, the field consistently exhibits four methodological gaps identified by systematic reviews [3][4]: (i) calibration is rarely reported, making model outputs impossible to interpret as clinical probabilities; (ii) performance equity across demographic subgroups is seldom audited, risking inequitable triage; (iii) post-admission variables such as intubation and ICU status are commonly used as predictors, constituting target leakage that inflates apparent performance without clinical utility at the admission decision point; and (iv) per-patient explainability is largely absent, limiting clinician trust and adoption. An additional open question is whether complex ensemble models offer meaningful discriminative gains over Logistic Regression on large, mostly-binary clinical datasets [5].</w:t>
      </w:r>
    </w:p>
    <w:p>
      <w:pPr>
        <w:spacing w:before="0" w:after="60"/>
        <w:ind w:firstLine="280"/>
        <w:jc w:val="both"/>
      </w:pPr>
      <w:r>
        <w:rPr>
          <w:rFonts w:ascii="Times New Roman" w:hAnsi="Times New Roman"/>
          <w:b w:val="0"/>
          <w:i w:val="0"/>
          <w:sz w:val="20"/>
        </w:rPr>
        <w:t>This paper addresses all four gaps with a 13-phase end-to-end responsible-ML pipeline. The Mexican Government COVID-19 dataset (n = 220,218 confirmed cases) provides admission-time clinical data and in-hospital mortality labels; mortality is used as a clinically justified proxy for severe outcome risk in the absence of PASC follow-up labels, consistent with prior literature [6][7]. Four research questions structure the investigation: RQ1 -- can nine admission-time features achieve clinically useful discrimination and calibration? RQ2 -- do complex ensembles significantly outperform Logistic Regression by DeLong test? RQ3 -- are predictions equitable and calibrated across demographic subgroups? RQ4 -- can predictions be delivered interpretably through a functional clinical prototype?</w:t>
      </w:r>
    </w:p>
    <w:p>
      <w:pPr>
        <w:spacing w:before="100" w:after="40"/>
        <w:ind w:firstLine="0"/>
        <w:jc w:val="left"/>
      </w:pPr>
      <w:r>
        <w:rPr>
          <w:rFonts w:ascii="Times New Roman" w:hAnsi="Times New Roman"/>
          <w:b/>
          <w:i/>
          <w:sz w:val="20"/>
        </w:rPr>
        <w:t>A. Contribution</w:t>
      </w:r>
    </w:p>
    <w:p>
      <w:pPr>
        <w:spacing w:before="0" w:after="60"/>
        <w:ind w:firstLine="280"/>
        <w:jc w:val="both"/>
      </w:pPr>
      <w:r>
        <w:rPr>
          <w:rFonts w:ascii="Times New Roman" w:hAnsi="Times New Roman"/>
          <w:b w:val="0"/>
          <w:i w:val="0"/>
          <w:sz w:val="20"/>
        </w:rPr>
        <w:t>This paper makes three contributions. First, an empirical finding: a calibrated Logistic Regression is statistically non-inferior to Random Forest, Gradient Boosting, XGBoost, and Stacking by DeLong's test (p &gt; 0.05 on 220,218 patients), demonstrating that interpretability costs nothing in discrimination on low-dimensional binary clinical features. Second, a methodological contribution: the pipeline operationalises all four identified gaps in a single reproducible workflow -- calibration, subgroup fairness auditing, leakage control, and multi-layer explainability. Third, a responsible-AI contribution: auto-generated Model Card and Datasheet artefacts, a group-specific threshold mitigation strategy, and a Streamlit clinical prototype with governance disclaimers built in.</w:t>
      </w:r>
    </w:p>
    <w:p>
      <w:pPr>
        <w:spacing w:before="100" w:after="40"/>
        <w:ind w:firstLine="0"/>
        <w:jc w:val="left"/>
      </w:pPr>
      <w:r>
        <w:rPr>
          <w:rFonts w:ascii="Times New Roman" w:hAnsi="Times New Roman"/>
          <w:b/>
          <w:i/>
          <w:sz w:val="20"/>
        </w:rPr>
        <w:t>B. Paper Structure</w:t>
      </w:r>
    </w:p>
    <w:p>
      <w:pPr>
        <w:spacing w:before="0" w:after="60"/>
        <w:ind w:firstLine="280"/>
        <w:jc w:val="both"/>
      </w:pPr>
      <w:r>
        <w:rPr>
          <w:rFonts w:ascii="Times New Roman" w:hAnsi="Times New Roman"/>
          <w:b w:val="0"/>
          <w:i w:val="0"/>
          <w:sz w:val="20"/>
        </w:rPr>
        <w:t>Section II reviews related work and identifies the four gaps addressed. Section III describes the engineering pipeline in full detail. Section IV presents performance across six evaluation dimensions. Section V discusses critical findings and limitations. Section VI concludes.</w:t>
      </w:r>
    </w:p>
    <w:p>
      <w:pPr>
        <w:spacing w:before="140" w:after="60"/>
        <w:ind w:firstLine="0"/>
        <w:jc w:val="center"/>
      </w:pPr>
      <w:r>
        <w:rPr>
          <w:rFonts w:ascii="Times New Roman" w:hAnsi="Times New Roman"/>
          <w:b/>
          <w:i w:val="0"/>
          <w:sz w:val="20"/>
        </w:rPr>
        <w:t>II. RELATED WORK</w:t>
      </w:r>
    </w:p>
    <w:p>
      <w:pPr>
        <w:spacing w:before="0" w:after="40"/>
        <w:ind w:firstLine="280"/>
        <w:jc w:val="both"/>
      </w:pPr>
      <w:r>
        <w:rPr>
          <w:rFonts w:ascii="Times New Roman" w:hAnsi="Times New Roman"/>
          <w:b w:val="0"/>
          <w:i w:val="0"/>
          <w:sz w:val="20"/>
        </w:rPr>
        <w:t>This section reviews the Long COVID and COVID-19 mortality prediction literature across five themes -- risk-factor studies, ML prediction models, calibration, fairness, and explainability -- and concludes by stating the research gap this work addresses.</w:t>
      </w:r>
    </w:p>
    <w:p>
      <w:pPr>
        <w:spacing w:before="100" w:after="40"/>
        <w:ind w:firstLine="0"/>
        <w:jc w:val="left"/>
      </w:pPr>
      <w:r>
        <w:rPr>
          <w:rFonts w:ascii="Times New Roman" w:hAnsi="Times New Roman"/>
          <w:b/>
          <w:i/>
          <w:sz w:val="20"/>
        </w:rPr>
        <w:t>A. Risk-Factor Studies</w:t>
      </w:r>
    </w:p>
    <w:p>
      <w:pPr>
        <w:spacing w:before="0" w:after="60"/>
        <w:ind w:firstLine="280"/>
        <w:jc w:val="both"/>
      </w:pPr>
      <w:r>
        <w:rPr>
          <w:rFonts w:ascii="Times New Roman" w:hAnsi="Times New Roman"/>
          <w:b w:val="0"/>
          <w:i w:val="0"/>
          <w:sz w:val="20"/>
        </w:rPr>
        <w:t>Risk-factor studies consistently identify pneumonia, age, sex, obesity, and acute severity as predictors [6][12], but do not operationalise findings into validated deployable tools. Menezes et al. [6] identified age &gt;= 45 (OR 5.55) and &gt;=15 acute symptoms (OR 6.02) in a single-centre observational cohort (n = 108), limiting generalisability. Guzman-Esquivel et al. [12] found tachycardia (RR 10.4) and hospitalisation (RR 2.1) as predictors, without a deployable model or calibration.</w:t>
      </w:r>
    </w:p>
    <w:p>
      <w:pPr>
        <w:spacing w:before="100" w:after="40"/>
        <w:ind w:firstLine="0"/>
        <w:jc w:val="left"/>
      </w:pPr>
      <w:r>
        <w:rPr>
          <w:rFonts w:ascii="Times New Roman" w:hAnsi="Times New Roman"/>
          <w:b/>
          <w:i/>
          <w:sz w:val="20"/>
        </w:rPr>
        <w:t>B. ML Prediction Models and the ML-vs-Regression Question</w:t>
      </w:r>
    </w:p>
    <w:p>
      <w:pPr>
        <w:spacing w:before="0" w:after="60"/>
        <w:ind w:firstLine="280"/>
        <w:jc w:val="both"/>
      </w:pPr>
      <w:r>
        <w:rPr>
          <w:rFonts w:ascii="Times New Roman" w:hAnsi="Times New Roman"/>
          <w:b w:val="0"/>
          <w:i w:val="0"/>
          <w:sz w:val="20"/>
        </w:rPr>
        <w:t>Among deployable models, Jeffrey et al. [4] derived a Scottish logistic regression using five predictors with no reported calibration, fairness audit, or explainability. Antony et al. [3] reviewed ML models across two million EHR patients (AUROC 0.75-0.80) without calibration or fairness. Dozier et al. [7] applied a Super Learner ensemble to 57,563 patients with high discrimination but limited interpretability. Zang et al. [8] used regularised Cox models on the RECOVER cohort (C-index &gt; 0.80) without calibration or fairness. Shakhovska et al. [9] reported AUC = 0.978 on only 122 patients -- raising severe overfitting concerns. Comparative COVID-19 mortality models provide context: Bozkurt and Keskin [17] achieved AUC 0.91 with gradient boosting; Cordelli et al. [18] predicted pulmonary sequelae; Kourmpanis et al. [19] AUC 0.94; Sun et al. [20] and Tang et al. [21] validated further mortality models. Critically, Bjerre et al. [5] found in a systematic comparison on large COVID databases that ML offers only marginal gains over classical regression -- a claim this work tests formally with DeLong statistics (RQ2).</w:t>
      </w:r>
    </w:p>
    <w:p>
      <w:pPr>
        <w:spacing w:before="100" w:after="40"/>
        <w:ind w:firstLine="0"/>
        <w:jc w:val="left"/>
      </w:pPr>
      <w:r>
        <w:rPr>
          <w:rFonts w:ascii="Times New Roman" w:hAnsi="Times New Roman"/>
          <w:b/>
          <w:i/>
          <w:sz w:val="20"/>
        </w:rPr>
        <w:t>C. Calibration and Clinical Utility</w:t>
      </w:r>
    </w:p>
    <w:p>
      <w:pPr>
        <w:spacing w:before="0" w:after="60"/>
        <w:ind w:firstLine="280"/>
        <w:jc w:val="both"/>
      </w:pPr>
      <w:r>
        <w:rPr>
          <w:rFonts w:ascii="Times New Roman" w:hAnsi="Times New Roman"/>
          <w:b w:val="0"/>
          <w:i w:val="0"/>
          <w:sz w:val="20"/>
        </w:rPr>
        <w:t>Teeuw et al. [11] emphasise that high discrimination does not guarantee clinical utility when calibration is poor. Calibration and Decision Curve Analysis are therefore treated here as primary deployment criteria rather than secondary metrics -- a departure from the discrimination-only reporting that dominates the prior work above.</w:t>
      </w:r>
    </w:p>
    <w:p>
      <w:pPr>
        <w:spacing w:before="100" w:after="40"/>
        <w:ind w:firstLine="0"/>
        <w:jc w:val="left"/>
      </w:pPr>
      <w:r>
        <w:rPr>
          <w:rFonts w:ascii="Times New Roman" w:hAnsi="Times New Roman"/>
          <w:b/>
          <w:i/>
          <w:sz w:val="20"/>
        </w:rPr>
        <w:t>D. Fairness in Clinical ML</w:t>
      </w:r>
    </w:p>
    <w:p>
      <w:pPr>
        <w:spacing w:before="0" w:after="60"/>
        <w:ind w:firstLine="280"/>
        <w:jc w:val="both"/>
      </w:pPr>
      <w:r>
        <w:rPr>
          <w:rFonts w:ascii="Times New Roman" w:hAnsi="Times New Roman"/>
          <w:b w:val="0"/>
          <w:i w:val="0"/>
          <w:sz w:val="20"/>
        </w:rPr>
        <w:t>Subgroup performance equity is rarely audited in the Long COVID literature [4][7][8][10], risking inequitable triage across age, sex, and comorbidity groups. Where fairness is considered, discrimination (AUC) and calibration equity are frequently conflated; this work audits both lenses separately and applies group-specific threshold mitigation.</w:t>
      </w:r>
    </w:p>
    <w:p>
      <w:pPr>
        <w:spacing w:before="100" w:after="40"/>
        <w:ind w:firstLine="0"/>
        <w:jc w:val="left"/>
      </w:pPr>
      <w:r>
        <w:rPr>
          <w:rFonts w:ascii="Times New Roman" w:hAnsi="Times New Roman"/>
          <w:b/>
          <w:i/>
          <w:sz w:val="20"/>
        </w:rPr>
        <w:t>E. Explainability</w:t>
      </w:r>
    </w:p>
    <w:p>
      <w:pPr>
        <w:spacing w:before="0" w:after="60"/>
        <w:ind w:firstLine="280"/>
        <w:jc w:val="both"/>
      </w:pPr>
      <w:r>
        <w:rPr>
          <w:rFonts w:ascii="Times New Roman" w:hAnsi="Times New Roman"/>
          <w:b w:val="0"/>
          <w:i w:val="0"/>
          <w:sz w:val="20"/>
        </w:rPr>
        <w:t>Per-patient explainability is largely absent from deployable Long COVID models [3][4][5]. Global feature importance, where reported, is seldom paired with individual attributions or a bedside instrument. This work integrates SHAP, odds ratios, and a clinical nomogram into a single explainability framework exposed through a functional prototype.</w:t>
      </w:r>
    </w:p>
    <w:p>
      <w:pPr>
        <w:spacing w:before="100" w:after="40"/>
        <w:ind w:firstLine="0"/>
        <w:jc w:val="left"/>
      </w:pPr>
      <w:r>
        <w:rPr>
          <w:rFonts w:ascii="Times New Roman" w:hAnsi="Times New Roman"/>
          <w:b/>
          <w:i/>
          <w:sz w:val="20"/>
        </w:rPr>
        <w:t>F. Research Gap</w:t>
      </w:r>
    </w:p>
    <w:p>
      <w:pPr>
        <w:spacing w:before="0" w:after="40"/>
        <w:ind w:firstLine="280"/>
        <w:jc w:val="both"/>
      </w:pPr>
      <w:r>
        <w:rPr>
          <w:rFonts w:ascii="Times New Roman" w:hAnsi="Times New Roman"/>
          <w:b w:val="0"/>
          <w:i w:val="0"/>
          <w:sz w:val="20"/>
        </w:rPr>
        <w:t>No prior study consolidates leakage control, probability calibration, subgroup fairness auditing, and multi-layer explainability into one reproducible, deployable workflow. Table I summarises the four recurring methodological gaps and how this study closes each.</w:t>
      </w:r>
    </w:p>
    <w:tbl>
      <w:tblPr>
        <w:tblStyle w:val="TableGrid"/>
        <w:tblW w:type="auto" w:w="0"/>
        <w:tblLook w:firstColumn="1" w:firstRow="1" w:lastColumn="0" w:lastRow="0" w:noHBand="0" w:noVBand="1" w:val="04A0"/>
      </w:tblPr>
      <w:tblGrid>
        <w:gridCol w:w="3296"/>
        <w:gridCol w:w="3296"/>
        <w:gridCol w:w="3296"/>
      </w:tblGrid>
      <w:tr>
        <w:tc>
          <w:tcPr>
            <w:tcW w:type="dxa" w:w="3296"/>
          </w:tcPr>
          <w:p>
            <w:r>
              <w:rPr>
                <w:rFonts w:ascii="Times New Roman" w:hAnsi="Times New Roman"/>
                <w:b/>
                <w:sz w:val="16"/>
              </w:rPr>
              <w:t>Gap</w:t>
            </w:r>
          </w:p>
        </w:tc>
        <w:tc>
          <w:tcPr>
            <w:tcW w:type="dxa" w:w="3296"/>
          </w:tcPr>
          <w:p>
            <w:r>
              <w:rPr>
                <w:rFonts w:ascii="Times New Roman" w:hAnsi="Times New Roman"/>
                <w:b/>
                <w:sz w:val="16"/>
              </w:rPr>
              <w:t>Prior Studies</w:t>
            </w:r>
          </w:p>
        </w:tc>
        <w:tc>
          <w:tcPr>
            <w:tcW w:type="dxa" w:w="3296"/>
          </w:tcPr>
          <w:p>
            <w:r>
              <w:rPr>
                <w:rFonts w:ascii="Times New Roman" w:hAnsi="Times New Roman"/>
                <w:b/>
                <w:sz w:val="16"/>
              </w:rPr>
              <w:t>This Work</w:t>
            </w:r>
          </w:p>
        </w:tc>
      </w:tr>
      <w:tr>
        <w:tc>
          <w:tcPr>
            <w:tcW w:type="dxa" w:w="3296"/>
          </w:tcPr>
          <w:p>
            <w:r>
              <w:rPr>
                <w:rFonts w:ascii="Times New Roman" w:hAnsi="Times New Roman"/>
                <w:sz w:val="16"/>
              </w:rPr>
              <w:t>Calibration not reported</w:t>
            </w:r>
          </w:p>
        </w:tc>
        <w:tc>
          <w:tcPr>
            <w:tcW w:type="dxa" w:w="3296"/>
          </w:tcPr>
          <w:p>
            <w:r>
              <w:rPr>
                <w:rFonts w:ascii="Times New Roman" w:hAnsi="Times New Roman"/>
                <w:sz w:val="16"/>
              </w:rPr>
              <w:t>[4][7][8][9]</w:t>
            </w:r>
          </w:p>
        </w:tc>
        <w:tc>
          <w:tcPr>
            <w:tcW w:type="dxa" w:w="3296"/>
          </w:tcPr>
          <w:p>
            <w:r>
              <w:rPr>
                <w:rFonts w:ascii="Times New Roman" w:hAnsi="Times New Roman"/>
                <w:sz w:val="16"/>
              </w:rPr>
              <w:t>Brier + ECE; isotonic correction</w:t>
            </w:r>
          </w:p>
        </w:tc>
      </w:tr>
      <w:tr>
        <w:tc>
          <w:tcPr>
            <w:tcW w:type="dxa" w:w="3296"/>
          </w:tcPr>
          <w:p>
            <w:r>
              <w:rPr>
                <w:rFonts w:ascii="Times New Roman" w:hAnsi="Times New Roman"/>
                <w:sz w:val="16"/>
              </w:rPr>
              <w:t>No subgroup fairness audit</w:t>
            </w:r>
          </w:p>
        </w:tc>
        <w:tc>
          <w:tcPr>
            <w:tcW w:type="dxa" w:w="3296"/>
          </w:tcPr>
          <w:p>
            <w:r>
              <w:rPr>
                <w:rFonts w:ascii="Times New Roman" w:hAnsi="Times New Roman"/>
                <w:sz w:val="16"/>
              </w:rPr>
              <w:t>[4][7][8][10]</w:t>
            </w:r>
          </w:p>
        </w:tc>
        <w:tc>
          <w:tcPr>
            <w:tcW w:type="dxa" w:w="3296"/>
          </w:tcPr>
          <w:p>
            <w:r>
              <w:rPr>
                <w:rFonts w:ascii="Times New Roman" w:hAnsi="Times New Roman"/>
                <w:sz w:val="16"/>
              </w:rPr>
              <w:t>8 subgroups; threshold mitigation</w:t>
            </w:r>
          </w:p>
        </w:tc>
      </w:tr>
      <w:tr>
        <w:tc>
          <w:tcPr>
            <w:tcW w:type="dxa" w:w="3296"/>
          </w:tcPr>
          <w:p>
            <w:r>
              <w:rPr>
                <w:rFonts w:ascii="Times New Roman" w:hAnsi="Times New Roman"/>
                <w:sz w:val="16"/>
              </w:rPr>
              <w:t>Target leakage (intubation/ICU)</w:t>
            </w:r>
          </w:p>
        </w:tc>
        <w:tc>
          <w:tcPr>
            <w:tcW w:type="dxa" w:w="3296"/>
          </w:tcPr>
          <w:p>
            <w:r>
              <w:rPr>
                <w:rFonts w:ascii="Times New Roman" w:hAnsi="Times New Roman"/>
                <w:sz w:val="16"/>
              </w:rPr>
              <w:t>[9][10]</w:t>
            </w:r>
          </w:p>
        </w:tc>
        <w:tc>
          <w:tcPr>
            <w:tcW w:type="dxa" w:w="3296"/>
          </w:tcPr>
          <w:p>
            <w:r>
              <w:rPr>
                <w:rFonts w:ascii="Times New Roman" w:hAnsi="Times New Roman"/>
                <w:sz w:val="16"/>
              </w:rPr>
              <w:t>9 admission-time features only</w:t>
            </w:r>
          </w:p>
        </w:tc>
      </w:tr>
      <w:tr>
        <w:tc>
          <w:tcPr>
            <w:tcW w:type="dxa" w:w="3296"/>
          </w:tcPr>
          <w:p>
            <w:r>
              <w:rPr>
                <w:rFonts w:ascii="Times New Roman" w:hAnsi="Times New Roman"/>
                <w:sz w:val="16"/>
              </w:rPr>
              <w:t>No per-patient explainability</w:t>
            </w:r>
          </w:p>
        </w:tc>
        <w:tc>
          <w:tcPr>
            <w:tcW w:type="dxa" w:w="3296"/>
          </w:tcPr>
          <w:p>
            <w:r>
              <w:rPr>
                <w:rFonts w:ascii="Times New Roman" w:hAnsi="Times New Roman"/>
                <w:sz w:val="16"/>
              </w:rPr>
              <w:t>[4][5][3]</w:t>
            </w:r>
          </w:p>
        </w:tc>
        <w:tc>
          <w:tcPr>
            <w:tcW w:type="dxa" w:w="3296"/>
          </w:tcPr>
          <w:p>
            <w:r>
              <w:rPr>
                <w:rFonts w:ascii="Times New Roman" w:hAnsi="Times New Roman"/>
                <w:sz w:val="16"/>
              </w:rPr>
              <w:t>SHAP + OR + nomogram + web app</w:t>
            </w:r>
          </w:p>
        </w:tc>
      </w:tr>
      <w:tr>
        <w:tc>
          <w:tcPr>
            <w:tcW w:type="dxa" w:w="3296"/>
          </w:tcPr>
          <w:p>
            <w:r>
              <w:rPr>
                <w:rFonts w:ascii="Times New Roman" w:hAnsi="Times New Roman"/>
                <w:sz w:val="16"/>
              </w:rPr>
              <w:t>No deployable prototype</w:t>
            </w:r>
          </w:p>
        </w:tc>
        <w:tc>
          <w:tcPr>
            <w:tcW w:type="dxa" w:w="3296"/>
          </w:tcPr>
          <w:p>
            <w:r>
              <w:rPr>
                <w:rFonts w:ascii="Times New Roman" w:hAnsi="Times New Roman"/>
                <w:sz w:val="16"/>
              </w:rPr>
              <w:t>[4][6][12]</w:t>
            </w:r>
          </w:p>
        </w:tc>
        <w:tc>
          <w:tcPr>
            <w:tcW w:type="dxa" w:w="3296"/>
          </w:tcPr>
          <w:p>
            <w:r>
              <w:rPr>
                <w:rFonts w:ascii="Times New Roman" w:hAnsi="Times New Roman"/>
                <w:sz w:val="16"/>
              </w:rPr>
              <w:t>Streamlit app with live pipeline</w:t>
            </w:r>
          </w:p>
        </w:tc>
      </w:tr>
    </w:tbl>
    <w:p>
      <w:pPr>
        <w:spacing w:before="40" w:after="120"/>
        <w:ind w:firstLine="0"/>
        <w:jc w:val="center"/>
      </w:pPr>
      <w:r>
        <w:rPr>
          <w:rFonts w:ascii="Times New Roman" w:hAnsi="Times New Roman"/>
          <w:b w:val="0"/>
          <w:i/>
          <w:sz w:val="16"/>
        </w:rPr>
        <w:t>TABLE I.  Methodological Gaps in Prior Work vs This Study</w:t>
      </w:r>
    </w:p>
    <w:p>
      <w:pPr>
        <w:spacing w:before="140" w:after="60"/>
        <w:ind w:firstLine="0"/>
        <w:jc w:val="center"/>
      </w:pPr>
      <w:r>
        <w:rPr>
          <w:rFonts w:ascii="Times New Roman" w:hAnsi="Times New Roman"/>
          <w:b/>
          <w:i w:val="0"/>
          <w:sz w:val="20"/>
        </w:rPr>
        <w:t>III. METHODOLOGY</w:t>
      </w:r>
    </w:p>
    <w:p>
      <w:pPr>
        <w:spacing w:before="0" w:after="40"/>
        <w:ind w:firstLine="280"/>
        <w:jc w:val="both"/>
      </w:pPr>
      <w:r>
        <w:rPr>
          <w:rFonts w:ascii="Times New Roman" w:hAnsi="Times New Roman"/>
          <w:b w:val="0"/>
          <w:i w:val="0"/>
          <w:sz w:val="20"/>
        </w:rPr>
        <w:t>The proposed system is a leakage-free, responsible-ML pipeline that benchmarks five model families, selects the deployed model by formal statistical testing, calibrates its probabilities, and exposes calibrated risk with multi-layer explanations through a clinical prototype. As shown in Fig. 1, the system comprises eight stages, described block by block below; Fig. 2 organises them into the 13-phase machine-learning lifecycle.</w:t>
      </w:r>
    </w:p>
    <w:p>
      <w:pPr>
        <w:sectPr>
          <w:cols w:num="2" w:space="284" w:equalWidth="1"/>
          <w:type w:val="nextColumn"/>
          <w:pgSz w:w="11906" w:h="16838"/>
          <w:pgMar w:top="1077" w:right="1009" w:bottom="1440" w:left="1009" w:header="720" w:footer="720" w:gutter="0"/>
          <w:docGrid w:linePitch="360"/>
        </w:sectPr>
      </w:pPr>
    </w:p>
    <w:p>
      <w:pPr>
        <w:spacing w:before="80" w:after="0"/>
        <w:jc w:val="center"/>
      </w:pPr>
      <w:r>
        <w:drawing>
          <wp:inline xmlns:a="http://schemas.openxmlformats.org/drawingml/2006/main" xmlns:pic="http://schemas.openxmlformats.org/drawingml/2006/picture">
            <wp:extent cx="5472000" cy="2391467"/>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72000" cy="2391467"/>
                    </a:xfrm>
                    <a:prstGeom prst="rect"/>
                  </pic:spPr>
                </pic:pic>
              </a:graphicData>
            </a:graphic>
          </wp:inline>
        </w:drawing>
      </w:r>
    </w:p>
    <w:p>
      <w:pPr>
        <w:spacing w:before="40" w:after="120"/>
        <w:ind w:firstLine="0"/>
        <w:jc w:val="center"/>
      </w:pPr>
      <w:r>
        <w:rPr>
          <w:rFonts w:ascii="Times New Roman" w:hAnsi="Times New Roman"/>
          <w:b w:val="0"/>
          <w:i/>
          <w:sz w:val="16"/>
        </w:rPr>
        <w:t>Fig. 1.  Responsible-ML system architecture. Nine admission-time features are preprocessed leakage-free and benchmarked across five model families. The deployed model is selected by DeLong test and isotonic-calibrated, then emits a calibrated risk score, a tuned threshold flag, multi-layer explanations, and a subgroup fairness audit, all exposed through a Streamlit clinical prototype.</w:t>
      </w:r>
    </w:p>
    <w:p>
      <w:pPr>
        <w:sectPr>
          <w:cols w:num="1" w:space="284" w:equalWidth="1"/>
          <w:type w:val="continuous"/>
          <w:pgSz w:w="11906" w:h="16838"/>
          <w:pgMar w:top="1077" w:right="1009" w:bottom="1440" w:left="1009" w:header="720" w:footer="720" w:gutter="0"/>
          <w:docGrid w:linePitch="360"/>
        </w:sectPr>
      </w:pPr>
    </w:p>
    <w:p>
      <w:pPr>
        <w:spacing w:before="0" w:after="60"/>
        <w:ind w:firstLine="280"/>
        <w:jc w:val="both"/>
      </w:pPr>
      <w:r>
        <w:rPr>
          <w:rFonts w:ascii="Times New Roman" w:hAnsi="Times New Roman"/>
          <w:b/>
          <w:sz w:val="20"/>
        </w:rPr>
        <w:t xml:space="preserve">Patient Inputs.  </w:t>
      </w:r>
      <w:r>
        <w:rPr>
          <w:rFonts w:ascii="Times New Roman" w:hAnsi="Times New Roman"/>
          <w:sz w:val="20"/>
        </w:rPr>
        <w:t>Nine admission-time features -- age, sex, and seven binary comorbidities -- enter the system; post-admission variables (intubation, ICU) are excluded to prevent target leakage.</w:t>
      </w:r>
    </w:p>
    <w:p>
      <w:pPr>
        <w:spacing w:before="0" w:after="60"/>
        <w:ind w:firstLine="280"/>
        <w:jc w:val="both"/>
      </w:pPr>
      <w:r>
        <w:rPr>
          <w:rFonts w:ascii="Times New Roman" w:hAnsi="Times New Roman"/>
          <w:b/>
          <w:sz w:val="20"/>
        </w:rPr>
        <w:t xml:space="preserve">Preprocessing.  </w:t>
      </w:r>
      <w:r>
        <w:rPr>
          <w:rFonts w:ascii="Times New Roman" w:hAnsi="Times New Roman"/>
          <w:sz w:val="20"/>
        </w:rPr>
        <w:t>Sentinel decoding (97/98/99 -&gt; NaN), median imputation, and standardisation are fit on the training partition only and applied identically to the test set, enforcing leakage-free transformation.</w:t>
      </w:r>
    </w:p>
    <w:p>
      <w:pPr>
        <w:spacing w:before="0" w:after="60"/>
        <w:ind w:firstLine="280"/>
        <w:jc w:val="both"/>
      </w:pPr>
      <w:r>
        <w:rPr>
          <w:rFonts w:ascii="Times New Roman" w:hAnsi="Times New Roman"/>
          <w:b/>
          <w:sz w:val="20"/>
        </w:rPr>
        <w:t xml:space="preserve">Model Benchmarking.  </w:t>
      </w:r>
      <w:r>
        <w:rPr>
          <w:rFonts w:ascii="Times New Roman" w:hAnsi="Times New Roman"/>
          <w:sz w:val="20"/>
        </w:rPr>
        <w:t>Five families -- Logistic Regression, Random Forest, Gradient Boosting, XGBoost, and a Stacking ensemble -- are trained with cost-sensitive weighting to address the 1:7 class imbalance.</w:t>
      </w:r>
    </w:p>
    <w:p>
      <w:pPr>
        <w:spacing w:before="0" w:after="60"/>
        <w:ind w:firstLine="280"/>
        <w:jc w:val="both"/>
      </w:pPr>
      <w:r>
        <w:rPr>
          <w:rFonts w:ascii="Times New Roman" w:hAnsi="Times New Roman"/>
          <w:b/>
          <w:sz w:val="20"/>
        </w:rPr>
        <w:t xml:space="preserve">Model Selection.  </w:t>
      </w:r>
      <w:r>
        <w:rPr>
          <w:rFonts w:ascii="Times New Roman" w:hAnsi="Times New Roman"/>
          <w:sz w:val="20"/>
        </w:rPr>
        <w:t>DeLong's test compares AUCs on the held-out set: no complex model significantly beats Logistic Regression (p &gt; 0.05), so the interpretable model is chosen.</w:t>
      </w:r>
    </w:p>
    <w:p>
      <w:pPr>
        <w:spacing w:before="0" w:after="60"/>
        <w:ind w:firstLine="280"/>
        <w:jc w:val="both"/>
      </w:pPr>
      <w:r>
        <w:rPr>
          <w:rFonts w:ascii="Times New Roman" w:hAnsi="Times New Roman"/>
          <w:b/>
          <w:sz w:val="20"/>
        </w:rPr>
        <w:t xml:space="preserve">Calibration.  </w:t>
      </w:r>
      <w:r>
        <w:rPr>
          <w:rFonts w:ascii="Times New Roman" w:hAnsi="Times New Roman"/>
          <w:sz w:val="20"/>
        </w:rPr>
        <w:t>The selected Logistic Regression is wrapped in isotonic CalibratedClassifierCV (cv=5), reducing count-weighted ECE from 0.195 to 0.002 and Brier score from 0.135 to 0.078.</w:t>
      </w:r>
    </w:p>
    <w:p>
      <w:pPr>
        <w:spacing w:before="0" w:after="60"/>
        <w:ind w:firstLine="280"/>
        <w:jc w:val="both"/>
      </w:pPr>
      <w:r>
        <w:rPr>
          <w:rFonts w:ascii="Times New Roman" w:hAnsi="Times New Roman"/>
          <w:b/>
          <w:sz w:val="20"/>
        </w:rPr>
        <w:t xml:space="preserve">Deployed Model.  </w:t>
      </w:r>
      <w:r>
        <w:rPr>
          <w:rFonts w:ascii="Times New Roman" w:hAnsi="Times New Roman"/>
          <w:sz w:val="20"/>
        </w:rPr>
        <w:t>The calibrated Logistic Regression is persisted (13 KB) and serves every downstream task through the identical impute -&gt; scale -&gt; predict chain used during training.</w:t>
      </w:r>
    </w:p>
    <w:p>
      <w:pPr>
        <w:spacing w:before="0" w:after="60"/>
        <w:ind w:firstLine="280"/>
        <w:jc w:val="both"/>
      </w:pPr>
      <w:r>
        <w:rPr>
          <w:rFonts w:ascii="Times New Roman" w:hAnsi="Times New Roman"/>
          <w:b/>
          <w:sz w:val="20"/>
        </w:rPr>
        <w:t xml:space="preserve">Outputs.  </w:t>
      </w:r>
      <w:r>
        <w:rPr>
          <w:rFonts w:ascii="Times New Roman" w:hAnsi="Times New Roman"/>
          <w:sz w:val="20"/>
        </w:rPr>
        <w:t>It emits a calibrated risk percentage, a tuned decision flag (F1-optimal 0.26 or Youden 0.10), SHAP / odds-ratio / nomogram explanations, and an eight-subgroup fairness audit with threshold mitigation.</w:t>
      </w:r>
    </w:p>
    <w:p>
      <w:pPr>
        <w:spacing w:before="0" w:after="60"/>
        <w:ind w:firstLine="280"/>
        <w:jc w:val="both"/>
      </w:pPr>
      <w:r>
        <w:rPr>
          <w:rFonts w:ascii="Times New Roman" w:hAnsi="Times New Roman"/>
          <w:b/>
          <w:sz w:val="20"/>
        </w:rPr>
        <w:t xml:space="preserve">Clinical Prototype.  </w:t>
      </w:r>
      <w:r>
        <w:rPr>
          <w:rFonts w:ascii="Times New Roman" w:hAnsi="Times New Roman"/>
          <w:sz w:val="20"/>
        </w:rPr>
        <w:t>A two-page Streamlit application exposes all outputs at the bedside, with an auto-generated Model Card and Datasheet providing responsible-AI governance.</w:t>
      </w:r>
    </w:p>
    <w:p>
      <w:pPr>
        <w:sectPr>
          <w:cols w:num="2" w:space="284" w:equalWidth="1"/>
          <w:type w:val="continuous"/>
          <w:pgSz w:w="11906" w:h="16838"/>
          <w:pgMar w:top="1077" w:right="1009" w:bottom="1440" w:left="1009" w:header="720" w:footer="720" w:gutter="0"/>
          <w:docGrid w:linePitch="360"/>
        </w:sectPr>
      </w:pPr>
    </w:p>
    <w:p>
      <w:pPr>
        <w:spacing w:before="80" w:after="0"/>
        <w:jc w:val="center"/>
      </w:pPr>
      <w:r>
        <w:drawing>
          <wp:inline xmlns:a="http://schemas.openxmlformats.org/drawingml/2006/main" xmlns:pic="http://schemas.openxmlformats.org/drawingml/2006/picture">
            <wp:extent cx="5472000" cy="3720960"/>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5472000" cy="3720960"/>
                    </a:xfrm>
                    <a:prstGeom prst="rect"/>
                  </pic:spPr>
                </pic:pic>
              </a:graphicData>
            </a:graphic>
          </wp:inline>
        </w:drawing>
      </w:r>
    </w:p>
    <w:p>
      <w:pPr>
        <w:spacing w:before="40" w:after="120"/>
        <w:ind w:firstLine="0"/>
        <w:jc w:val="center"/>
      </w:pPr>
      <w:r>
        <w:rPr>
          <w:rFonts w:ascii="Times New Roman" w:hAnsi="Times New Roman"/>
          <w:b w:val="0"/>
          <w:i/>
          <w:sz w:val="16"/>
        </w:rPr>
        <w:t>Fig. 2.  13-phase methodology pipeline. Phase 1 (data preparation) applies leakage-free preprocessing and cost-sensitive sampling; Phase 2 (training and selection) benchmarks five models, tests AUC differences, and calibrates the deployed model; Phase 3 (evaluation) computes discrimination, calibration, fairness, explainability, decision-curve, and temporal results, and emits governance artefacts. The following subsections detail each component.</w:t>
      </w:r>
    </w:p>
    <w:p>
      <w:pPr>
        <w:sectPr>
          <w:cols w:num="1" w:space="284" w:equalWidth="1"/>
          <w:type w:val="continuous"/>
          <w:pgSz w:w="11906" w:h="16838"/>
          <w:pgMar w:top="1077" w:right="1009" w:bottom="1440" w:left="1009" w:header="720" w:footer="720" w:gutter="0"/>
          <w:docGrid w:linePitch="360"/>
        </w:sectPr>
      </w:pPr>
    </w:p>
    <w:p>
      <w:pPr>
        <w:spacing w:before="100" w:after="40"/>
        <w:ind w:firstLine="0"/>
        <w:jc w:val="left"/>
      </w:pPr>
      <w:r>
        <w:rPr>
          <w:rFonts w:ascii="Times New Roman" w:hAnsi="Times New Roman"/>
          <w:b/>
          <w:i/>
          <w:sz w:val="20"/>
        </w:rPr>
        <w:t>A. Dataset and Cohort Selection</w:t>
      </w:r>
    </w:p>
    <w:p>
      <w:pPr>
        <w:spacing w:before="0" w:after="60"/>
        <w:ind w:firstLine="280"/>
        <w:jc w:val="both"/>
      </w:pPr>
      <w:r>
        <w:rPr>
          <w:rFonts w:ascii="Times New Roman" w:hAnsi="Times New Roman"/>
          <w:b w:val="0"/>
          <w:i w:val="0"/>
          <w:sz w:val="20"/>
        </w:rPr>
        <w:t>The Mexican Government COVID-19 surveillance dataset (Kaggle 2020 [14]) contains 566,602 patient records from the acute phase of SARS-CoV-2 infection. Variables include age (continuous, years), sex (binary), seven binary comorbidities (diabetes, hypertension, cardiovascular disease, pneumonia, obesity, asthma, COPD), clinical outcomes (intubation, ICU admission, death date), and administrative fields. The primary modelling cohort comprises 220,218 confirmed COVID-19 cases (covid_res == 1) with an in-hospital mortality rate of 12.31% (27,102 deaths; 193,116 survivors), representing a 1:7 class imbalance. Data were partitioned 80/20 stratified by outcome: 176,174 training patients, 44,044 held-out test patients. Events-per-variable (EPV = 27,102 / 9 = 3,011) far exceeds the minimum threshold of 10, confirming ample data for stable coefficient estimation. Table II summarises the cohort and feature set.</w:t>
      </w:r>
    </w:p>
    <w:tbl>
      <w:tblPr>
        <w:tblStyle w:val="TableGrid"/>
        <w:tblW w:type="auto" w:w="0"/>
        <w:tblLook w:firstColumn="1" w:firstRow="1" w:lastColumn="0" w:lastRow="0" w:noHBand="0" w:noVBand="1" w:val="04A0"/>
      </w:tblPr>
      <w:tblGrid>
        <w:gridCol w:w="4944"/>
        <w:gridCol w:w="4944"/>
      </w:tblGrid>
      <w:tr>
        <w:tc>
          <w:tcPr>
            <w:tcW w:type="dxa" w:w="4944"/>
          </w:tcPr>
          <w:p>
            <w:r>
              <w:rPr>
                <w:rFonts w:ascii="Times New Roman" w:hAnsi="Times New Roman"/>
                <w:b/>
                <w:sz w:val="16"/>
              </w:rPr>
              <w:t>Property</w:t>
            </w:r>
          </w:p>
        </w:tc>
        <w:tc>
          <w:tcPr>
            <w:tcW w:type="dxa" w:w="4944"/>
          </w:tcPr>
          <w:p>
            <w:r>
              <w:rPr>
                <w:rFonts w:ascii="Times New Roman" w:hAnsi="Times New Roman"/>
                <w:b/>
                <w:sz w:val="16"/>
              </w:rPr>
              <w:t>Value</w:t>
            </w:r>
          </w:p>
        </w:tc>
      </w:tr>
      <w:tr>
        <w:tc>
          <w:tcPr>
            <w:tcW w:type="dxa" w:w="4944"/>
          </w:tcPr>
          <w:p>
            <w:r>
              <w:rPr>
                <w:rFonts w:ascii="Times New Roman" w:hAnsi="Times New Roman"/>
                <w:sz w:val="16"/>
              </w:rPr>
              <w:t>Source</w:t>
            </w:r>
          </w:p>
        </w:tc>
        <w:tc>
          <w:tcPr>
            <w:tcW w:type="dxa" w:w="4944"/>
          </w:tcPr>
          <w:p>
            <w:r>
              <w:rPr>
                <w:rFonts w:ascii="Times New Roman" w:hAnsi="Times New Roman"/>
                <w:sz w:val="16"/>
              </w:rPr>
              <w:t>Mexican Govt. COVID-19 surveillance [14]</w:t>
            </w:r>
          </w:p>
        </w:tc>
      </w:tr>
      <w:tr>
        <w:tc>
          <w:tcPr>
            <w:tcW w:type="dxa" w:w="4944"/>
          </w:tcPr>
          <w:p>
            <w:r>
              <w:rPr>
                <w:rFonts w:ascii="Times New Roman" w:hAnsi="Times New Roman"/>
                <w:sz w:val="16"/>
              </w:rPr>
              <w:t>Total records</w:t>
            </w:r>
          </w:p>
        </w:tc>
        <w:tc>
          <w:tcPr>
            <w:tcW w:type="dxa" w:w="4944"/>
          </w:tcPr>
          <w:p>
            <w:r>
              <w:rPr>
                <w:rFonts w:ascii="Times New Roman" w:hAnsi="Times New Roman"/>
                <w:sz w:val="16"/>
              </w:rPr>
              <w:t>566,602</w:t>
            </w:r>
          </w:p>
        </w:tc>
      </w:tr>
      <w:tr>
        <w:tc>
          <w:tcPr>
            <w:tcW w:type="dxa" w:w="4944"/>
          </w:tcPr>
          <w:p>
            <w:r>
              <w:rPr>
                <w:rFonts w:ascii="Times New Roman" w:hAnsi="Times New Roman"/>
                <w:sz w:val="16"/>
              </w:rPr>
              <w:t>Confirmed cohort</w:t>
            </w:r>
          </w:p>
        </w:tc>
        <w:tc>
          <w:tcPr>
            <w:tcW w:type="dxa" w:w="4944"/>
          </w:tcPr>
          <w:p>
            <w:r>
              <w:rPr>
                <w:rFonts w:ascii="Times New Roman" w:hAnsi="Times New Roman"/>
                <w:sz w:val="16"/>
              </w:rPr>
              <w:t>220,218 (covid_res = 1)</w:t>
            </w:r>
          </w:p>
        </w:tc>
      </w:tr>
      <w:tr>
        <w:tc>
          <w:tcPr>
            <w:tcW w:type="dxa" w:w="4944"/>
          </w:tcPr>
          <w:p>
            <w:r>
              <w:rPr>
                <w:rFonts w:ascii="Times New Roman" w:hAnsi="Times New Roman"/>
                <w:sz w:val="16"/>
              </w:rPr>
              <w:t>Outcome / prevalence</w:t>
            </w:r>
          </w:p>
        </w:tc>
        <w:tc>
          <w:tcPr>
            <w:tcW w:type="dxa" w:w="4944"/>
          </w:tcPr>
          <w:p>
            <w:r>
              <w:rPr>
                <w:rFonts w:ascii="Times New Roman" w:hAnsi="Times New Roman"/>
                <w:sz w:val="16"/>
              </w:rPr>
              <w:t>in-hospital mortality / 12.31%</w:t>
            </w:r>
          </w:p>
        </w:tc>
      </w:tr>
      <w:tr>
        <w:tc>
          <w:tcPr>
            <w:tcW w:type="dxa" w:w="4944"/>
          </w:tcPr>
          <w:p>
            <w:r>
              <w:rPr>
                <w:rFonts w:ascii="Times New Roman" w:hAnsi="Times New Roman"/>
                <w:sz w:val="16"/>
              </w:rPr>
              <w:t>Class imbalance</w:t>
            </w:r>
          </w:p>
        </w:tc>
        <w:tc>
          <w:tcPr>
            <w:tcW w:type="dxa" w:w="4944"/>
          </w:tcPr>
          <w:p>
            <w:r>
              <w:rPr>
                <w:rFonts w:ascii="Times New Roman" w:hAnsi="Times New Roman"/>
                <w:sz w:val="16"/>
              </w:rPr>
              <w:t>1 : 7 (27,102 vs 193,116)</w:t>
            </w:r>
          </w:p>
        </w:tc>
      </w:tr>
      <w:tr>
        <w:tc>
          <w:tcPr>
            <w:tcW w:type="dxa" w:w="4944"/>
          </w:tcPr>
          <w:p>
            <w:r>
              <w:rPr>
                <w:rFonts w:ascii="Times New Roman" w:hAnsi="Times New Roman"/>
                <w:sz w:val="16"/>
              </w:rPr>
              <w:t>Features (9)</w:t>
            </w:r>
          </w:p>
        </w:tc>
        <w:tc>
          <w:tcPr>
            <w:tcW w:type="dxa" w:w="4944"/>
          </w:tcPr>
          <w:p>
            <w:r>
              <w:rPr>
                <w:rFonts w:ascii="Times New Roman" w:hAnsi="Times New Roman"/>
                <w:sz w:val="16"/>
              </w:rPr>
              <w:t>age, sex, 7 binary comorbidities</w:t>
            </w:r>
          </w:p>
        </w:tc>
      </w:tr>
      <w:tr>
        <w:tc>
          <w:tcPr>
            <w:tcW w:type="dxa" w:w="4944"/>
          </w:tcPr>
          <w:p>
            <w:r>
              <w:rPr>
                <w:rFonts w:ascii="Times New Roman" w:hAnsi="Times New Roman"/>
                <w:sz w:val="16"/>
              </w:rPr>
              <w:t>Train / Test</w:t>
            </w:r>
          </w:p>
        </w:tc>
        <w:tc>
          <w:tcPr>
            <w:tcW w:type="dxa" w:w="4944"/>
          </w:tcPr>
          <w:p>
            <w:r>
              <w:rPr>
                <w:rFonts w:ascii="Times New Roman" w:hAnsi="Times New Roman"/>
                <w:sz w:val="16"/>
              </w:rPr>
              <w:t>176,174 / 44,044 (stratified 80/20)</w:t>
            </w:r>
          </w:p>
        </w:tc>
      </w:tr>
      <w:tr>
        <w:tc>
          <w:tcPr>
            <w:tcW w:type="dxa" w:w="4944"/>
          </w:tcPr>
          <w:p>
            <w:r>
              <w:rPr>
                <w:rFonts w:ascii="Times New Roman" w:hAnsi="Times New Roman"/>
                <w:sz w:val="16"/>
              </w:rPr>
              <w:t>Events-per-variable</w:t>
            </w:r>
          </w:p>
        </w:tc>
        <w:tc>
          <w:tcPr>
            <w:tcW w:type="dxa" w:w="4944"/>
          </w:tcPr>
          <w:p>
            <w:r>
              <w:rPr>
                <w:rFonts w:ascii="Times New Roman" w:hAnsi="Times New Roman"/>
                <w:sz w:val="16"/>
              </w:rPr>
              <w:t>3,011 (&gt;&gt; 10)</w:t>
            </w:r>
          </w:p>
        </w:tc>
      </w:tr>
    </w:tbl>
    <w:p>
      <w:pPr>
        <w:spacing w:before="40" w:after="120"/>
        <w:ind w:firstLine="0"/>
        <w:jc w:val="center"/>
      </w:pPr>
      <w:r>
        <w:rPr>
          <w:rFonts w:ascii="Times New Roman" w:hAnsi="Times New Roman"/>
          <w:b w:val="0"/>
          <w:i/>
          <w:sz w:val="16"/>
        </w:rPr>
        <w:t>TABLE II.  Dataset and Cohort Composition</w:t>
      </w:r>
    </w:p>
    <w:p>
      <w:pPr>
        <w:spacing w:before="100" w:after="40"/>
        <w:ind w:firstLine="0"/>
        <w:jc w:val="left"/>
      </w:pPr>
      <w:r>
        <w:rPr>
          <w:rFonts w:ascii="Times New Roman" w:hAnsi="Times New Roman"/>
          <w:b/>
          <w:i/>
          <w:sz w:val="20"/>
        </w:rPr>
        <w:t>B. Preprocessing and Leakage Control</w:t>
      </w:r>
    </w:p>
    <w:p>
      <w:pPr>
        <w:spacing w:before="0" w:after="60"/>
        <w:ind w:firstLine="280"/>
        <w:jc w:val="both"/>
      </w:pPr>
      <w:r>
        <w:rPr>
          <w:rFonts w:ascii="Times New Roman" w:hAnsi="Times New Roman"/>
          <w:b w:val="0"/>
          <w:i w:val="0"/>
          <w:sz w:val="20"/>
        </w:rPr>
        <w:t>Outcome engineering: date_died != '9999-99-99' maps to 1 (deceased), else 0. Binary comorbidities were recoded from administrative encoding (1=Yes, 2=No) to standard binary (1.0/0.0). Sentinel values 97, 98, 99 (unknown or not-applicable comorbidity status) were decoded to NaN prior to imputation, affecting approximately 0.3% of comorbidity field entries. A SimpleImputer (median strategy) was fit exclusively on the training partition and applied to the held-out test set, preventing leakage of test-set distribution into imputation decisions. A StandardScaler was applied identically. All transforms were encapsulated in scikit-learn Pipelines, enforcing the split-then-fit discipline within every cross-validation fold.</w:t>
      </w:r>
    </w:p>
    <w:p>
      <w:pPr>
        <w:spacing w:before="0" w:after="60"/>
        <w:ind w:firstLine="280"/>
        <w:jc w:val="both"/>
      </w:pPr>
      <w:r>
        <w:rPr>
          <w:rFonts w:ascii="Times New Roman" w:hAnsi="Times New Roman"/>
          <w:b w:val="0"/>
          <w:i w:val="0"/>
          <w:sz w:val="20"/>
        </w:rPr>
        <w:t>Intubation status and ICU admission were deliberately excluded from the feature set. Both are determined during the hospital stay rather than at initial presentation, and their inclusion constitutes target leakage -- inflating apparent AUC without clinical utility at the admission decision point. The nine final features are: age, sex, diabetes, hypertension, cardiovascular disease, pneumonia, obesity, asthma, COPD.</w:t>
      </w:r>
    </w:p>
    <w:p>
      <w:pPr>
        <w:spacing w:before="100" w:after="40"/>
        <w:ind w:firstLine="0"/>
        <w:jc w:val="left"/>
      </w:pPr>
      <w:r>
        <w:rPr>
          <w:rFonts w:ascii="Times New Roman" w:hAnsi="Times New Roman"/>
          <w:b/>
          <w:i/>
          <w:sz w:val="20"/>
        </w:rPr>
        <w:t>C. Statistical Feature Validation</w:t>
      </w:r>
    </w:p>
    <w:p>
      <w:pPr>
        <w:spacing w:before="0" w:after="60"/>
        <w:ind w:firstLine="280"/>
        <w:jc w:val="both"/>
      </w:pPr>
      <w:r>
        <w:rPr>
          <w:rFonts w:ascii="Times New Roman" w:hAnsi="Times New Roman"/>
          <w:b w:val="0"/>
          <w:i w:val="0"/>
          <w:sz w:val="20"/>
        </w:rPr>
        <w:t>All feature-outcome associations were validated statistically before modelling. An independent-samples t-test confirmed deceased patients were significantly older than survivors (mean 61.0 vs 43.6 years; t = 176.99, p &lt; 0.001). Chi-square tests confirmed all seven binary comorbidities are significantly associated with mortality (p &lt; 0.001 for all). Multiple testing was controlled with Benjamini-Hochberg FDR correction across five primary comparisons (q &lt; 0.05 for all), confirming no feature enters the model on domain intuition alone. Feature correlation analysis (Pearson) showed no pair exceeded r = 0.34, ruling out severe multicollinearity concerns and confirming a compact, non-redundant feature set consistent with feature-selection best practice [13].</w:t>
      </w:r>
    </w:p>
    <w:p>
      <w:pPr>
        <w:spacing w:before="100" w:after="40"/>
        <w:ind w:firstLine="0"/>
        <w:jc w:val="left"/>
      </w:pPr>
      <w:r>
        <w:rPr>
          <w:rFonts w:ascii="Times New Roman" w:hAnsi="Times New Roman"/>
          <w:b/>
          <w:i/>
          <w:sz w:val="20"/>
        </w:rPr>
        <w:t>D. Model Training and Hyperparameter Tuning</w:t>
      </w:r>
    </w:p>
    <w:p>
      <w:pPr>
        <w:spacing w:before="0" w:after="60"/>
        <w:ind w:firstLine="280"/>
        <w:jc w:val="both"/>
      </w:pPr>
      <w:r>
        <w:rPr>
          <w:rFonts w:ascii="Times New Roman" w:hAnsi="Times New Roman"/>
          <w:b w:val="0"/>
          <w:i w:val="0"/>
          <w:sz w:val="20"/>
        </w:rPr>
        <w:t>Five model families were trained and benchmarked: Logistic Regression (L2 regularisation), Random Forest, Gradient Boosting, XGBoost, and a Stacking ensemble (LR + RF as base learners, LR as meta-learner). Class imbalance (1:7) was addressed via cost-sensitive learning throughout: class_weight='balanced' for LR and RF; sample_weight for Gradient Boosting; scale_pos_weight = 7 for XGBoost. Hyperparameters were selected by 5-fold stratified GridSearchCV on training data only: LR regularisation C = 0.01 (CV AUC 0.891 +/- 0.002); RF max_depth = 6, n_estimators = 200, min_samples_leaf = 10. SMOTE was evaluated as an alternative class-balance strategy; it produced identical test AUC (0.888) while fabricating 132,810 synthetic patients and increasing training time by 38%, and was therefore rejected in favour of cost-sensitive learning. All experiments use random_state = 42 for reproducibility. Fourteen unit tests in test_analysis.py verify all statistical helper functions independently prior to model training. The deployed Logistic Regression models the log-odds of mortality as a linear function of the standardised features (Eq. 1), where sigma denotes the logistic function. Table III lists the tuned hyperparameters.</w:t>
      </w:r>
    </w:p>
    <w:p>
      <w:pPr>
        <w:spacing w:before="40" w:after="60"/>
        <w:jc w:val="center"/>
      </w:pPr>
      <w:r>
        <w:rPr>
          <w:rFonts w:ascii="Times New Roman" w:hAnsi="Times New Roman"/>
          <w:i/>
          <w:sz w:val="20"/>
        </w:rPr>
        <w:t>P(y=1 | x) = σ(β·x + β₀),   σ(z) = 1 / (1 + e^−z)</w:t>
      </w:r>
      <w:r>
        <w:rPr>
          <w:rFonts w:ascii="Times New Roman" w:hAnsi="Times New Roman"/>
          <w:sz w:val="20"/>
        </w:rPr>
        <w:t xml:space="preserve">        (1)</w:t>
      </w:r>
    </w:p>
    <w:tbl>
      <w:tblPr>
        <w:tblStyle w:val="TableGrid"/>
        <w:tblW w:type="auto" w:w="0"/>
        <w:tblLook w:firstColumn="1" w:firstRow="1" w:lastColumn="0" w:lastRow="0" w:noHBand="0" w:noVBand="1" w:val="04A0"/>
      </w:tblPr>
      <w:tblGrid>
        <w:gridCol w:w="4944"/>
        <w:gridCol w:w="4944"/>
      </w:tblGrid>
      <w:tr>
        <w:tc>
          <w:tcPr>
            <w:tcW w:type="dxa" w:w="4944"/>
          </w:tcPr>
          <w:p>
            <w:r>
              <w:rPr>
                <w:rFonts w:ascii="Times New Roman" w:hAnsi="Times New Roman"/>
                <w:b/>
                <w:sz w:val="16"/>
              </w:rPr>
              <w:t>Hyperparameter</w:t>
            </w:r>
          </w:p>
        </w:tc>
        <w:tc>
          <w:tcPr>
            <w:tcW w:type="dxa" w:w="4944"/>
          </w:tcPr>
          <w:p>
            <w:r>
              <w:rPr>
                <w:rFonts w:ascii="Times New Roman" w:hAnsi="Times New Roman"/>
                <w:b/>
                <w:sz w:val="16"/>
              </w:rPr>
              <w:t>Value</w:t>
            </w:r>
          </w:p>
        </w:tc>
      </w:tr>
      <w:tr>
        <w:tc>
          <w:tcPr>
            <w:tcW w:type="dxa" w:w="4944"/>
          </w:tcPr>
          <w:p>
            <w:r>
              <w:rPr>
                <w:rFonts w:ascii="Times New Roman" w:hAnsi="Times New Roman"/>
                <w:sz w:val="16"/>
              </w:rPr>
              <w:t>Optimiser / solver</w:t>
            </w:r>
          </w:p>
        </w:tc>
        <w:tc>
          <w:tcPr>
            <w:tcW w:type="dxa" w:w="4944"/>
          </w:tcPr>
          <w:p>
            <w:r>
              <w:rPr>
                <w:rFonts w:ascii="Times New Roman" w:hAnsi="Times New Roman"/>
                <w:sz w:val="16"/>
              </w:rPr>
              <w:t>GridSearchCV (5-fold stratified)</w:t>
            </w:r>
          </w:p>
        </w:tc>
      </w:tr>
      <w:tr>
        <w:tc>
          <w:tcPr>
            <w:tcW w:type="dxa" w:w="4944"/>
          </w:tcPr>
          <w:p>
            <w:r>
              <w:rPr>
                <w:rFonts w:ascii="Times New Roman" w:hAnsi="Times New Roman"/>
                <w:sz w:val="16"/>
              </w:rPr>
              <w:t>LR regularisation C</w:t>
            </w:r>
          </w:p>
        </w:tc>
        <w:tc>
          <w:tcPr>
            <w:tcW w:type="dxa" w:w="4944"/>
          </w:tcPr>
          <w:p>
            <w:r>
              <w:rPr>
                <w:rFonts w:ascii="Times New Roman" w:hAnsi="Times New Roman"/>
                <w:sz w:val="16"/>
              </w:rPr>
              <w:t>0.01 (L2)</w:t>
            </w:r>
          </w:p>
        </w:tc>
      </w:tr>
      <w:tr>
        <w:tc>
          <w:tcPr>
            <w:tcW w:type="dxa" w:w="4944"/>
          </w:tcPr>
          <w:p>
            <w:r>
              <w:rPr>
                <w:rFonts w:ascii="Times New Roman" w:hAnsi="Times New Roman"/>
                <w:sz w:val="16"/>
              </w:rPr>
              <w:t>RF depth / trees / leaf</w:t>
            </w:r>
          </w:p>
        </w:tc>
        <w:tc>
          <w:tcPr>
            <w:tcW w:type="dxa" w:w="4944"/>
          </w:tcPr>
          <w:p>
            <w:r>
              <w:rPr>
                <w:rFonts w:ascii="Times New Roman" w:hAnsi="Times New Roman"/>
                <w:sz w:val="16"/>
              </w:rPr>
              <w:t>6 / 200 / 10</w:t>
            </w:r>
          </w:p>
        </w:tc>
      </w:tr>
      <w:tr>
        <w:tc>
          <w:tcPr>
            <w:tcW w:type="dxa" w:w="4944"/>
          </w:tcPr>
          <w:p>
            <w:r>
              <w:rPr>
                <w:rFonts w:ascii="Times New Roman" w:hAnsi="Times New Roman"/>
                <w:sz w:val="16"/>
              </w:rPr>
              <w:t>XGBoost scale_pos_weight</w:t>
            </w:r>
          </w:p>
        </w:tc>
        <w:tc>
          <w:tcPr>
            <w:tcW w:type="dxa" w:w="4944"/>
          </w:tcPr>
          <w:p>
            <w:r>
              <w:rPr>
                <w:rFonts w:ascii="Times New Roman" w:hAnsi="Times New Roman"/>
                <w:sz w:val="16"/>
              </w:rPr>
              <w:t>7</w:t>
            </w:r>
          </w:p>
        </w:tc>
      </w:tr>
      <w:tr>
        <w:tc>
          <w:tcPr>
            <w:tcW w:type="dxa" w:w="4944"/>
          </w:tcPr>
          <w:p>
            <w:r>
              <w:rPr>
                <w:rFonts w:ascii="Times New Roman" w:hAnsi="Times New Roman"/>
                <w:sz w:val="16"/>
              </w:rPr>
              <w:t>Class-imbalance handling</w:t>
            </w:r>
          </w:p>
        </w:tc>
        <w:tc>
          <w:tcPr>
            <w:tcW w:type="dxa" w:w="4944"/>
          </w:tcPr>
          <w:p>
            <w:r>
              <w:rPr>
                <w:rFonts w:ascii="Times New Roman" w:hAnsi="Times New Roman"/>
                <w:sz w:val="16"/>
              </w:rPr>
              <w:t>class_weight / sample_weight / scale_pos_weight</w:t>
            </w:r>
          </w:p>
        </w:tc>
      </w:tr>
      <w:tr>
        <w:tc>
          <w:tcPr>
            <w:tcW w:type="dxa" w:w="4944"/>
          </w:tcPr>
          <w:p>
            <w:r>
              <w:rPr>
                <w:rFonts w:ascii="Times New Roman" w:hAnsi="Times New Roman"/>
                <w:sz w:val="16"/>
              </w:rPr>
              <w:t>Calibration</w:t>
            </w:r>
          </w:p>
        </w:tc>
        <w:tc>
          <w:tcPr>
            <w:tcW w:type="dxa" w:w="4944"/>
          </w:tcPr>
          <w:p>
            <w:r>
              <w:rPr>
                <w:rFonts w:ascii="Times New Roman" w:hAnsi="Times New Roman"/>
                <w:sz w:val="16"/>
              </w:rPr>
              <w:t>isotonic, CalibratedClassifierCV (cv=5)</w:t>
            </w:r>
          </w:p>
        </w:tc>
      </w:tr>
      <w:tr>
        <w:tc>
          <w:tcPr>
            <w:tcW w:type="dxa" w:w="4944"/>
          </w:tcPr>
          <w:p>
            <w:r>
              <w:rPr>
                <w:rFonts w:ascii="Times New Roman" w:hAnsi="Times New Roman"/>
                <w:sz w:val="16"/>
              </w:rPr>
              <w:t>Bootstrap resamples (CI)</w:t>
            </w:r>
          </w:p>
        </w:tc>
        <w:tc>
          <w:tcPr>
            <w:tcW w:type="dxa" w:w="4944"/>
          </w:tcPr>
          <w:p>
            <w:r>
              <w:rPr>
                <w:rFonts w:ascii="Times New Roman" w:hAnsi="Times New Roman"/>
                <w:sz w:val="16"/>
              </w:rPr>
              <w:t>2,000</w:t>
            </w:r>
          </w:p>
        </w:tc>
      </w:tr>
      <w:tr>
        <w:tc>
          <w:tcPr>
            <w:tcW w:type="dxa" w:w="4944"/>
          </w:tcPr>
          <w:p>
            <w:r>
              <w:rPr>
                <w:rFonts w:ascii="Times New Roman" w:hAnsi="Times New Roman"/>
                <w:sz w:val="16"/>
              </w:rPr>
              <w:t>Random state</w:t>
            </w:r>
          </w:p>
        </w:tc>
        <w:tc>
          <w:tcPr>
            <w:tcW w:type="dxa" w:w="4944"/>
          </w:tcPr>
          <w:p>
            <w:r>
              <w:rPr>
                <w:rFonts w:ascii="Times New Roman" w:hAnsi="Times New Roman"/>
                <w:sz w:val="16"/>
              </w:rPr>
              <w:t>42 (reproducible)</w:t>
            </w:r>
          </w:p>
        </w:tc>
      </w:tr>
    </w:tbl>
    <w:p>
      <w:pPr>
        <w:spacing w:before="40" w:after="120"/>
        <w:ind w:firstLine="0"/>
        <w:jc w:val="center"/>
      </w:pPr>
      <w:r>
        <w:rPr>
          <w:rFonts w:ascii="Times New Roman" w:hAnsi="Times New Roman"/>
          <w:b w:val="0"/>
          <w:i/>
          <w:sz w:val="16"/>
        </w:rPr>
        <w:t>TABLE III.  Tuned Hyperparameters</w:t>
      </w:r>
    </w:p>
    <w:p>
      <w:pPr>
        <w:spacing w:before="100" w:after="40"/>
        <w:ind w:firstLine="0"/>
        <w:jc w:val="left"/>
      </w:pPr>
      <w:r>
        <w:rPr>
          <w:rFonts w:ascii="Times New Roman" w:hAnsi="Times New Roman"/>
          <w:b/>
          <w:i/>
          <w:sz w:val="20"/>
        </w:rPr>
        <w:t>E. Probability Calibration</w:t>
      </w:r>
    </w:p>
    <w:p>
      <w:pPr>
        <w:spacing w:before="0" w:after="60"/>
        <w:ind w:firstLine="280"/>
        <w:jc w:val="both"/>
      </w:pPr>
      <w:r>
        <w:rPr>
          <w:rFonts w:ascii="Times New Roman" w:hAnsi="Times New Roman"/>
          <w:b w:val="0"/>
          <w:i w:val="0"/>
          <w:sz w:val="20"/>
        </w:rPr>
        <w:t>Pre-calibration reliability analysis revealed systematic over-confidence across all probability ranges (Brier = 0.135, ECE = 0.195). The reliability diagram showed non-monotonic deviations requiring a non-parametric correction; isotonic regression calibration was therefore selected over Platt scaling (which assumes monotone sigmoid distortion). The deployed model is a CalibratedClassifierCV (method='isotonic', cv=5) wrapping the tuned Logistic Regression, persisted as model_primary_deployed.joblib (13.0 KB). Model selection used DeLong's method [15] comparing AUC values across all five models on the held-out test set, with 2,000-resample bootstrap providing 95% CIs. Calibration is quantified by the Brier score (Eq. 2) and the count-weighted Expected Calibration Error across M probability bins (Eq. 3).</w:t>
      </w:r>
    </w:p>
    <w:p>
      <w:pPr>
        <w:spacing w:before="40" w:after="60"/>
        <w:jc w:val="center"/>
      </w:pPr>
      <w:r>
        <w:rPr>
          <w:rFonts w:ascii="Times New Roman" w:hAnsi="Times New Roman"/>
          <w:i/>
          <w:sz w:val="20"/>
        </w:rPr>
        <w:t>BS = (1/N) Σ (pi − yi)²</w:t>
      </w:r>
      <w:r>
        <w:rPr>
          <w:rFonts w:ascii="Times New Roman" w:hAnsi="Times New Roman"/>
          <w:sz w:val="20"/>
        </w:rPr>
        <w:t xml:space="preserve">        (2)</w:t>
      </w:r>
    </w:p>
    <w:p>
      <w:pPr>
        <w:spacing w:before="40" w:after="60"/>
        <w:jc w:val="center"/>
      </w:pPr>
      <w:r>
        <w:rPr>
          <w:rFonts w:ascii="Times New Roman" w:hAnsi="Times New Roman"/>
          <w:i/>
          <w:sz w:val="20"/>
        </w:rPr>
        <w:t>ECE = Σ (|Bm| / N) · |acc(Bm) − conf(Bm)|</w:t>
      </w:r>
      <w:r>
        <w:rPr>
          <w:rFonts w:ascii="Times New Roman" w:hAnsi="Times New Roman"/>
          <w:sz w:val="20"/>
        </w:rPr>
        <w:t xml:space="preserve">        (3)</w:t>
      </w:r>
    </w:p>
    <w:p>
      <w:pPr>
        <w:spacing w:before="80" w:after="0"/>
        <w:jc w:val="center"/>
      </w:pPr>
      <w:r>
        <w:drawing>
          <wp:inline xmlns:a="http://schemas.openxmlformats.org/drawingml/2006/main" xmlns:pic="http://schemas.openxmlformats.org/drawingml/2006/picture">
            <wp:extent cx="2808000" cy="2847492"/>
            <wp:docPr id="3" name="Picture 3"/>
            <wp:cNvGraphicFramePr>
              <a:graphicFrameLocks noChangeAspect="1"/>
            </wp:cNvGraphicFramePr>
            <a:graphic>
              <a:graphicData uri="http://schemas.openxmlformats.org/drawingml/2006/picture">
                <pic:pic>
                  <pic:nvPicPr>
                    <pic:cNvPr id="0" name="01_calibration_improvement.png"/>
                    <pic:cNvPicPr/>
                  </pic:nvPicPr>
                  <pic:blipFill>
                    <a:blip r:embed="rId11"/>
                    <a:stretch>
                      <a:fillRect/>
                    </a:stretch>
                  </pic:blipFill>
                  <pic:spPr>
                    <a:xfrm>
                      <a:off x="0" y="0"/>
                      <a:ext cx="2808000" cy="2847492"/>
                    </a:xfrm>
                    <a:prstGeom prst="rect"/>
                  </pic:spPr>
                </pic:pic>
              </a:graphicData>
            </a:graphic>
          </wp:inline>
        </w:drawing>
      </w:r>
    </w:p>
    <w:p>
      <w:pPr>
        <w:spacing w:before="40" w:after="120"/>
        <w:ind w:firstLine="0"/>
        <w:jc w:val="center"/>
      </w:pPr>
      <w:r>
        <w:rPr>
          <w:rFonts w:ascii="Times New Roman" w:hAnsi="Times New Roman"/>
          <w:b w:val="0"/>
          <w:i/>
          <w:sz w:val="16"/>
        </w:rPr>
        <w:t>Fig. 3.  Reliability diagram before and after isotonic calibration. Post-calibration probabilities closely track observed mortality rates across all risk deciles.</w:t>
      </w:r>
    </w:p>
    <w:p>
      <w:pPr>
        <w:spacing w:before="100" w:after="40"/>
        <w:ind w:firstLine="0"/>
        <w:jc w:val="left"/>
      </w:pPr>
      <w:r>
        <w:rPr>
          <w:rFonts w:ascii="Times New Roman" w:hAnsi="Times New Roman"/>
          <w:b/>
          <w:i/>
          <w:sz w:val="20"/>
        </w:rPr>
        <w:t>F. Multi-Layer Explainability Framework</w:t>
      </w:r>
    </w:p>
    <w:p>
      <w:pPr>
        <w:spacing w:before="0" w:after="60"/>
        <w:ind w:firstLine="280"/>
        <w:jc w:val="both"/>
      </w:pPr>
      <w:r>
        <w:rPr>
          <w:rFonts w:ascii="Times New Roman" w:hAnsi="Times New Roman"/>
          <w:b w:val="0"/>
          <w:i w:val="0"/>
          <w:sz w:val="20"/>
        </w:rPr>
        <w:t>Three complementary explainability layers are provided. (1) Global SHAP: Tree-SHAP (Lundberg 2020) on the XGBoost model provides model-agnostic additive feature attributions computed on the full test set, enabling global importance ranking and individual patient waterfall plots. (2) Odds ratios: an unregularised statsmodels Logit model provides OR per +1 SD with 95% Wald confidence intervals, enabling clinician-interpretable relative risk presentation. (3) Clinical nomogram: integer point scores derived from log-odds coefficients allow bedside paper-based risk estimation. The dominant pairwise feature interaction is pneumonia x age (interaction strength 0.182), indicating disproportionate risk for elderly patients with acute respiratory involvement. Each odds ratio is the exponent of the corresponding logistic coefficient (Eq. 4), giving the multiplicative change in mortality odds per +1 SD.</w:t>
      </w:r>
    </w:p>
    <w:p>
      <w:pPr>
        <w:spacing w:before="40" w:after="60"/>
        <w:jc w:val="center"/>
      </w:pPr>
      <w:r>
        <w:rPr>
          <w:rFonts w:ascii="Times New Roman" w:hAnsi="Times New Roman"/>
          <w:i/>
          <w:sz w:val="20"/>
        </w:rPr>
        <w:t>ORj = exp(βj)</w:t>
      </w:r>
      <w:r>
        <w:rPr>
          <w:rFonts w:ascii="Times New Roman" w:hAnsi="Times New Roman"/>
          <w:sz w:val="20"/>
        </w:rPr>
        <w:t xml:space="preserve">        (4)</w:t>
      </w:r>
    </w:p>
    <w:p>
      <w:pPr>
        <w:spacing w:before="100" w:after="40"/>
        <w:ind w:firstLine="0"/>
        <w:jc w:val="left"/>
      </w:pPr>
      <w:r>
        <w:rPr>
          <w:rFonts w:ascii="Times New Roman" w:hAnsi="Times New Roman"/>
          <w:b/>
          <w:i/>
          <w:sz w:val="20"/>
        </w:rPr>
        <w:t>G. Subgroup Fairness Audit and Threshold Mitigation</w:t>
      </w:r>
    </w:p>
    <w:p>
      <w:pPr>
        <w:spacing w:before="0" w:after="60"/>
        <w:ind w:firstLine="280"/>
        <w:jc w:val="both"/>
      </w:pPr>
      <w:r>
        <w:rPr>
          <w:rFonts w:ascii="Times New Roman" w:hAnsi="Times New Roman"/>
          <w:b w:val="0"/>
          <w:i w:val="0"/>
          <w:sz w:val="20"/>
        </w:rPr>
        <w:t>The audit evaluates two metrics across eight pre-specified subgroups: AUC (discrimination fairness) and count-weighted ECE (calibration equity). Subgroups: age 18-30, 30-50, 50-65, 65+; sex female/male; diabetes present/absent. Flagging criterion: subgroup AUC deviates &gt;5 percentage points from overall AUC. Group-specific decision thresholds, derived to equalise true positive rates, reduced TPR disparity from 0.603 to 0.045 without model retraining: age 18-30 t=0.05, 30-50 t=0.12, 50-65 t=0.23, 65+ t=0.41.</w:t>
      </w:r>
    </w:p>
    <w:p>
      <w:pPr>
        <w:spacing w:before="100" w:after="40"/>
        <w:ind w:firstLine="0"/>
        <w:jc w:val="left"/>
      </w:pPr>
      <w:r>
        <w:rPr>
          <w:rFonts w:ascii="Times New Roman" w:hAnsi="Times New Roman"/>
          <w:b/>
          <w:i/>
          <w:sz w:val="20"/>
        </w:rPr>
        <w:t>H. Web Prototype Architecture</w:t>
      </w:r>
    </w:p>
    <w:p>
      <w:pPr>
        <w:spacing w:before="0" w:after="60"/>
        <w:ind w:firstLine="280"/>
        <w:jc w:val="both"/>
      </w:pPr>
      <w:r>
        <w:rPr>
          <w:rFonts w:ascii="Times New Roman" w:hAnsi="Times New Roman"/>
          <w:b w:val="0"/>
          <w:i w:val="0"/>
          <w:sz w:val="20"/>
        </w:rPr>
        <w:t>A two-page Streamlit application loads the three pre-fitted joblib artefacts (imputer, scaler, calibrated model) and applies the identical impute -&gt; scale -&gt; predict_proba chain used in training. Inputs are an age slider and eight radio/toggle controls; outputs are the calibrated risk percentage with a four-tier colour band, per-patient odds-ratio attribution bars, a global SHAP panel, and the nomogram total. All metrics are read at runtime from the exported CSVs to prevent drift, and a four-location disclaimer frames outputs as mortality-proxy estimates not validated for individual clinical decisions.</w:t>
      </w:r>
    </w:p>
    <w:p>
      <w:pPr>
        <w:spacing w:before="100" w:after="40"/>
        <w:ind w:firstLine="0"/>
        <w:jc w:val="left"/>
      </w:pPr>
      <w:r>
        <w:rPr>
          <w:rFonts w:ascii="Times New Roman" w:hAnsi="Times New Roman"/>
          <w:b/>
          <w:i/>
          <w:sz w:val="20"/>
        </w:rPr>
        <w:t>I. Temporal Out-of-Time Validation</w:t>
      </w:r>
    </w:p>
    <w:p>
      <w:pPr>
        <w:spacing w:before="0" w:after="60"/>
        <w:ind w:firstLine="280"/>
        <w:jc w:val="both"/>
      </w:pPr>
      <w:r>
        <w:rPr>
          <w:rFonts w:ascii="Times New Roman" w:hAnsi="Times New Roman"/>
          <w:b w:val="0"/>
          <w:i w:val="0"/>
          <w:sz w:val="20"/>
        </w:rPr>
        <w:t>Records prior to 15 June 2020 formed the temporal training set (176,979 patients); subsequent records formed the temporal validation set (43,239 patients). This design tests robustness to temporal distribution shift as clinical protocols, patient demographics, and co-morbidity management evolved across the surveillance collection period -- providing a more stringent test than random train-test split alone.</w:t>
      </w:r>
    </w:p>
    <w:p>
      <w:pPr>
        <w:spacing w:before="100" w:after="40"/>
        <w:ind w:firstLine="0"/>
        <w:jc w:val="left"/>
      </w:pPr>
      <w:r>
        <w:rPr>
          <w:rFonts w:ascii="Times New Roman" w:hAnsi="Times New Roman"/>
          <w:b/>
          <w:i/>
          <w:sz w:val="20"/>
        </w:rPr>
        <w:t>J. Baseline Model</w:t>
      </w:r>
    </w:p>
    <w:p>
      <w:pPr>
        <w:spacing w:before="0" w:after="60"/>
        <w:ind w:firstLine="280"/>
        <w:jc w:val="both"/>
      </w:pPr>
      <w:r>
        <w:rPr>
          <w:rFonts w:ascii="Times New Roman" w:hAnsi="Times New Roman"/>
          <w:b w:val="0"/>
          <w:i w:val="0"/>
          <w:sz w:val="20"/>
        </w:rPr>
        <w:t>Two reference baselines contextualise the proposed pipeline. A majority-class classifier predicting survival for every patient attains 87.7% accuracy yet AUC 0.50 and zero recall, demonstrating why accuracy is inadequate under 12% prevalence and motivating AUC, calibration, and net-benefit as primary metrics. A plain, unweighted, uncalibrated Logistic Regression at the default 0.5 threshold provides the methodological baseline against which each component is isolated: cost-sensitive weighting, isotonic calibration, and threshold optimisation. Relative to this baseline the deployed model reduces ECE from 0.195 to 0.002 and lifts operating-point sensitivity from 0.296 to 0.702, at equivalent discrimination (Section IV).</w:t>
      </w:r>
    </w:p>
    <w:p>
      <w:pPr>
        <w:spacing w:before="140" w:after="60"/>
        <w:ind w:firstLine="0"/>
        <w:jc w:val="center"/>
      </w:pPr>
      <w:r>
        <w:rPr>
          <w:rFonts w:ascii="Times New Roman" w:hAnsi="Times New Roman"/>
          <w:b/>
          <w:i w:val="0"/>
          <w:sz w:val="20"/>
        </w:rPr>
        <w:t>IV. PERFORMANCE EVALUATION</w:t>
      </w:r>
    </w:p>
    <w:p>
      <w:pPr>
        <w:spacing w:before="100" w:after="40"/>
        <w:ind w:firstLine="0"/>
        <w:jc w:val="left"/>
      </w:pPr>
      <w:r>
        <w:rPr>
          <w:rFonts w:ascii="Times New Roman" w:hAnsi="Times New Roman"/>
          <w:b/>
          <w:i/>
          <w:sz w:val="20"/>
        </w:rPr>
        <w:t>A. Model Discrimination and DeLong Testing</w:t>
      </w:r>
    </w:p>
    <w:tbl>
      <w:tblPr>
        <w:tblStyle w:val="TableGrid"/>
        <w:tblW w:type="auto" w:w="0"/>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16"/>
              </w:rPr>
              <w:t>Model</w:t>
            </w:r>
          </w:p>
        </w:tc>
        <w:tc>
          <w:tcPr>
            <w:tcW w:type="dxa" w:w="2472"/>
          </w:tcPr>
          <w:p>
            <w:r>
              <w:rPr>
                <w:rFonts w:ascii="Times New Roman" w:hAnsi="Times New Roman"/>
                <w:b/>
                <w:sz w:val="16"/>
              </w:rPr>
              <w:t>Test AUC</w:t>
            </w:r>
          </w:p>
        </w:tc>
        <w:tc>
          <w:tcPr>
            <w:tcW w:type="dxa" w:w="2472"/>
          </w:tcPr>
          <w:p>
            <w:r>
              <w:rPr>
                <w:rFonts w:ascii="Times New Roman" w:hAnsi="Times New Roman"/>
                <w:b/>
                <w:sz w:val="16"/>
              </w:rPr>
              <w:t>95% CI</w:t>
            </w:r>
          </w:p>
        </w:tc>
        <w:tc>
          <w:tcPr>
            <w:tcW w:type="dxa" w:w="2472"/>
          </w:tcPr>
          <w:p>
            <w:r>
              <w:rPr>
                <w:rFonts w:ascii="Times New Roman" w:hAnsi="Times New Roman"/>
                <w:b/>
                <w:sz w:val="16"/>
              </w:rPr>
              <w:t>DeLong vs LR</w:t>
            </w:r>
          </w:p>
        </w:tc>
      </w:tr>
      <w:tr>
        <w:tc>
          <w:tcPr>
            <w:tcW w:type="dxa" w:w="2472"/>
          </w:tcPr>
          <w:p>
            <w:r>
              <w:rPr>
                <w:rFonts w:ascii="Times New Roman" w:hAnsi="Times New Roman"/>
                <w:sz w:val="16"/>
              </w:rPr>
              <w:t>Logistic Regression (tuned)</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reference</w:t>
            </w:r>
          </w:p>
        </w:tc>
      </w:tr>
      <w:tr>
        <w:tc>
          <w:tcPr>
            <w:tcW w:type="dxa" w:w="2472"/>
          </w:tcPr>
          <w:p>
            <w:r>
              <w:rPr>
                <w:rFonts w:ascii="Times New Roman" w:hAnsi="Times New Roman"/>
                <w:sz w:val="16"/>
              </w:rPr>
              <w:t>Random Forest</w:t>
            </w:r>
          </w:p>
        </w:tc>
        <w:tc>
          <w:tcPr>
            <w:tcW w:type="dxa" w:w="2472"/>
          </w:tcPr>
          <w:p>
            <w:r>
              <w:rPr>
                <w:rFonts w:ascii="Times New Roman" w:hAnsi="Times New Roman"/>
                <w:sz w:val="16"/>
              </w:rPr>
              <w:t>0.866</w:t>
            </w:r>
          </w:p>
        </w:tc>
        <w:tc>
          <w:tcPr>
            <w:tcW w:type="dxa" w:w="2472"/>
          </w:tcPr>
          <w:p>
            <w:r>
              <w:rPr>
                <w:rFonts w:ascii="Times New Roman" w:hAnsi="Times New Roman"/>
                <w:sz w:val="16"/>
              </w:rPr>
              <w:t>0.861-0.871</w:t>
            </w:r>
          </w:p>
        </w:tc>
        <w:tc>
          <w:tcPr>
            <w:tcW w:type="dxa" w:w="2472"/>
          </w:tcPr>
          <w:p>
            <w:r>
              <w:rPr>
                <w:rFonts w:ascii="Times New Roman" w:hAnsi="Times New Roman"/>
                <w:sz w:val="16"/>
              </w:rPr>
              <w:t>p ~ 3e-42 (inferior)</w:t>
            </w:r>
          </w:p>
        </w:tc>
      </w:tr>
      <w:tr>
        <w:tc>
          <w:tcPr>
            <w:tcW w:type="dxa" w:w="2472"/>
          </w:tcPr>
          <w:p>
            <w:r>
              <w:rPr>
                <w:rFonts w:ascii="Times New Roman" w:hAnsi="Times New Roman"/>
                <w:sz w:val="16"/>
              </w:rPr>
              <w:t>Gradient Boosting</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p &gt; 0.05 (n.s.)</w:t>
            </w:r>
          </w:p>
        </w:tc>
      </w:tr>
      <w:tr>
        <w:tc>
          <w:tcPr>
            <w:tcW w:type="dxa" w:w="2472"/>
          </w:tcPr>
          <w:p>
            <w:r>
              <w:rPr>
                <w:rFonts w:ascii="Times New Roman" w:hAnsi="Times New Roman"/>
                <w:sz w:val="16"/>
              </w:rPr>
              <w:t>XGBoost</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p &gt; 0.05 (n.s.)</w:t>
            </w:r>
          </w:p>
        </w:tc>
      </w:tr>
      <w:tr>
        <w:tc>
          <w:tcPr>
            <w:tcW w:type="dxa" w:w="2472"/>
          </w:tcPr>
          <w:p>
            <w:r>
              <w:rPr>
                <w:rFonts w:ascii="Times New Roman" w:hAnsi="Times New Roman"/>
                <w:sz w:val="16"/>
              </w:rPr>
              <w:t>Stacking Ensemble</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p &gt; 0.05 (n.s.)</w:t>
            </w:r>
          </w:p>
        </w:tc>
      </w:tr>
      <w:tr>
        <w:tc>
          <w:tcPr>
            <w:tcW w:type="dxa" w:w="2472"/>
          </w:tcPr>
          <w:p>
            <w:r>
              <w:rPr>
                <w:rFonts w:ascii="Times New Roman" w:hAnsi="Times New Roman"/>
                <w:sz w:val="16"/>
              </w:rPr>
              <w:t>Primary (calibrated LR)</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deployed</w:t>
            </w:r>
          </w:p>
        </w:tc>
      </w:tr>
    </w:tbl>
    <w:p>
      <w:pPr>
        <w:spacing w:before="40" w:after="120"/>
        <w:ind w:firstLine="0"/>
        <w:jc w:val="center"/>
      </w:pPr>
      <w:r>
        <w:rPr>
          <w:rFonts w:ascii="Times New Roman" w:hAnsi="Times New Roman"/>
          <w:b w:val="0"/>
          <w:i/>
          <w:sz w:val="16"/>
        </w:rPr>
        <w:t>TABLE IV.  Model Comparison -- Test Set AUC (n = 44,044)</w:t>
      </w:r>
    </w:p>
    <w:p>
      <w:pPr>
        <w:spacing w:before="80" w:after="0"/>
        <w:jc w:val="center"/>
      </w:pPr>
      <w:r>
        <w:drawing>
          <wp:inline xmlns:a="http://schemas.openxmlformats.org/drawingml/2006/main" xmlns:pic="http://schemas.openxmlformats.org/drawingml/2006/picture">
            <wp:extent cx="2808000" cy="2324437"/>
            <wp:docPr id="4" name="Picture 4"/>
            <wp:cNvGraphicFramePr>
              <a:graphicFrameLocks noChangeAspect="1"/>
            </wp:cNvGraphicFramePr>
            <a:graphic>
              <a:graphicData uri="http://schemas.openxmlformats.org/drawingml/2006/picture">
                <pic:pic>
                  <pic:nvPicPr>
                    <pic:cNvPr id="0" name="02_roc_curves.png"/>
                    <pic:cNvPicPr/>
                  </pic:nvPicPr>
                  <pic:blipFill>
                    <a:blip r:embed="rId12"/>
                    <a:stretch>
                      <a:fillRect/>
                    </a:stretch>
                  </pic:blipFill>
                  <pic:spPr>
                    <a:xfrm>
                      <a:off x="0" y="0"/>
                      <a:ext cx="2808000" cy="2324437"/>
                    </a:xfrm>
                    <a:prstGeom prst="rect"/>
                  </pic:spPr>
                </pic:pic>
              </a:graphicData>
            </a:graphic>
          </wp:inline>
        </w:drawing>
      </w:r>
    </w:p>
    <w:p>
      <w:pPr>
        <w:spacing w:before="40" w:after="120"/>
        <w:ind w:firstLine="0"/>
        <w:jc w:val="center"/>
      </w:pPr>
      <w:r>
        <w:rPr>
          <w:rFonts w:ascii="Times New Roman" w:hAnsi="Times New Roman"/>
          <w:b w:val="0"/>
          <w:i/>
          <w:sz w:val="16"/>
        </w:rPr>
        <w:t>Fig. 4.  ROC curves for all five model families. Calibrated LR is statistically non-inferior to all ensembles by DeLong test; RF is significantly worse (p ~ 3e-42).</w:t>
      </w:r>
    </w:p>
    <w:p>
      <w:pPr>
        <w:spacing w:before="0" w:after="60"/>
        <w:ind w:firstLine="280"/>
        <w:jc w:val="both"/>
      </w:pPr>
      <w:r>
        <w:rPr>
          <w:rFonts w:ascii="Times New Roman" w:hAnsi="Times New Roman"/>
          <w:b w:val="0"/>
          <w:i w:val="0"/>
          <w:sz w:val="20"/>
        </w:rPr>
        <w:t>Random Forest is the only model significantly inferior to Logistic Regression (DeLong p ~ 3e-42). Gradient Boosting, XGBoost, and the Stacking ensemble are statistically indistinguishable from LR. Five-fold cross-validation AUC: 0.891 +/- 0.002. Temporal out-of-time AUC: 0.891. This directly and formally answers RQ2: no complex model significantly outperforms the interpretable Logistic Regression on this nine-feature clinical dataset.</w:t>
      </w:r>
    </w:p>
    <w:p>
      <w:pPr>
        <w:spacing w:before="100" w:after="40"/>
        <w:ind w:firstLine="0"/>
        <w:jc w:val="left"/>
      </w:pPr>
      <w:r>
        <w:rPr>
          <w:rFonts w:ascii="Times New Roman" w:hAnsi="Times New Roman"/>
          <w:b/>
          <w:i/>
          <w:sz w:val="20"/>
        </w:rPr>
        <w:t>B. Calibration Analysis</w:t>
      </w:r>
    </w:p>
    <w:tbl>
      <w:tblPr>
        <w:tblStyle w:val="TableGrid"/>
        <w:tblW w:type="auto" w:w="0"/>
        <w:tblLook w:firstColumn="1" w:firstRow="1" w:lastColumn="0" w:lastRow="0" w:noHBand="0" w:noVBand="1" w:val="04A0"/>
      </w:tblPr>
      <w:tblGrid>
        <w:gridCol w:w="3296"/>
        <w:gridCol w:w="3296"/>
        <w:gridCol w:w="3296"/>
      </w:tblGrid>
      <w:tr>
        <w:tc>
          <w:tcPr>
            <w:tcW w:type="dxa" w:w="3296"/>
          </w:tcPr>
          <w:p>
            <w:r>
              <w:rPr>
                <w:rFonts w:ascii="Times New Roman" w:hAnsi="Times New Roman"/>
                <w:b/>
                <w:sz w:val="16"/>
              </w:rPr>
              <w:t>Metric</w:t>
            </w:r>
          </w:p>
        </w:tc>
        <w:tc>
          <w:tcPr>
            <w:tcW w:type="dxa" w:w="3296"/>
          </w:tcPr>
          <w:p>
            <w:r>
              <w:rPr>
                <w:rFonts w:ascii="Times New Roman" w:hAnsi="Times New Roman"/>
                <w:b/>
                <w:sz w:val="16"/>
              </w:rPr>
              <w:t>Pre-calibration</w:t>
            </w:r>
          </w:p>
        </w:tc>
        <w:tc>
          <w:tcPr>
            <w:tcW w:type="dxa" w:w="3296"/>
          </w:tcPr>
          <w:p>
            <w:r>
              <w:rPr>
                <w:rFonts w:ascii="Times New Roman" w:hAnsi="Times New Roman"/>
                <w:b/>
                <w:sz w:val="16"/>
              </w:rPr>
              <w:t>Post-isotonic</w:t>
            </w:r>
          </w:p>
        </w:tc>
      </w:tr>
      <w:tr>
        <w:tc>
          <w:tcPr>
            <w:tcW w:type="dxa" w:w="3296"/>
          </w:tcPr>
          <w:p>
            <w:r>
              <w:rPr>
                <w:rFonts w:ascii="Times New Roman" w:hAnsi="Times New Roman"/>
                <w:sz w:val="16"/>
              </w:rPr>
              <w:t>Brier Score</w:t>
            </w:r>
          </w:p>
        </w:tc>
        <w:tc>
          <w:tcPr>
            <w:tcW w:type="dxa" w:w="3296"/>
          </w:tcPr>
          <w:p>
            <w:r>
              <w:rPr>
                <w:rFonts w:ascii="Times New Roman" w:hAnsi="Times New Roman"/>
                <w:sz w:val="16"/>
              </w:rPr>
              <w:t>0.135</w:t>
            </w:r>
          </w:p>
        </w:tc>
        <w:tc>
          <w:tcPr>
            <w:tcW w:type="dxa" w:w="3296"/>
          </w:tcPr>
          <w:p>
            <w:r>
              <w:rPr>
                <w:rFonts w:ascii="Times New Roman" w:hAnsi="Times New Roman"/>
                <w:sz w:val="16"/>
              </w:rPr>
              <w:t>0.078</w:t>
            </w:r>
          </w:p>
        </w:tc>
      </w:tr>
      <w:tr>
        <w:tc>
          <w:tcPr>
            <w:tcW w:type="dxa" w:w="3296"/>
          </w:tcPr>
          <w:p>
            <w:r>
              <w:rPr>
                <w:rFonts w:ascii="Times New Roman" w:hAnsi="Times New Roman"/>
                <w:sz w:val="16"/>
              </w:rPr>
              <w:t>ECE (count-weighted)</w:t>
            </w:r>
          </w:p>
        </w:tc>
        <w:tc>
          <w:tcPr>
            <w:tcW w:type="dxa" w:w="3296"/>
          </w:tcPr>
          <w:p>
            <w:r>
              <w:rPr>
                <w:rFonts w:ascii="Times New Roman" w:hAnsi="Times New Roman"/>
                <w:sz w:val="16"/>
              </w:rPr>
              <w:t>0.195</w:t>
            </w:r>
          </w:p>
        </w:tc>
        <w:tc>
          <w:tcPr>
            <w:tcW w:type="dxa" w:w="3296"/>
          </w:tcPr>
          <w:p>
            <w:r>
              <w:rPr>
                <w:rFonts w:ascii="Times New Roman" w:hAnsi="Times New Roman"/>
                <w:sz w:val="16"/>
              </w:rPr>
              <w:t>0.002</w:t>
            </w:r>
          </w:p>
        </w:tc>
      </w:tr>
      <w:tr>
        <w:tc>
          <w:tcPr>
            <w:tcW w:type="dxa" w:w="3296"/>
          </w:tcPr>
          <w:p>
            <w:r>
              <w:rPr>
                <w:rFonts w:ascii="Times New Roman" w:hAnsi="Times New Roman"/>
                <w:sz w:val="16"/>
              </w:rPr>
              <w:t>ECE (bin-averaged)</w:t>
            </w:r>
          </w:p>
        </w:tc>
        <w:tc>
          <w:tcPr>
            <w:tcW w:type="dxa" w:w="3296"/>
          </w:tcPr>
          <w:p>
            <w:r>
              <w:rPr>
                <w:rFonts w:ascii="Times New Roman" w:hAnsi="Times New Roman"/>
                <w:sz w:val="16"/>
              </w:rPr>
              <w:t>0.287</w:t>
            </w:r>
          </w:p>
        </w:tc>
        <w:tc>
          <w:tcPr>
            <w:tcW w:type="dxa" w:w="3296"/>
          </w:tcPr>
          <w:p>
            <w:r>
              <w:rPr>
                <w:rFonts w:ascii="Times New Roman" w:hAnsi="Times New Roman"/>
                <w:sz w:val="16"/>
              </w:rPr>
              <w:t>0.064</w:t>
            </w:r>
          </w:p>
        </w:tc>
      </w:tr>
    </w:tbl>
    <w:p>
      <w:pPr>
        <w:spacing w:before="40" w:after="120"/>
        <w:ind w:firstLine="0"/>
        <w:jc w:val="center"/>
      </w:pPr>
      <w:r>
        <w:rPr>
          <w:rFonts w:ascii="Times New Roman" w:hAnsi="Times New Roman"/>
          <w:b w:val="0"/>
          <w:i/>
          <w:sz w:val="16"/>
        </w:rPr>
        <w:t>TABLE V.  Calibration Metrics Before and After Isotonic Correction</w:t>
      </w:r>
    </w:p>
    <w:p>
      <w:pPr>
        <w:spacing w:before="0" w:after="60"/>
        <w:ind w:firstLine="280"/>
        <w:jc w:val="both"/>
      </w:pPr>
      <w:r>
        <w:rPr>
          <w:rFonts w:ascii="Times New Roman" w:hAnsi="Times New Roman"/>
          <w:b w:val="0"/>
          <w:i w:val="0"/>
          <w:sz w:val="20"/>
        </w:rPr>
        <w:t>Isotonic calibration produces substantial improvements on all three metrics. Count-weighted ECE (0.002) reflects calibration weighted by the population distribution; bin-averaged ECE (0.064) gives equal weight to rare high-risk bins. A predicted probability of 0.30 now corresponds to approximately 30% observed mortality in the test set, enabling direct probabilistic clinical interpretation.</w:t>
      </w:r>
    </w:p>
    <w:p>
      <w:pPr>
        <w:spacing w:before="100" w:after="40"/>
        <w:ind w:firstLine="0"/>
        <w:jc w:val="left"/>
      </w:pPr>
      <w:r>
        <w:rPr>
          <w:rFonts w:ascii="Times New Roman" w:hAnsi="Times New Roman"/>
          <w:b/>
          <w:i/>
          <w:sz w:val="20"/>
        </w:rPr>
        <w:t>C. Threshold Optimisation</w:t>
      </w:r>
    </w:p>
    <w:tbl>
      <w:tblPr>
        <w:tblStyle w:val="TableGrid"/>
        <w:tblW w:type="auto" w:w="0"/>
        <w:tblLook w:firstColumn="1" w:firstRow="1" w:lastColumn="0" w:lastRow="0" w:noHBand="0" w:noVBand="1" w:val="04A0"/>
      </w:tblPr>
      <w:tblGrid>
        <w:gridCol w:w="1648"/>
        <w:gridCol w:w="1648"/>
        <w:gridCol w:w="1648"/>
        <w:gridCol w:w="1648"/>
        <w:gridCol w:w="1648"/>
        <w:gridCol w:w="1648"/>
      </w:tblGrid>
      <w:tr>
        <w:tc>
          <w:tcPr>
            <w:tcW w:type="dxa" w:w="1648"/>
          </w:tcPr>
          <w:p>
            <w:r>
              <w:rPr>
                <w:rFonts w:ascii="Times New Roman" w:hAnsi="Times New Roman"/>
                <w:b/>
                <w:sz w:val="16"/>
              </w:rPr>
              <w:t>Strategy</w:t>
            </w:r>
          </w:p>
        </w:tc>
        <w:tc>
          <w:tcPr>
            <w:tcW w:type="dxa" w:w="1648"/>
          </w:tcPr>
          <w:p>
            <w:r>
              <w:rPr>
                <w:rFonts w:ascii="Times New Roman" w:hAnsi="Times New Roman"/>
                <w:b/>
                <w:sz w:val="16"/>
              </w:rPr>
              <w:t>Threshold</w:t>
            </w:r>
          </w:p>
        </w:tc>
        <w:tc>
          <w:tcPr>
            <w:tcW w:type="dxa" w:w="1648"/>
          </w:tcPr>
          <w:p>
            <w:r>
              <w:rPr>
                <w:rFonts w:ascii="Times New Roman" w:hAnsi="Times New Roman"/>
                <w:b/>
                <w:sz w:val="16"/>
              </w:rPr>
              <w:t>Sensitivity</w:t>
            </w:r>
          </w:p>
        </w:tc>
        <w:tc>
          <w:tcPr>
            <w:tcW w:type="dxa" w:w="1648"/>
          </w:tcPr>
          <w:p>
            <w:r>
              <w:rPr>
                <w:rFonts w:ascii="Times New Roman" w:hAnsi="Times New Roman"/>
                <w:b/>
                <w:sz w:val="16"/>
              </w:rPr>
              <w:t>Specificity</w:t>
            </w:r>
          </w:p>
        </w:tc>
        <w:tc>
          <w:tcPr>
            <w:tcW w:type="dxa" w:w="1648"/>
          </w:tcPr>
          <w:p>
            <w:r>
              <w:rPr>
                <w:rFonts w:ascii="Times New Roman" w:hAnsi="Times New Roman"/>
                <w:b/>
                <w:sz w:val="16"/>
              </w:rPr>
              <w:t>Precision</w:t>
            </w:r>
          </w:p>
        </w:tc>
        <w:tc>
          <w:tcPr>
            <w:tcW w:type="dxa" w:w="1648"/>
          </w:tcPr>
          <w:p>
            <w:r>
              <w:rPr>
                <w:rFonts w:ascii="Times New Roman" w:hAnsi="Times New Roman"/>
                <w:b/>
                <w:sz w:val="16"/>
              </w:rPr>
              <w:t>F1</w:t>
            </w:r>
          </w:p>
        </w:tc>
      </w:tr>
      <w:tr>
        <w:tc>
          <w:tcPr>
            <w:tcW w:type="dxa" w:w="1648"/>
          </w:tcPr>
          <w:p>
            <w:r>
              <w:rPr>
                <w:rFonts w:ascii="Times New Roman" w:hAnsi="Times New Roman"/>
                <w:sz w:val="16"/>
              </w:rPr>
              <w:t>Default (0.5)</w:t>
            </w:r>
          </w:p>
        </w:tc>
        <w:tc>
          <w:tcPr>
            <w:tcW w:type="dxa" w:w="1648"/>
          </w:tcPr>
          <w:p>
            <w:r>
              <w:rPr>
                <w:rFonts w:ascii="Times New Roman" w:hAnsi="Times New Roman"/>
                <w:sz w:val="16"/>
              </w:rPr>
              <w:t>0.50</w:t>
            </w:r>
          </w:p>
        </w:tc>
        <w:tc>
          <w:tcPr>
            <w:tcW w:type="dxa" w:w="1648"/>
          </w:tcPr>
          <w:p>
            <w:r>
              <w:rPr>
                <w:rFonts w:ascii="Times New Roman" w:hAnsi="Times New Roman"/>
                <w:sz w:val="16"/>
              </w:rPr>
              <w:t>0.296</w:t>
            </w:r>
          </w:p>
        </w:tc>
        <w:tc>
          <w:tcPr>
            <w:tcW w:type="dxa" w:w="1648"/>
          </w:tcPr>
          <w:p>
            <w:r>
              <w:rPr>
                <w:rFonts w:ascii="Times New Roman" w:hAnsi="Times New Roman"/>
                <w:sz w:val="16"/>
              </w:rPr>
              <w:t>0.968</w:t>
            </w:r>
          </w:p>
        </w:tc>
        <w:tc>
          <w:tcPr>
            <w:tcW w:type="dxa" w:w="1648"/>
          </w:tcPr>
          <w:p>
            <w:r>
              <w:rPr>
                <w:rFonts w:ascii="Times New Roman" w:hAnsi="Times New Roman"/>
                <w:sz w:val="16"/>
              </w:rPr>
              <w:t>0.564</w:t>
            </w:r>
          </w:p>
        </w:tc>
        <w:tc>
          <w:tcPr>
            <w:tcW w:type="dxa" w:w="1648"/>
          </w:tcPr>
          <w:p>
            <w:r>
              <w:rPr>
                <w:rFonts w:ascii="Times New Roman" w:hAnsi="Times New Roman"/>
                <w:sz w:val="16"/>
              </w:rPr>
              <w:t>0.388</w:t>
            </w:r>
          </w:p>
        </w:tc>
      </w:tr>
      <w:tr>
        <w:tc>
          <w:tcPr>
            <w:tcW w:type="dxa" w:w="1648"/>
          </w:tcPr>
          <w:p>
            <w:r>
              <w:rPr>
                <w:rFonts w:ascii="Times New Roman" w:hAnsi="Times New Roman"/>
                <w:sz w:val="16"/>
              </w:rPr>
              <w:t>F1-optimal</w:t>
            </w:r>
          </w:p>
        </w:tc>
        <w:tc>
          <w:tcPr>
            <w:tcW w:type="dxa" w:w="1648"/>
          </w:tcPr>
          <w:p>
            <w:r>
              <w:rPr>
                <w:rFonts w:ascii="Times New Roman" w:hAnsi="Times New Roman"/>
                <w:sz w:val="16"/>
              </w:rPr>
              <w:t>0.26</w:t>
            </w:r>
          </w:p>
        </w:tc>
        <w:tc>
          <w:tcPr>
            <w:tcW w:type="dxa" w:w="1648"/>
          </w:tcPr>
          <w:p>
            <w:r>
              <w:rPr>
                <w:rFonts w:ascii="Times New Roman" w:hAnsi="Times New Roman"/>
                <w:sz w:val="16"/>
              </w:rPr>
              <w:t>0.702</w:t>
            </w:r>
          </w:p>
        </w:tc>
        <w:tc>
          <w:tcPr>
            <w:tcW w:type="dxa" w:w="1648"/>
          </w:tcPr>
          <w:p>
            <w:r>
              <w:rPr>
                <w:rFonts w:ascii="Times New Roman" w:hAnsi="Times New Roman"/>
                <w:sz w:val="16"/>
              </w:rPr>
              <w:t>0.878</w:t>
            </w:r>
          </w:p>
        </w:tc>
        <w:tc>
          <w:tcPr>
            <w:tcW w:type="dxa" w:w="1648"/>
          </w:tcPr>
          <w:p>
            <w:r>
              <w:rPr>
                <w:rFonts w:ascii="Times New Roman" w:hAnsi="Times New Roman"/>
                <w:sz w:val="16"/>
              </w:rPr>
              <w:t>0.447</w:t>
            </w:r>
          </w:p>
        </w:tc>
        <w:tc>
          <w:tcPr>
            <w:tcW w:type="dxa" w:w="1648"/>
          </w:tcPr>
          <w:p>
            <w:r>
              <w:rPr>
                <w:rFonts w:ascii="Times New Roman" w:hAnsi="Times New Roman"/>
                <w:sz w:val="16"/>
              </w:rPr>
              <w:t>0.546</w:t>
            </w:r>
          </w:p>
        </w:tc>
      </w:tr>
      <w:tr>
        <w:tc>
          <w:tcPr>
            <w:tcW w:type="dxa" w:w="1648"/>
          </w:tcPr>
          <w:p>
            <w:r>
              <w:rPr>
                <w:rFonts w:ascii="Times New Roman" w:hAnsi="Times New Roman"/>
                <w:sz w:val="16"/>
              </w:rPr>
              <w:t>Youden's J</w:t>
            </w:r>
          </w:p>
        </w:tc>
        <w:tc>
          <w:tcPr>
            <w:tcW w:type="dxa" w:w="1648"/>
          </w:tcPr>
          <w:p>
            <w:r>
              <w:rPr>
                <w:rFonts w:ascii="Times New Roman" w:hAnsi="Times New Roman"/>
                <w:sz w:val="16"/>
              </w:rPr>
              <w:t>0.10</w:t>
            </w:r>
          </w:p>
        </w:tc>
        <w:tc>
          <w:tcPr>
            <w:tcW w:type="dxa" w:w="1648"/>
          </w:tcPr>
          <w:p>
            <w:r>
              <w:rPr>
                <w:rFonts w:ascii="Times New Roman" w:hAnsi="Times New Roman"/>
                <w:sz w:val="16"/>
              </w:rPr>
              <w:t>0.877</w:t>
            </w:r>
          </w:p>
        </w:tc>
        <w:tc>
          <w:tcPr>
            <w:tcW w:type="dxa" w:w="1648"/>
          </w:tcPr>
          <w:p>
            <w:r>
              <w:rPr>
                <w:rFonts w:ascii="Times New Roman" w:hAnsi="Times New Roman"/>
                <w:sz w:val="16"/>
              </w:rPr>
              <w:t>0.761</w:t>
            </w:r>
          </w:p>
        </w:tc>
        <w:tc>
          <w:tcPr>
            <w:tcW w:type="dxa" w:w="1648"/>
          </w:tcPr>
          <w:p>
            <w:r>
              <w:rPr>
                <w:rFonts w:ascii="Times New Roman" w:hAnsi="Times New Roman"/>
                <w:sz w:val="16"/>
              </w:rPr>
              <w:t>0.340</w:t>
            </w:r>
          </w:p>
        </w:tc>
        <w:tc>
          <w:tcPr>
            <w:tcW w:type="dxa" w:w="1648"/>
          </w:tcPr>
          <w:p>
            <w:r>
              <w:rPr>
                <w:rFonts w:ascii="Times New Roman" w:hAnsi="Times New Roman"/>
                <w:sz w:val="16"/>
              </w:rPr>
              <w:t>0.490</w:t>
            </w:r>
          </w:p>
        </w:tc>
      </w:tr>
    </w:tbl>
    <w:p>
      <w:pPr>
        <w:spacing w:before="40" w:after="120"/>
        <w:ind w:firstLine="0"/>
        <w:jc w:val="center"/>
      </w:pPr>
      <w:r>
        <w:rPr>
          <w:rFonts w:ascii="Times New Roman" w:hAnsi="Times New Roman"/>
          <w:b w:val="0"/>
          <w:i/>
          <w:sz w:val="16"/>
        </w:rPr>
        <w:t>TABLE VI.  Threshold Optimisation Strategies</w:t>
      </w:r>
    </w:p>
    <w:p>
      <w:pPr>
        <w:spacing w:before="0" w:after="60"/>
        <w:ind w:firstLine="280"/>
        <w:jc w:val="both"/>
      </w:pPr>
      <w:r>
        <w:rPr>
          <w:rFonts w:ascii="Times New Roman" w:hAnsi="Times New Roman"/>
          <w:b w:val="0"/>
          <w:i w:val="0"/>
          <w:sz w:val="20"/>
        </w:rPr>
        <w:t>The F1-optimal threshold (0.26) is recommended for clinical triage: sensitivity 0.702 with precision 0.447, representing 3.6x enrichment over the 12.3% base rate. Youden's J (0.10) maximises sensitivity for high-recall population screening contexts.</w:t>
      </w:r>
    </w:p>
    <w:p>
      <w:pPr>
        <w:spacing w:before="100" w:after="40"/>
        <w:ind w:firstLine="0"/>
        <w:jc w:val="left"/>
      </w:pPr>
      <w:r>
        <w:rPr>
          <w:rFonts w:ascii="Times New Roman" w:hAnsi="Times New Roman"/>
          <w:b/>
          <w:i/>
          <w:sz w:val="20"/>
        </w:rPr>
        <w:t>D. Feature Importance and Explainability</w:t>
      </w:r>
    </w:p>
    <w:tbl>
      <w:tblPr>
        <w:tblStyle w:val="TableGrid"/>
        <w:tblW w:type="auto" w:w="0"/>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16"/>
              </w:rPr>
              <w:t>Feature</w:t>
            </w:r>
          </w:p>
        </w:tc>
        <w:tc>
          <w:tcPr>
            <w:tcW w:type="dxa" w:w="2472"/>
          </w:tcPr>
          <w:p>
            <w:r>
              <w:rPr>
                <w:rFonts w:ascii="Times New Roman" w:hAnsi="Times New Roman"/>
                <w:b/>
                <w:sz w:val="16"/>
              </w:rPr>
              <w:t>SHAP %</w:t>
            </w:r>
          </w:p>
        </w:tc>
        <w:tc>
          <w:tcPr>
            <w:tcW w:type="dxa" w:w="2472"/>
          </w:tcPr>
          <w:p>
            <w:r>
              <w:rPr>
                <w:rFonts w:ascii="Times New Roman" w:hAnsi="Times New Roman"/>
                <w:b/>
                <w:sz w:val="16"/>
              </w:rPr>
              <w:t>OR (95% CI)</w:t>
            </w:r>
          </w:p>
        </w:tc>
        <w:tc>
          <w:tcPr>
            <w:tcW w:type="dxa" w:w="2472"/>
          </w:tcPr>
          <w:p>
            <w:r>
              <w:rPr>
                <w:rFonts w:ascii="Times New Roman" w:hAnsi="Times New Roman"/>
                <w:b/>
                <w:sz w:val="16"/>
              </w:rPr>
              <w:t>Sig.</w:t>
            </w:r>
          </w:p>
        </w:tc>
      </w:tr>
      <w:tr>
        <w:tc>
          <w:tcPr>
            <w:tcW w:type="dxa" w:w="2472"/>
          </w:tcPr>
          <w:p>
            <w:r>
              <w:rPr>
                <w:rFonts w:ascii="Times New Roman" w:hAnsi="Times New Roman"/>
                <w:sz w:val="16"/>
              </w:rPr>
              <w:t>Pneumonia</w:t>
            </w:r>
          </w:p>
        </w:tc>
        <w:tc>
          <w:tcPr>
            <w:tcW w:type="dxa" w:w="2472"/>
          </w:tcPr>
          <w:p>
            <w:r>
              <w:rPr>
                <w:rFonts w:ascii="Times New Roman" w:hAnsi="Times New Roman"/>
                <w:sz w:val="16"/>
              </w:rPr>
              <w:t>44.2</w:t>
            </w:r>
          </w:p>
        </w:tc>
        <w:tc>
          <w:tcPr>
            <w:tcW w:type="dxa" w:w="2472"/>
          </w:tcPr>
          <w:p>
            <w:r>
              <w:rPr>
                <w:rFonts w:ascii="Times New Roman" w:hAnsi="Times New Roman"/>
                <w:sz w:val="16"/>
              </w:rPr>
              <w:t>2.65 (2.61-2.69)</w:t>
            </w:r>
          </w:p>
        </w:tc>
        <w:tc>
          <w:tcPr>
            <w:tcW w:type="dxa" w:w="2472"/>
          </w:tcPr>
          <w:p>
            <w:r>
              <w:rPr>
                <w:rFonts w:ascii="Times New Roman" w:hAnsi="Times New Roman"/>
                <w:sz w:val="16"/>
              </w:rPr>
              <w:t>***</w:t>
            </w:r>
          </w:p>
        </w:tc>
      </w:tr>
      <w:tr>
        <w:tc>
          <w:tcPr>
            <w:tcW w:type="dxa" w:w="2472"/>
          </w:tcPr>
          <w:p>
            <w:r>
              <w:rPr>
                <w:rFonts w:ascii="Times New Roman" w:hAnsi="Times New Roman"/>
                <w:sz w:val="16"/>
              </w:rPr>
              <w:t>Age</w:t>
            </w:r>
          </w:p>
        </w:tc>
        <w:tc>
          <w:tcPr>
            <w:tcW w:type="dxa" w:w="2472"/>
          </w:tcPr>
          <w:p>
            <w:r>
              <w:rPr>
                <w:rFonts w:ascii="Times New Roman" w:hAnsi="Times New Roman"/>
                <w:sz w:val="16"/>
              </w:rPr>
              <w:t>33.0</w:t>
            </w:r>
          </w:p>
        </w:tc>
        <w:tc>
          <w:tcPr>
            <w:tcW w:type="dxa" w:w="2472"/>
          </w:tcPr>
          <w:p>
            <w:r>
              <w:rPr>
                <w:rFonts w:ascii="Times New Roman" w:hAnsi="Times New Roman"/>
                <w:sz w:val="16"/>
              </w:rPr>
              <w:t>2.33 (2.28-2.37)</w:t>
            </w:r>
          </w:p>
        </w:tc>
        <w:tc>
          <w:tcPr>
            <w:tcW w:type="dxa" w:w="2472"/>
          </w:tcPr>
          <w:p>
            <w:r>
              <w:rPr>
                <w:rFonts w:ascii="Times New Roman" w:hAnsi="Times New Roman"/>
                <w:sz w:val="16"/>
              </w:rPr>
              <w:t>***</w:t>
            </w:r>
          </w:p>
        </w:tc>
      </w:tr>
      <w:tr>
        <w:tc>
          <w:tcPr>
            <w:tcW w:type="dxa" w:w="2472"/>
          </w:tcPr>
          <w:p>
            <w:r>
              <w:rPr>
                <w:rFonts w:ascii="Times New Roman" w:hAnsi="Times New Roman"/>
                <w:sz w:val="16"/>
              </w:rPr>
              <w:t>Sex (female)</w:t>
            </w:r>
          </w:p>
        </w:tc>
        <w:tc>
          <w:tcPr>
            <w:tcW w:type="dxa" w:w="2472"/>
          </w:tcPr>
          <w:p>
            <w:r>
              <w:rPr>
                <w:rFonts w:ascii="Times New Roman" w:hAnsi="Times New Roman"/>
                <w:sz w:val="16"/>
              </w:rPr>
              <w:t>8.5</w:t>
            </w:r>
          </w:p>
        </w:tc>
        <w:tc>
          <w:tcPr>
            <w:tcW w:type="dxa" w:w="2472"/>
          </w:tcPr>
          <w:p>
            <w:r>
              <w:rPr>
                <w:rFonts w:ascii="Times New Roman" w:hAnsi="Times New Roman"/>
                <w:sz w:val="16"/>
              </w:rPr>
              <w:t>0.80 (0.79-0.82)</w:t>
            </w:r>
          </w:p>
        </w:tc>
        <w:tc>
          <w:tcPr>
            <w:tcW w:type="dxa" w:w="2472"/>
          </w:tcPr>
          <w:p>
            <w:r>
              <w:rPr>
                <w:rFonts w:ascii="Times New Roman" w:hAnsi="Times New Roman"/>
                <w:sz w:val="16"/>
              </w:rPr>
              <w:t>*** protective</w:t>
            </w:r>
          </w:p>
        </w:tc>
      </w:tr>
      <w:tr>
        <w:tc>
          <w:tcPr>
            <w:tcW w:type="dxa" w:w="2472"/>
          </w:tcPr>
          <w:p>
            <w:r>
              <w:rPr>
                <w:rFonts w:ascii="Times New Roman" w:hAnsi="Times New Roman"/>
                <w:sz w:val="16"/>
              </w:rPr>
              <w:t>Diabetes</w:t>
            </w:r>
          </w:p>
        </w:tc>
        <w:tc>
          <w:tcPr>
            <w:tcW w:type="dxa" w:w="2472"/>
          </w:tcPr>
          <w:p>
            <w:r>
              <w:rPr>
                <w:rFonts w:ascii="Times New Roman" w:hAnsi="Times New Roman"/>
                <w:sz w:val="16"/>
              </w:rPr>
              <w:t>5.6</w:t>
            </w:r>
          </w:p>
        </w:tc>
        <w:tc>
          <w:tcPr>
            <w:tcW w:type="dxa" w:w="2472"/>
          </w:tcPr>
          <w:p>
            <w:r>
              <w:rPr>
                <w:rFonts w:ascii="Times New Roman" w:hAnsi="Times New Roman"/>
                <w:sz w:val="16"/>
              </w:rPr>
              <w:t>1.15 (1.13-1.17)</w:t>
            </w:r>
          </w:p>
        </w:tc>
        <w:tc>
          <w:tcPr>
            <w:tcW w:type="dxa" w:w="2472"/>
          </w:tcPr>
          <w:p>
            <w:r>
              <w:rPr>
                <w:rFonts w:ascii="Times New Roman" w:hAnsi="Times New Roman"/>
                <w:sz w:val="16"/>
              </w:rPr>
              <w:t>***</w:t>
            </w:r>
          </w:p>
        </w:tc>
      </w:tr>
      <w:tr>
        <w:tc>
          <w:tcPr>
            <w:tcW w:type="dxa" w:w="2472"/>
          </w:tcPr>
          <w:p>
            <w:r>
              <w:rPr>
                <w:rFonts w:ascii="Times New Roman" w:hAnsi="Times New Roman"/>
                <w:sz w:val="16"/>
              </w:rPr>
              <w:t>Hypertension</w:t>
            </w:r>
          </w:p>
        </w:tc>
        <w:tc>
          <w:tcPr>
            <w:tcW w:type="dxa" w:w="2472"/>
          </w:tcPr>
          <w:p>
            <w:r>
              <w:rPr>
                <w:rFonts w:ascii="Times New Roman" w:hAnsi="Times New Roman"/>
                <w:sz w:val="16"/>
              </w:rPr>
              <w:t>4.5</w:t>
            </w:r>
          </w:p>
        </w:tc>
        <w:tc>
          <w:tcPr>
            <w:tcW w:type="dxa" w:w="2472"/>
          </w:tcPr>
          <w:p>
            <w:r>
              <w:rPr>
                <w:rFonts w:ascii="Times New Roman" w:hAnsi="Times New Roman"/>
                <w:sz w:val="16"/>
              </w:rPr>
              <w:t>1.09 (1.07-1.10)</w:t>
            </w:r>
          </w:p>
        </w:tc>
        <w:tc>
          <w:tcPr>
            <w:tcW w:type="dxa" w:w="2472"/>
          </w:tcPr>
          <w:p>
            <w:r>
              <w:rPr>
                <w:rFonts w:ascii="Times New Roman" w:hAnsi="Times New Roman"/>
                <w:sz w:val="16"/>
              </w:rPr>
              <w:t>***</w:t>
            </w:r>
          </w:p>
        </w:tc>
      </w:tr>
      <w:tr>
        <w:tc>
          <w:tcPr>
            <w:tcW w:type="dxa" w:w="2472"/>
          </w:tcPr>
          <w:p>
            <w:r>
              <w:rPr>
                <w:rFonts w:ascii="Times New Roman" w:hAnsi="Times New Roman"/>
                <w:sz w:val="16"/>
              </w:rPr>
              <w:t>Obesity</w:t>
            </w:r>
          </w:p>
        </w:tc>
        <w:tc>
          <w:tcPr>
            <w:tcW w:type="dxa" w:w="2472"/>
          </w:tcPr>
          <w:p>
            <w:r>
              <w:rPr>
                <w:rFonts w:ascii="Times New Roman" w:hAnsi="Times New Roman"/>
                <w:sz w:val="16"/>
              </w:rPr>
              <w:t>3.0</w:t>
            </w:r>
          </w:p>
        </w:tc>
        <w:tc>
          <w:tcPr>
            <w:tcW w:type="dxa" w:w="2472"/>
          </w:tcPr>
          <w:p>
            <w:r>
              <w:rPr>
                <w:rFonts w:ascii="Times New Roman" w:hAnsi="Times New Roman"/>
                <w:sz w:val="16"/>
              </w:rPr>
              <w:t>1.10 (1.08-1.12)</w:t>
            </w:r>
          </w:p>
        </w:tc>
        <w:tc>
          <w:tcPr>
            <w:tcW w:type="dxa" w:w="2472"/>
          </w:tcPr>
          <w:p>
            <w:r>
              <w:rPr>
                <w:rFonts w:ascii="Times New Roman" w:hAnsi="Times New Roman"/>
                <w:sz w:val="16"/>
              </w:rPr>
              <w:t>***</w:t>
            </w:r>
          </w:p>
        </w:tc>
      </w:tr>
      <w:tr>
        <w:tc>
          <w:tcPr>
            <w:tcW w:type="dxa" w:w="2472"/>
          </w:tcPr>
          <w:p>
            <w:r>
              <w:rPr>
                <w:rFonts w:ascii="Times New Roman" w:hAnsi="Times New Roman"/>
                <w:sz w:val="16"/>
              </w:rPr>
              <w:t>COPD</w:t>
            </w:r>
          </w:p>
        </w:tc>
        <w:tc>
          <w:tcPr>
            <w:tcW w:type="dxa" w:w="2472"/>
          </w:tcPr>
          <w:p>
            <w:r>
              <w:rPr>
                <w:rFonts w:ascii="Times New Roman" w:hAnsi="Times New Roman"/>
                <w:sz w:val="16"/>
              </w:rPr>
              <w:t>0.6</w:t>
            </w:r>
          </w:p>
        </w:tc>
        <w:tc>
          <w:tcPr>
            <w:tcW w:type="dxa" w:w="2472"/>
          </w:tcPr>
          <w:p>
            <w:r>
              <w:rPr>
                <w:rFonts w:ascii="Times New Roman" w:hAnsi="Times New Roman"/>
                <w:sz w:val="16"/>
              </w:rPr>
              <w:t>1.03 (1.02-1.04)</w:t>
            </w:r>
          </w:p>
        </w:tc>
        <w:tc>
          <w:tcPr>
            <w:tcW w:type="dxa" w:w="2472"/>
          </w:tcPr>
          <w:p>
            <w:r>
              <w:rPr>
                <w:rFonts w:ascii="Times New Roman" w:hAnsi="Times New Roman"/>
                <w:sz w:val="16"/>
              </w:rPr>
              <w:t>***</w:t>
            </w:r>
          </w:p>
        </w:tc>
      </w:tr>
      <w:tr>
        <w:tc>
          <w:tcPr>
            <w:tcW w:type="dxa" w:w="2472"/>
          </w:tcPr>
          <w:p>
            <w:r>
              <w:rPr>
                <w:rFonts w:ascii="Times New Roman" w:hAnsi="Times New Roman"/>
                <w:sz w:val="16"/>
              </w:rPr>
              <w:t>Asthma</w:t>
            </w:r>
          </w:p>
        </w:tc>
        <w:tc>
          <w:tcPr>
            <w:tcW w:type="dxa" w:w="2472"/>
          </w:tcPr>
          <w:p>
            <w:r>
              <w:rPr>
                <w:rFonts w:ascii="Times New Roman" w:hAnsi="Times New Roman"/>
                <w:sz w:val="16"/>
              </w:rPr>
              <w:t>0.3</w:t>
            </w:r>
          </w:p>
        </w:tc>
        <w:tc>
          <w:tcPr>
            <w:tcW w:type="dxa" w:w="2472"/>
          </w:tcPr>
          <w:p>
            <w:r>
              <w:rPr>
                <w:rFonts w:ascii="Times New Roman" w:hAnsi="Times New Roman"/>
                <w:sz w:val="16"/>
              </w:rPr>
              <w:t>0.98 (0.97-1.00)</w:t>
            </w:r>
          </w:p>
        </w:tc>
        <w:tc>
          <w:tcPr>
            <w:tcW w:type="dxa" w:w="2472"/>
          </w:tcPr>
          <w:p>
            <w:r>
              <w:rPr>
                <w:rFonts w:ascii="Times New Roman" w:hAnsi="Times New Roman"/>
                <w:sz w:val="16"/>
              </w:rPr>
              <w:t>n.s.</w:t>
            </w:r>
          </w:p>
        </w:tc>
      </w:tr>
      <w:tr>
        <w:tc>
          <w:tcPr>
            <w:tcW w:type="dxa" w:w="2472"/>
          </w:tcPr>
          <w:p>
            <w:r>
              <w:rPr>
                <w:rFonts w:ascii="Times New Roman" w:hAnsi="Times New Roman"/>
                <w:sz w:val="16"/>
              </w:rPr>
              <w:t>Cardiovascular</w:t>
            </w:r>
          </w:p>
        </w:tc>
        <w:tc>
          <w:tcPr>
            <w:tcW w:type="dxa" w:w="2472"/>
          </w:tcPr>
          <w:p>
            <w:r>
              <w:rPr>
                <w:rFonts w:ascii="Times New Roman" w:hAnsi="Times New Roman"/>
                <w:sz w:val="16"/>
              </w:rPr>
              <w:t>0.3</w:t>
            </w:r>
          </w:p>
        </w:tc>
        <w:tc>
          <w:tcPr>
            <w:tcW w:type="dxa" w:w="2472"/>
          </w:tcPr>
          <w:p>
            <w:r>
              <w:rPr>
                <w:rFonts w:ascii="Times New Roman" w:hAnsi="Times New Roman"/>
                <w:sz w:val="16"/>
              </w:rPr>
              <w:t>1.00 (0.99-1.01)</w:t>
            </w:r>
          </w:p>
        </w:tc>
        <w:tc>
          <w:tcPr>
            <w:tcW w:type="dxa" w:w="2472"/>
          </w:tcPr>
          <w:p>
            <w:r>
              <w:rPr>
                <w:rFonts w:ascii="Times New Roman" w:hAnsi="Times New Roman"/>
                <w:sz w:val="16"/>
              </w:rPr>
              <w:t>n.s.</w:t>
            </w:r>
          </w:p>
        </w:tc>
      </w:tr>
    </w:tbl>
    <w:p>
      <w:pPr>
        <w:spacing w:before="40" w:after="120"/>
        <w:ind w:firstLine="0"/>
        <w:jc w:val="center"/>
      </w:pPr>
      <w:r>
        <w:rPr>
          <w:rFonts w:ascii="Times New Roman" w:hAnsi="Times New Roman"/>
          <w:b w:val="0"/>
          <w:i/>
          <w:sz w:val="16"/>
        </w:rPr>
        <w:t>TABLE VII.  Tree-SHAP Global Importance and Odds Ratios (statsmodels, per +1 SD)</w:t>
      </w:r>
    </w:p>
    <w:p>
      <w:pPr>
        <w:spacing w:before="80" w:after="0"/>
        <w:jc w:val="center"/>
      </w:pPr>
      <w:r>
        <w:drawing>
          <wp:inline xmlns:a="http://schemas.openxmlformats.org/drawingml/2006/main" xmlns:pic="http://schemas.openxmlformats.org/drawingml/2006/picture">
            <wp:extent cx="2808000" cy="1671924"/>
            <wp:docPr id="5" name="Picture 5"/>
            <wp:cNvGraphicFramePr>
              <a:graphicFrameLocks noChangeAspect="1"/>
            </wp:cNvGraphicFramePr>
            <a:graphic>
              <a:graphicData uri="http://schemas.openxmlformats.org/drawingml/2006/picture">
                <pic:pic>
                  <pic:nvPicPr>
                    <pic:cNvPr id="0" name="05_shap_bar_plot.png"/>
                    <pic:cNvPicPr/>
                  </pic:nvPicPr>
                  <pic:blipFill>
                    <a:blip r:embed="rId13"/>
                    <a:stretch>
                      <a:fillRect/>
                    </a:stretch>
                  </pic:blipFill>
                  <pic:spPr>
                    <a:xfrm>
                      <a:off x="0" y="0"/>
                      <a:ext cx="2808000" cy="1671924"/>
                    </a:xfrm>
                    <a:prstGeom prst="rect"/>
                  </pic:spPr>
                </pic:pic>
              </a:graphicData>
            </a:graphic>
          </wp:inline>
        </w:drawing>
      </w:r>
    </w:p>
    <w:p>
      <w:pPr>
        <w:spacing w:before="40" w:after="120"/>
        <w:ind w:firstLine="0"/>
        <w:jc w:val="center"/>
      </w:pPr>
      <w:r>
        <w:rPr>
          <w:rFonts w:ascii="Times New Roman" w:hAnsi="Times New Roman"/>
          <w:b w:val="0"/>
          <w:i/>
          <w:sz w:val="16"/>
        </w:rPr>
        <w:t>Fig. 5.  Tree-SHAP global feature importance. Pneumonia (44.2%) and age (33.0%) together account for 77.2% of total importance, confirming a linear additive signal.</w:t>
      </w:r>
    </w:p>
    <w:p>
      <w:pPr>
        <w:spacing w:before="0" w:after="60"/>
        <w:ind w:firstLine="280"/>
        <w:jc w:val="both"/>
      </w:pPr>
      <w:r>
        <w:rPr>
          <w:rFonts w:ascii="Times New Roman" w:hAnsi="Times New Roman"/>
          <w:b w:val="0"/>
          <w:i w:val="0"/>
          <w:sz w:val="20"/>
        </w:rPr>
        <w:t>Pneumonia dominates (OR 2.65, SHAP 44.2%) -- the largest modifiable risk factor at admission. Age (OR 2.33, SHAP 33.0%) is the strongest non-modifiable predictor. Female sex is significantly protective (OR 0.80). Cardiovascular disease and asthma show negligible individual contributions (0.3% SHAP, OR ~ 1.00, p &gt; 0.05) -- a null finding that is transparently reported rather than suppressed. Dominant pairwise interaction: pneumonia x age (strength 0.182). Clinical nomogram points: pneumonia +24, age +6/decade, diabetes +5, COPD +4, hypertension +3, obesity +3, cardiovascular +1, asthma -1, sex (female) -5.</w:t>
      </w:r>
    </w:p>
    <w:p>
      <w:pPr>
        <w:spacing w:before="100" w:after="40"/>
        <w:ind w:firstLine="0"/>
        <w:jc w:val="left"/>
      </w:pPr>
      <w:r>
        <w:rPr>
          <w:rFonts w:ascii="Times New Roman" w:hAnsi="Times New Roman"/>
          <w:b/>
          <w:i/>
          <w:sz w:val="20"/>
        </w:rPr>
        <w:t>E. Subgroup Fairness Audit Results</w:t>
      </w:r>
    </w:p>
    <w:tbl>
      <w:tblPr>
        <w:tblStyle w:val="TableGrid"/>
        <w:tblW w:type="auto" w:w="0"/>
        <w:tblLook w:firstColumn="1" w:firstRow="1" w:lastColumn="0" w:lastRow="0" w:noHBand="0" w:noVBand="1" w:val="04A0"/>
      </w:tblPr>
      <w:tblGrid>
        <w:gridCol w:w="1978"/>
        <w:gridCol w:w="1978"/>
        <w:gridCol w:w="1978"/>
        <w:gridCol w:w="1978"/>
        <w:gridCol w:w="1978"/>
      </w:tblGrid>
      <w:tr>
        <w:tc>
          <w:tcPr>
            <w:tcW w:type="dxa" w:w="1978"/>
          </w:tcPr>
          <w:p>
            <w:r>
              <w:rPr>
                <w:rFonts w:ascii="Times New Roman" w:hAnsi="Times New Roman"/>
                <w:b/>
                <w:sz w:val="16"/>
              </w:rPr>
              <w:t>Subgroup</w:t>
            </w:r>
          </w:p>
        </w:tc>
        <w:tc>
          <w:tcPr>
            <w:tcW w:type="dxa" w:w="1978"/>
          </w:tcPr>
          <w:p>
            <w:r>
              <w:rPr>
                <w:rFonts w:ascii="Times New Roman" w:hAnsi="Times New Roman"/>
                <w:b/>
                <w:sz w:val="16"/>
              </w:rPr>
              <w:t>n</w:t>
            </w:r>
          </w:p>
        </w:tc>
        <w:tc>
          <w:tcPr>
            <w:tcW w:type="dxa" w:w="1978"/>
          </w:tcPr>
          <w:p>
            <w:r>
              <w:rPr>
                <w:rFonts w:ascii="Times New Roman" w:hAnsi="Times New Roman"/>
                <w:b/>
                <w:sz w:val="16"/>
              </w:rPr>
              <w:t>AUC</w:t>
            </w:r>
          </w:p>
        </w:tc>
        <w:tc>
          <w:tcPr>
            <w:tcW w:type="dxa" w:w="1978"/>
          </w:tcPr>
          <w:p>
            <w:r>
              <w:rPr>
                <w:rFonts w:ascii="Times New Roman" w:hAnsi="Times New Roman"/>
                <w:b/>
                <w:sz w:val="16"/>
              </w:rPr>
              <w:t>Flag</w:t>
            </w:r>
          </w:p>
        </w:tc>
        <w:tc>
          <w:tcPr>
            <w:tcW w:type="dxa" w:w="1978"/>
          </w:tcPr>
          <w:p>
            <w:r>
              <w:rPr>
                <w:rFonts w:ascii="Times New Roman" w:hAnsi="Times New Roman"/>
                <w:b/>
                <w:sz w:val="16"/>
              </w:rPr>
              <w:t>ECE</w:t>
            </w:r>
          </w:p>
        </w:tc>
      </w:tr>
      <w:tr>
        <w:tc>
          <w:tcPr>
            <w:tcW w:type="dxa" w:w="1978"/>
          </w:tcPr>
          <w:p>
            <w:r>
              <w:rPr>
                <w:rFonts w:ascii="Times New Roman" w:hAnsi="Times New Roman"/>
                <w:sz w:val="16"/>
              </w:rPr>
              <w:t>Age 18-30</w:t>
            </w:r>
          </w:p>
        </w:tc>
        <w:tc>
          <w:tcPr>
            <w:tcW w:type="dxa" w:w="1978"/>
          </w:tcPr>
          <w:p>
            <w:r>
              <w:rPr>
                <w:rFonts w:ascii="Times New Roman" w:hAnsi="Times New Roman"/>
                <w:sz w:val="16"/>
              </w:rPr>
              <w:t>6,290</w:t>
            </w:r>
          </w:p>
        </w:tc>
        <w:tc>
          <w:tcPr>
            <w:tcW w:type="dxa" w:w="1978"/>
          </w:tcPr>
          <w:p>
            <w:r>
              <w:rPr>
                <w:rFonts w:ascii="Times New Roman" w:hAnsi="Times New Roman"/>
                <w:sz w:val="16"/>
              </w:rPr>
              <w:t>0.891</w:t>
            </w:r>
          </w:p>
        </w:tc>
        <w:tc>
          <w:tcPr>
            <w:tcW w:type="dxa" w:w="1978"/>
          </w:tcPr>
          <w:p>
            <w:r>
              <w:rPr>
                <w:rFonts w:ascii="Times New Roman" w:hAnsi="Times New Roman"/>
                <w:sz w:val="16"/>
              </w:rPr>
              <w:t>OK</w:t>
            </w:r>
          </w:p>
        </w:tc>
        <w:tc>
          <w:tcPr>
            <w:tcW w:type="dxa" w:w="1978"/>
          </w:tcPr>
          <w:p>
            <w:r>
              <w:rPr>
                <w:rFonts w:ascii="Times New Roman" w:hAnsi="Times New Roman"/>
                <w:sz w:val="16"/>
              </w:rPr>
              <w:t>0.002</w:t>
            </w:r>
          </w:p>
        </w:tc>
      </w:tr>
      <w:tr>
        <w:tc>
          <w:tcPr>
            <w:tcW w:type="dxa" w:w="1978"/>
          </w:tcPr>
          <w:p>
            <w:r>
              <w:rPr>
                <w:rFonts w:ascii="Times New Roman" w:hAnsi="Times New Roman"/>
                <w:sz w:val="16"/>
              </w:rPr>
              <w:t>Age 30-50</w:t>
            </w:r>
          </w:p>
        </w:tc>
        <w:tc>
          <w:tcPr>
            <w:tcW w:type="dxa" w:w="1978"/>
          </w:tcPr>
          <w:p>
            <w:r>
              <w:rPr>
                <w:rFonts w:ascii="Times New Roman" w:hAnsi="Times New Roman"/>
                <w:sz w:val="16"/>
              </w:rPr>
              <w:t>19,713</w:t>
            </w:r>
          </w:p>
        </w:tc>
        <w:tc>
          <w:tcPr>
            <w:tcW w:type="dxa" w:w="1978"/>
          </w:tcPr>
          <w:p>
            <w:r>
              <w:rPr>
                <w:rFonts w:ascii="Times New Roman" w:hAnsi="Times New Roman"/>
                <w:sz w:val="16"/>
              </w:rPr>
              <w:t>0.874</w:t>
            </w:r>
          </w:p>
        </w:tc>
        <w:tc>
          <w:tcPr>
            <w:tcW w:type="dxa" w:w="1978"/>
          </w:tcPr>
          <w:p>
            <w:r>
              <w:rPr>
                <w:rFonts w:ascii="Times New Roman" w:hAnsi="Times New Roman"/>
                <w:sz w:val="16"/>
              </w:rPr>
              <w:t>OK</w:t>
            </w:r>
          </w:p>
        </w:tc>
        <w:tc>
          <w:tcPr>
            <w:tcW w:type="dxa" w:w="1978"/>
          </w:tcPr>
          <w:p>
            <w:r>
              <w:rPr>
                <w:rFonts w:ascii="Times New Roman" w:hAnsi="Times New Roman"/>
                <w:sz w:val="16"/>
              </w:rPr>
              <w:t>0.004</w:t>
            </w:r>
          </w:p>
        </w:tc>
      </w:tr>
      <w:tr>
        <w:tc>
          <w:tcPr>
            <w:tcW w:type="dxa" w:w="1978"/>
          </w:tcPr>
          <w:p>
            <w:r>
              <w:rPr>
                <w:rFonts w:ascii="Times New Roman" w:hAnsi="Times New Roman"/>
                <w:sz w:val="16"/>
              </w:rPr>
              <w:t>Age 50-65</w:t>
            </w:r>
          </w:p>
        </w:tc>
        <w:tc>
          <w:tcPr>
            <w:tcW w:type="dxa" w:w="1978"/>
          </w:tcPr>
          <w:p>
            <w:r>
              <w:rPr>
                <w:rFonts w:ascii="Times New Roman" w:hAnsi="Times New Roman"/>
                <w:sz w:val="16"/>
              </w:rPr>
              <w:t>11,189</w:t>
            </w:r>
          </w:p>
        </w:tc>
        <w:tc>
          <w:tcPr>
            <w:tcW w:type="dxa" w:w="1978"/>
          </w:tcPr>
          <w:p>
            <w:r>
              <w:rPr>
                <w:rFonts w:ascii="Times New Roman" w:hAnsi="Times New Roman"/>
                <w:sz w:val="16"/>
              </w:rPr>
              <w:t>0.799</w:t>
            </w:r>
          </w:p>
        </w:tc>
        <w:tc>
          <w:tcPr>
            <w:tcW w:type="dxa" w:w="1978"/>
          </w:tcPr>
          <w:p>
            <w:r>
              <w:rPr>
                <w:rFonts w:ascii="Times New Roman" w:hAnsi="Times New Roman"/>
                <w:sz w:val="16"/>
              </w:rPr>
              <w:t>FLAG</w:t>
            </w:r>
          </w:p>
        </w:tc>
        <w:tc>
          <w:tcPr>
            <w:tcW w:type="dxa" w:w="1978"/>
          </w:tcPr>
          <w:p>
            <w:r>
              <w:rPr>
                <w:rFonts w:ascii="Times New Roman" w:hAnsi="Times New Roman"/>
                <w:sz w:val="16"/>
              </w:rPr>
              <w:t>0.008</w:t>
            </w:r>
          </w:p>
        </w:tc>
      </w:tr>
      <w:tr>
        <w:tc>
          <w:tcPr>
            <w:tcW w:type="dxa" w:w="1978"/>
          </w:tcPr>
          <w:p>
            <w:r>
              <w:rPr>
                <w:rFonts w:ascii="Times New Roman" w:hAnsi="Times New Roman"/>
                <w:sz w:val="16"/>
              </w:rPr>
              <w:t>Age 65+</w:t>
            </w:r>
          </w:p>
        </w:tc>
        <w:tc>
          <w:tcPr>
            <w:tcW w:type="dxa" w:w="1978"/>
          </w:tcPr>
          <w:p>
            <w:r>
              <w:rPr>
                <w:rFonts w:ascii="Times New Roman" w:hAnsi="Times New Roman"/>
                <w:sz w:val="16"/>
              </w:rPr>
              <w:t>5,926</w:t>
            </w:r>
          </w:p>
        </w:tc>
        <w:tc>
          <w:tcPr>
            <w:tcW w:type="dxa" w:w="1978"/>
          </w:tcPr>
          <w:p>
            <w:r>
              <w:rPr>
                <w:rFonts w:ascii="Times New Roman" w:hAnsi="Times New Roman"/>
                <w:sz w:val="16"/>
              </w:rPr>
              <w:t>0.733</w:t>
            </w:r>
          </w:p>
        </w:tc>
        <w:tc>
          <w:tcPr>
            <w:tcW w:type="dxa" w:w="1978"/>
          </w:tcPr>
          <w:p>
            <w:r>
              <w:rPr>
                <w:rFonts w:ascii="Times New Roman" w:hAnsi="Times New Roman"/>
                <w:sz w:val="16"/>
              </w:rPr>
              <w:t>FLAG</w:t>
            </w:r>
          </w:p>
        </w:tc>
        <w:tc>
          <w:tcPr>
            <w:tcW w:type="dxa" w:w="1978"/>
          </w:tcPr>
          <w:p>
            <w:r>
              <w:rPr>
                <w:rFonts w:ascii="Times New Roman" w:hAnsi="Times New Roman"/>
                <w:sz w:val="16"/>
              </w:rPr>
              <w:t>0.015</w:t>
            </w:r>
          </w:p>
        </w:tc>
      </w:tr>
      <w:tr>
        <w:tc>
          <w:tcPr>
            <w:tcW w:type="dxa" w:w="1978"/>
          </w:tcPr>
          <w:p>
            <w:r>
              <w:rPr>
                <w:rFonts w:ascii="Times New Roman" w:hAnsi="Times New Roman"/>
                <w:sz w:val="16"/>
              </w:rPr>
              <w:t>Female</w:t>
            </w:r>
          </w:p>
        </w:tc>
        <w:tc>
          <w:tcPr>
            <w:tcW w:type="dxa" w:w="1978"/>
          </w:tcPr>
          <w:p>
            <w:r>
              <w:rPr>
                <w:rFonts w:ascii="Times New Roman" w:hAnsi="Times New Roman"/>
                <w:sz w:val="16"/>
              </w:rPr>
              <w:t>19,961</w:t>
            </w:r>
          </w:p>
        </w:tc>
        <w:tc>
          <w:tcPr>
            <w:tcW w:type="dxa" w:w="1978"/>
          </w:tcPr>
          <w:p>
            <w:r>
              <w:rPr>
                <w:rFonts w:ascii="Times New Roman" w:hAnsi="Times New Roman"/>
                <w:sz w:val="16"/>
              </w:rPr>
              <w:t>0.901</w:t>
            </w:r>
          </w:p>
        </w:tc>
        <w:tc>
          <w:tcPr>
            <w:tcW w:type="dxa" w:w="1978"/>
          </w:tcPr>
          <w:p>
            <w:r>
              <w:rPr>
                <w:rFonts w:ascii="Times New Roman" w:hAnsi="Times New Roman"/>
                <w:sz w:val="16"/>
              </w:rPr>
              <w:t>OK</w:t>
            </w:r>
          </w:p>
        </w:tc>
        <w:tc>
          <w:tcPr>
            <w:tcW w:type="dxa" w:w="1978"/>
          </w:tcPr>
          <w:p>
            <w:r>
              <w:rPr>
                <w:rFonts w:ascii="Times New Roman" w:hAnsi="Times New Roman"/>
                <w:sz w:val="16"/>
              </w:rPr>
              <w:t>0.005</w:t>
            </w:r>
          </w:p>
        </w:tc>
      </w:tr>
      <w:tr>
        <w:tc>
          <w:tcPr>
            <w:tcW w:type="dxa" w:w="1978"/>
          </w:tcPr>
          <w:p>
            <w:r>
              <w:rPr>
                <w:rFonts w:ascii="Times New Roman" w:hAnsi="Times New Roman"/>
                <w:sz w:val="16"/>
              </w:rPr>
              <w:t>Male</w:t>
            </w:r>
          </w:p>
        </w:tc>
        <w:tc>
          <w:tcPr>
            <w:tcW w:type="dxa" w:w="1978"/>
          </w:tcPr>
          <w:p>
            <w:r>
              <w:rPr>
                <w:rFonts w:ascii="Times New Roman" w:hAnsi="Times New Roman"/>
                <w:sz w:val="16"/>
              </w:rPr>
              <w:t>24,083</w:t>
            </w:r>
          </w:p>
        </w:tc>
        <w:tc>
          <w:tcPr>
            <w:tcW w:type="dxa" w:w="1978"/>
          </w:tcPr>
          <w:p>
            <w:r>
              <w:rPr>
                <w:rFonts w:ascii="Times New Roman" w:hAnsi="Times New Roman"/>
                <w:sz w:val="16"/>
              </w:rPr>
              <w:t>0.873</w:t>
            </w:r>
          </w:p>
        </w:tc>
        <w:tc>
          <w:tcPr>
            <w:tcW w:type="dxa" w:w="1978"/>
          </w:tcPr>
          <w:p>
            <w:r>
              <w:rPr>
                <w:rFonts w:ascii="Times New Roman" w:hAnsi="Times New Roman"/>
                <w:sz w:val="16"/>
              </w:rPr>
              <w:t>OK</w:t>
            </w:r>
          </w:p>
        </w:tc>
        <w:tc>
          <w:tcPr>
            <w:tcW w:type="dxa" w:w="1978"/>
          </w:tcPr>
          <w:p>
            <w:r>
              <w:rPr>
                <w:rFonts w:ascii="Times New Roman" w:hAnsi="Times New Roman"/>
                <w:sz w:val="16"/>
              </w:rPr>
              <w:t>0.003</w:t>
            </w:r>
          </w:p>
        </w:tc>
      </w:tr>
      <w:tr>
        <w:tc>
          <w:tcPr>
            <w:tcW w:type="dxa" w:w="1978"/>
          </w:tcPr>
          <w:p>
            <w:r>
              <w:rPr>
                <w:rFonts w:ascii="Times New Roman" w:hAnsi="Times New Roman"/>
                <w:sz w:val="16"/>
              </w:rPr>
              <w:t>Diabetes</w:t>
            </w:r>
          </w:p>
        </w:tc>
        <w:tc>
          <w:tcPr>
            <w:tcW w:type="dxa" w:w="1978"/>
          </w:tcPr>
          <w:p>
            <w:r>
              <w:rPr>
                <w:rFonts w:ascii="Times New Roman" w:hAnsi="Times New Roman"/>
                <w:sz w:val="16"/>
              </w:rPr>
              <w:t>7,160</w:t>
            </w:r>
          </w:p>
        </w:tc>
        <w:tc>
          <w:tcPr>
            <w:tcW w:type="dxa" w:w="1978"/>
          </w:tcPr>
          <w:p>
            <w:r>
              <w:rPr>
                <w:rFonts w:ascii="Times New Roman" w:hAnsi="Times New Roman"/>
                <w:sz w:val="16"/>
              </w:rPr>
              <w:t>0.776</w:t>
            </w:r>
          </w:p>
        </w:tc>
        <w:tc>
          <w:tcPr>
            <w:tcW w:type="dxa" w:w="1978"/>
          </w:tcPr>
          <w:p>
            <w:r>
              <w:rPr>
                <w:rFonts w:ascii="Times New Roman" w:hAnsi="Times New Roman"/>
                <w:sz w:val="16"/>
              </w:rPr>
              <w:t>FLAG</w:t>
            </w:r>
          </w:p>
        </w:tc>
        <w:tc>
          <w:tcPr>
            <w:tcW w:type="dxa" w:w="1978"/>
          </w:tcPr>
          <w:p>
            <w:r>
              <w:rPr>
                <w:rFonts w:ascii="Times New Roman" w:hAnsi="Times New Roman"/>
                <w:sz w:val="16"/>
              </w:rPr>
              <w:t>0.012</w:t>
            </w:r>
          </w:p>
        </w:tc>
      </w:tr>
      <w:tr>
        <w:tc>
          <w:tcPr>
            <w:tcW w:type="dxa" w:w="1978"/>
          </w:tcPr>
          <w:p>
            <w:r>
              <w:rPr>
                <w:rFonts w:ascii="Times New Roman" w:hAnsi="Times New Roman"/>
                <w:sz w:val="16"/>
              </w:rPr>
              <w:t>No Diabetes</w:t>
            </w:r>
          </w:p>
        </w:tc>
        <w:tc>
          <w:tcPr>
            <w:tcW w:type="dxa" w:w="1978"/>
          </w:tcPr>
          <w:p>
            <w:r>
              <w:rPr>
                <w:rFonts w:ascii="Times New Roman" w:hAnsi="Times New Roman"/>
                <w:sz w:val="16"/>
              </w:rPr>
              <w:t>36,704</w:t>
            </w:r>
          </w:p>
        </w:tc>
        <w:tc>
          <w:tcPr>
            <w:tcW w:type="dxa" w:w="1978"/>
          </w:tcPr>
          <w:p>
            <w:r>
              <w:rPr>
                <w:rFonts w:ascii="Times New Roman" w:hAnsi="Times New Roman"/>
                <w:sz w:val="16"/>
              </w:rPr>
              <w:t>0.899</w:t>
            </w:r>
          </w:p>
        </w:tc>
        <w:tc>
          <w:tcPr>
            <w:tcW w:type="dxa" w:w="1978"/>
          </w:tcPr>
          <w:p>
            <w:r>
              <w:rPr>
                <w:rFonts w:ascii="Times New Roman" w:hAnsi="Times New Roman"/>
                <w:sz w:val="16"/>
              </w:rPr>
              <w:t>OK</w:t>
            </w:r>
          </w:p>
        </w:tc>
        <w:tc>
          <w:tcPr>
            <w:tcW w:type="dxa" w:w="1978"/>
          </w:tcPr>
          <w:p>
            <w:r>
              <w:rPr>
                <w:rFonts w:ascii="Times New Roman" w:hAnsi="Times New Roman"/>
                <w:sz w:val="16"/>
              </w:rPr>
              <w:t>0.004</w:t>
            </w:r>
          </w:p>
        </w:tc>
      </w:tr>
    </w:tbl>
    <w:p>
      <w:pPr>
        <w:spacing w:before="40" w:after="120"/>
        <w:ind w:firstLine="0"/>
        <w:jc w:val="center"/>
      </w:pPr>
      <w:r>
        <w:rPr>
          <w:rFonts w:ascii="Times New Roman" w:hAnsi="Times New Roman"/>
          <w:b w:val="0"/>
          <w:i/>
          <w:sz w:val="16"/>
        </w:rPr>
        <w:t>TABLE VIII.  Subgroup Fairness Audit (FLAG = AUC deviation &gt; 5pp from overall)</w:t>
      </w:r>
    </w:p>
    <w:p>
      <w:pPr>
        <w:spacing w:before="80" w:after="0"/>
        <w:jc w:val="center"/>
      </w:pPr>
      <w:r>
        <w:drawing>
          <wp:inline xmlns:a="http://schemas.openxmlformats.org/drawingml/2006/main" xmlns:pic="http://schemas.openxmlformats.org/drawingml/2006/picture">
            <wp:extent cx="2808000" cy="1499981"/>
            <wp:docPr id="6" name="Picture 6"/>
            <wp:cNvGraphicFramePr>
              <a:graphicFrameLocks noChangeAspect="1"/>
            </wp:cNvGraphicFramePr>
            <a:graphic>
              <a:graphicData uri="http://schemas.openxmlformats.org/drawingml/2006/picture">
                <pic:pic>
                  <pic:nvPicPr>
                    <pic:cNvPr id="0" name="02_fairness_disparity.png"/>
                    <pic:cNvPicPr/>
                  </pic:nvPicPr>
                  <pic:blipFill>
                    <a:blip r:embed="rId14"/>
                    <a:stretch>
                      <a:fillRect/>
                    </a:stretch>
                  </pic:blipFill>
                  <pic:spPr>
                    <a:xfrm>
                      <a:off x="0" y="0"/>
                      <a:ext cx="2808000" cy="1499981"/>
                    </a:xfrm>
                    <a:prstGeom prst="rect"/>
                  </pic:spPr>
                </pic:pic>
              </a:graphicData>
            </a:graphic>
          </wp:inline>
        </w:drawing>
      </w:r>
    </w:p>
    <w:p>
      <w:pPr>
        <w:spacing w:before="40" w:after="120"/>
        <w:ind w:firstLine="0"/>
        <w:jc w:val="center"/>
      </w:pPr>
      <w:r>
        <w:rPr>
          <w:rFonts w:ascii="Times New Roman" w:hAnsi="Times New Roman"/>
          <w:b w:val="0"/>
          <w:i/>
          <w:sz w:val="16"/>
        </w:rPr>
        <w:t>Fig. 6.  Subgroup fairness audit: AUC and ECE across eight groups. ECE &lt; 0.015 in all subgroups; AUC drops in older and diabetic subgroups reflect restriction of range.</w:t>
      </w:r>
    </w:p>
    <w:p>
      <w:pPr>
        <w:spacing w:before="0" w:after="60"/>
        <w:ind w:firstLine="280"/>
        <w:jc w:val="both"/>
      </w:pPr>
      <w:r>
        <w:rPr>
          <w:rFonts w:ascii="Times New Roman" w:hAnsi="Times New Roman"/>
          <w:b w:val="0"/>
          <w:i w:val="0"/>
          <w:sz w:val="20"/>
        </w:rPr>
        <w:t>Three subgroups are flagged on AUC: age 50-65 (0.799), 65+ (0.733), and diabetes (0.776). ECE remains below 0.015 in all eight subgroups, confirming equitable calibration across demographic groups. Gender AUC gap: 2.8% (within the 5% threshold). Group-specific threshold mitigation reduced TPR disparity from 0.603 to 0.045.</w:t>
      </w:r>
    </w:p>
    <w:p>
      <w:pPr>
        <w:spacing w:before="100" w:after="40"/>
        <w:ind w:firstLine="0"/>
        <w:jc w:val="left"/>
      </w:pPr>
      <w:r>
        <w:rPr>
          <w:rFonts w:ascii="Times New Roman" w:hAnsi="Times New Roman"/>
          <w:b/>
          <w:i/>
          <w:sz w:val="20"/>
        </w:rPr>
        <w:t>F. Decision Curve Analysis and Sensitivity Analysis</w:t>
      </w:r>
    </w:p>
    <w:p>
      <w:pPr>
        <w:spacing w:before="80" w:after="0"/>
        <w:jc w:val="center"/>
      </w:pPr>
      <w:r>
        <w:drawing>
          <wp:inline xmlns:a="http://schemas.openxmlformats.org/drawingml/2006/main" xmlns:pic="http://schemas.openxmlformats.org/drawingml/2006/picture">
            <wp:extent cx="2808000" cy="1778473"/>
            <wp:docPr id="7" name="Picture 7"/>
            <wp:cNvGraphicFramePr>
              <a:graphicFrameLocks noChangeAspect="1"/>
            </wp:cNvGraphicFramePr>
            <a:graphic>
              <a:graphicData uri="http://schemas.openxmlformats.org/drawingml/2006/picture">
                <pic:pic>
                  <pic:nvPicPr>
                    <pic:cNvPr id="0" name="02_decision_curve.png"/>
                    <pic:cNvPicPr/>
                  </pic:nvPicPr>
                  <pic:blipFill>
                    <a:blip r:embed="rId15"/>
                    <a:stretch>
                      <a:fillRect/>
                    </a:stretch>
                  </pic:blipFill>
                  <pic:spPr>
                    <a:xfrm>
                      <a:off x="0" y="0"/>
                      <a:ext cx="2808000" cy="1778473"/>
                    </a:xfrm>
                    <a:prstGeom prst="rect"/>
                  </pic:spPr>
                </pic:pic>
              </a:graphicData>
            </a:graphic>
          </wp:inline>
        </w:drawing>
      </w:r>
    </w:p>
    <w:p>
      <w:pPr>
        <w:spacing w:before="40" w:after="120"/>
        <w:ind w:firstLine="0"/>
        <w:jc w:val="center"/>
      </w:pPr>
      <w:r>
        <w:rPr>
          <w:rFonts w:ascii="Times New Roman" w:hAnsi="Times New Roman"/>
          <w:b w:val="0"/>
          <w:i/>
          <w:sz w:val="16"/>
        </w:rPr>
        <w:t>Fig. 7.  Decision Curve Analysis. Model net benefit (0.085 at threshold 0.10) substantially exceeds treat-all (0.026) and treat-none across the clinical range.</w:t>
      </w:r>
    </w:p>
    <w:p>
      <w:pPr>
        <w:spacing w:before="0" w:after="60"/>
        <w:ind w:firstLine="280"/>
        <w:jc w:val="both"/>
      </w:pPr>
      <w:r>
        <w:rPr>
          <w:rFonts w:ascii="Times New Roman" w:hAnsi="Times New Roman"/>
          <w:b w:val="0"/>
          <w:i w:val="0"/>
          <w:sz w:val="20"/>
        </w:rPr>
        <w:t>DCA confirms positive net benefit over both treat-all and treat-none strategies across the full clinically relevant threshold range (0.05-0.50). At threshold 0.10, model net benefit = 0.085 versus treat-all = 0.026, validating practical utility beyond accuracy metrics alone. Counterfactual sensitivity analysis confirms that pneumonia removal produces the largest individual risk reduction (illustrative example: 42.0% -&gt; 8.0%, delta = -34.0 pp), consistent with its dominant SHAP importance. Risk band distribution: LOW &lt;30% (83.3%), MEDIUM 30-50% (10.3%), HIGH 50-70% (6.4%), CRITICAL &gt;=70% (0.05%).</w:t>
      </w:r>
    </w:p>
    <w:p>
      <w:pPr>
        <w:spacing w:before="140" w:after="60"/>
        <w:ind w:firstLine="0"/>
        <w:jc w:val="center"/>
      </w:pPr>
      <w:r>
        <w:rPr>
          <w:rFonts w:ascii="Times New Roman" w:hAnsi="Times New Roman"/>
          <w:b/>
          <w:i w:val="0"/>
          <w:sz w:val="20"/>
        </w:rPr>
        <w:t>V. DISCUSSION</w:t>
      </w:r>
    </w:p>
    <w:p>
      <w:pPr>
        <w:spacing w:before="100" w:after="40"/>
        <w:ind w:firstLine="0"/>
        <w:jc w:val="left"/>
      </w:pPr>
      <w:r>
        <w:rPr>
          <w:rFonts w:ascii="Times New Roman" w:hAnsi="Times New Roman"/>
          <w:b/>
          <w:i/>
          <w:sz w:val="20"/>
        </w:rPr>
        <w:t>A. Why Logistic Regression Ties the Ensembles</w:t>
      </w:r>
    </w:p>
    <w:p>
      <w:pPr>
        <w:spacing w:before="0" w:after="60"/>
        <w:ind w:firstLine="280"/>
        <w:jc w:val="both"/>
      </w:pPr>
      <w:r>
        <w:rPr>
          <w:rFonts w:ascii="Times New Roman" w:hAnsi="Times New Roman"/>
          <w:b w:val="0"/>
          <w:i w:val="0"/>
          <w:sz w:val="20"/>
        </w:rPr>
        <w:t>The finding that no complex model significantly outperforms Logistic Regression (DeLong p &gt; 0.05) requires explanation rather than mere reporting. The mortality signal in this dataset is predominantly linear and additive: pneumonia and age together account for 77.2% of Tree-SHAP importance, with monotonic, non-interacting effects. With nine mostly-binary features and such a concentrated linear signal structure, tree ensembles have no high-order interaction or non-monotonic patterns to exploit -- additional parametric complexity overfits noise rather than captures signal. This independently confirms Bjerre et al. [5] with formal DeLong statistical evidence on a separate 220,218-patient dataset. The clinical implication is significant: on low-dimensional binary clinical features, interpretability costs nothing in discrimination. The simpler, explainable model is strictly preferable for deployment.</w:t>
      </w:r>
    </w:p>
    <w:p>
      <w:pPr>
        <w:spacing w:before="100" w:after="40"/>
        <w:ind w:firstLine="0"/>
        <w:jc w:val="left"/>
      </w:pPr>
      <w:r>
        <w:rPr>
          <w:rFonts w:ascii="Times New Roman" w:hAnsi="Times New Roman"/>
          <w:b/>
          <w:i/>
          <w:sz w:val="20"/>
        </w:rPr>
        <w:t>B. Calibration as the Primary Deployment Criterion</w:t>
      </w:r>
    </w:p>
    <w:p>
      <w:pPr>
        <w:spacing w:before="0" w:after="60"/>
        <w:ind w:firstLine="280"/>
        <w:jc w:val="both"/>
      </w:pPr>
      <w:r>
        <w:rPr>
          <w:rFonts w:ascii="Times New Roman" w:hAnsi="Times New Roman"/>
          <w:b w:val="0"/>
          <w:i w:val="0"/>
          <w:sz w:val="20"/>
        </w:rPr>
        <w:t>For clinical deployment, calibration matters more than AUC: a clinician acts on the predicted probability as a risk estimate, not as an unlabelled ranking score. The pre-calibration ECE of 0.195 illustrates the danger of deploying uncalibrated models -- predicted probabilities diverging from observed mortality by nearly 20 percentage points on average. Post-isotonic ECE = 0.002 (count-weighted) enables direct clinical probability use. Crucially, ECE &lt; 0.015 in all eight subgroups confirms equitable calibration: no demographic group receives systematically miscalibrated risk estimates, meeting a basic requirement for equitable clinical AI deployment.</w:t>
      </w:r>
    </w:p>
    <w:p>
      <w:pPr>
        <w:spacing w:before="100" w:after="40"/>
        <w:ind w:firstLine="0"/>
        <w:jc w:val="left"/>
      </w:pPr>
      <w:r>
        <w:rPr>
          <w:rFonts w:ascii="Times New Roman" w:hAnsi="Times New Roman"/>
          <w:b/>
          <w:i/>
          <w:sz w:val="20"/>
        </w:rPr>
        <w:t>C. Interpreting Subgroup AUC Drops</w:t>
      </w:r>
    </w:p>
    <w:p>
      <w:pPr>
        <w:spacing w:before="0" w:after="60"/>
        <w:ind w:firstLine="280"/>
        <w:jc w:val="both"/>
      </w:pPr>
      <w:r>
        <w:rPr>
          <w:rFonts w:ascii="Times New Roman" w:hAnsi="Times New Roman"/>
          <w:b w:val="0"/>
          <w:i w:val="0"/>
          <w:sz w:val="20"/>
        </w:rPr>
        <w:t>The lower AUC observed in age 65+ (0.733) and diabetic (0.776) subgroups reflects restriction of range -- a well-known statistical phenomenon whereby AUC naturally decreases within homogeneous high-risk subgroups due to compressed rank variation. This is a statistical artefact of subgroup composition, not model failure. Preserved calibration (ECE 0.015 for age 65+, 0.012 for diabetes) confirms that risk estimates remain accurate within these groups even as ranking becomes harder. This distinction between discrimination fairness and calibration fairness is frequently conflated in the clinical AI fairness literature.</w:t>
      </w:r>
    </w:p>
    <w:p>
      <w:pPr>
        <w:spacing w:before="100" w:after="40"/>
        <w:ind w:firstLine="0"/>
        <w:jc w:val="left"/>
      </w:pPr>
      <w:r>
        <w:rPr>
          <w:rFonts w:ascii="Times New Roman" w:hAnsi="Times New Roman"/>
          <w:b/>
          <w:i/>
          <w:sz w:val="20"/>
        </w:rPr>
        <w:t>D. Responsible AI and Governance Framing</w:t>
      </w:r>
    </w:p>
    <w:p>
      <w:pPr>
        <w:spacing w:before="0" w:after="60"/>
        <w:ind w:firstLine="280"/>
        <w:jc w:val="both"/>
      </w:pPr>
      <w:r>
        <w:rPr>
          <w:rFonts w:ascii="Times New Roman" w:hAnsi="Times New Roman"/>
          <w:b w:val="0"/>
          <w:i w:val="0"/>
          <w:sz w:val="20"/>
        </w:rPr>
        <w:t>The pipeline implements responsible-AI best practices at three levels. At the model level: leakage-free design enforced by split-then-fit pipelines, isotonic calibration with empirical verification, threshold optimisation with two clinical strategies, and temporal out-of-time validation. At the fairness level: eight pre-specified subgroup audit with two fairness lenses (AUC and ECE), transparent reporting of null and flagged results, and a concrete mitigation strategy reducing TPR disparity to 0.045. At the documentation level: Model Card (Mitchell et al. 2019), Datasheet for Datasets (Gebru et al. 2021), and a four-location Streamlit disclaimer that frames all outputs as mortality-proxy estimates not validated for individual clinical decisions.</w:t>
      </w:r>
    </w:p>
    <w:p>
      <w:pPr>
        <w:spacing w:before="100" w:after="40"/>
        <w:ind w:firstLine="0"/>
        <w:jc w:val="left"/>
      </w:pPr>
      <w:r>
        <w:rPr>
          <w:rFonts w:ascii="Times New Roman" w:hAnsi="Times New Roman"/>
          <w:b/>
          <w:i/>
          <w:sz w:val="20"/>
        </w:rPr>
        <w:t>E. Limitations and Threats to Validity</w:t>
      </w:r>
    </w:p>
    <w:p>
      <w:pPr>
        <w:spacing w:before="0" w:after="60"/>
        <w:ind w:firstLine="280"/>
        <w:jc w:val="both"/>
      </w:pPr>
      <w:r>
        <w:rPr>
          <w:rFonts w:ascii="Times New Roman" w:hAnsi="Times New Roman"/>
          <w:b w:val="0"/>
          <w:i w:val="0"/>
          <w:sz w:val="20"/>
        </w:rPr>
        <w:t>Four limitations bound the claims of this work. (i) Construct validity: in-hospital mortality is used as a PASC proxy; it under-estimates Long COVID burden in patients who survive with significant sequelae, potentially missing a large proportion of the target population. (ii) External validity: single-country, single-period data (Mexico, March-November 2020) limits generalisability to other healthcare systems, demographic profiles, and SARS-CoV-2 variants. No vaccination data are available as the dataset predates widespread rollout. (iii) Feature scope: nine admission-time features only -- laboratory values, vital signs, comorbidity severity grading, and variant information are absent. (iv) Internal validation only: temporal validation within the same national dataset cannot substitute for multi-site or multi-country external validation.</w:t>
      </w:r>
    </w:p>
    <w:p>
      <w:pPr>
        <w:spacing w:before="140" w:after="60"/>
        <w:ind w:firstLine="0"/>
        <w:jc w:val="center"/>
      </w:pPr>
      <w:r>
        <w:rPr>
          <w:rFonts w:ascii="Times New Roman" w:hAnsi="Times New Roman"/>
          <w:b/>
          <w:i w:val="0"/>
          <w:sz w:val="20"/>
        </w:rPr>
        <w:t>VI. CONCLUSION</w:t>
      </w:r>
    </w:p>
    <w:p>
      <w:pPr>
        <w:spacing w:before="0" w:after="60"/>
        <w:ind w:firstLine="280"/>
        <w:jc w:val="both"/>
      </w:pPr>
      <w:r>
        <w:rPr>
          <w:rFonts w:ascii="Times New Roman" w:hAnsi="Times New Roman"/>
          <w:b w:val="0"/>
          <w:i w:val="0"/>
          <w:sz w:val="20"/>
        </w:rPr>
        <w:t>This paper presented a rigorous 13-phase end-to-end responsible-ML pipeline for COVID-19 in-hospital mortality risk stratification as a proxy for Long COVID severe outcome risk. The central empirical finding answers RQ2 with formal statistical evidence: a calibrated, interpretable Logistic Regression is non-inferior to Random Forest, Gradient Boosting, XGBoost, and Stacking by DeLong's test (p &gt; 0.05) on 44,044 held-out patients, achieving AUC 0.888 (95% CI 0.884-0.892). The predominantly linear, additive signal structure -- pneumonia and age accounting for 77.2% of Tree-SHAP importance -- leaves no advantage for complex models to exploit.</w:t>
      </w:r>
    </w:p>
    <w:p>
      <w:pPr>
        <w:spacing w:before="0" w:after="60"/>
        <w:ind w:firstLine="280"/>
        <w:jc w:val="both"/>
      </w:pPr>
      <w:r>
        <w:rPr>
          <w:rFonts w:ascii="Times New Roman" w:hAnsi="Times New Roman"/>
          <w:b w:val="0"/>
          <w:i w:val="0"/>
          <w:sz w:val="20"/>
        </w:rPr>
        <w:t>Three contributions were made. First, an empirical finding confirmed with formal DeLong evidence on 220,218 patients: interpretable Logistic Regression matches black-box ensembles on low-dimensional binary clinical features, independently replicating Bjerre et al. [5]. Second, a methodological contribution: the pipeline closes all four identified gaps from the Long COVID prediction literature in a single reproducible workflow -- calibration (Brier 0.135 to 0.078, ECE 0.195 to 0.002), fairness (TPR disparity 0.603 to 0.045, ECE &lt; 0.015 in all eight subgroups), leakage control (split-then-fit, nine admission-time features), and multi-layer explainability (SHAP, odds ratios, nomogram, web app). Third, a responsible-AI contribution: Model Card, Datasheet, and a Streamlit clinical prototype with governance disclaimers and group-specific threshold mitigation built in.</w:t>
      </w:r>
    </w:p>
    <w:p>
      <w:pPr>
        <w:spacing w:before="0" w:after="60"/>
        <w:ind w:firstLine="280"/>
        <w:jc w:val="both"/>
      </w:pPr>
      <w:r>
        <w:rPr>
          <w:rFonts w:ascii="Times New Roman" w:hAnsi="Times New Roman"/>
          <w:b w:val="0"/>
          <w:i w:val="0"/>
          <w:sz w:val="20"/>
        </w:rPr>
        <w:t>Future work should apply the pipeline to PASC-labelled EHR cohorts (RECOVER [8], UK Biobank), incorporate longitudinal biomarkers, vaccination status, and variant data, pursue multi-site external validation, and evaluate the Streamlit prototype in a prospective clinical decision-support trial measuring patient outcomes rather than model metrics alone.</w:t>
      </w:r>
    </w:p>
    <w:p>
      <w:pPr>
        <w:spacing w:before="140" w:after="60"/>
        <w:ind w:firstLine="0"/>
        <w:jc w:val="center"/>
      </w:pPr>
      <w:r>
        <w:rPr>
          <w:rFonts w:ascii="Times New Roman" w:hAnsi="Times New Roman"/>
          <w:b/>
          <w:i w:val="0"/>
          <w:sz w:val="20"/>
        </w:rPr>
        <w:t>ACKNOWLEDGMENTS</w:t>
      </w:r>
    </w:p>
    <w:p>
      <w:pPr>
        <w:spacing w:before="0" w:after="60"/>
        <w:ind w:firstLine="280"/>
        <w:jc w:val="both"/>
      </w:pPr>
      <w:r>
        <w:rPr>
          <w:rFonts w:ascii="Times New Roman" w:hAnsi="Times New Roman"/>
          <w:b w:val="0"/>
          <w:i w:val="0"/>
          <w:sz w:val="20"/>
        </w:rPr>
        <w:t>The author thanks Dr Martin Crane and Dr Tai Tan Mai (School of Computing, Dublin City University) for supervision, guidance, and critical feedback throughout this research. The Mexican Government COVID-19 surveillance dataset was sourced from Kaggle [14] and is gratefully acknowledged. This work was conducted as part of the MSc Computing (Data Analytics) programme at Dublin City University, Ireland.</w:t>
      </w:r>
    </w:p>
    <w:p>
      <w:pPr>
        <w:spacing w:before="140" w:after="60"/>
        <w:ind w:firstLine="0"/>
        <w:jc w:val="center"/>
      </w:pPr>
      <w:r>
        <w:rPr>
          <w:rFonts w:ascii="Times New Roman" w:hAnsi="Times New Roman"/>
          <w:b/>
          <w:i w:val="0"/>
          <w:sz w:val="20"/>
        </w:rPr>
        <w:t>GENERATIVE AI DISCLOSURE</w:t>
      </w:r>
    </w:p>
    <w:p>
      <w:pPr>
        <w:spacing w:before="0" w:after="60"/>
        <w:ind w:firstLine="280"/>
        <w:jc w:val="both"/>
      </w:pPr>
      <w:r>
        <w:rPr>
          <w:rFonts w:ascii="Times New Roman" w:hAnsi="Times New Roman"/>
          <w:b w:val="0"/>
          <w:i w:val="0"/>
          <w:sz w:val="20"/>
        </w:rPr>
        <w:t>Generative AI tools (Claude, Anthropic) were used for: (i) code review and debugging of the analysis pipeline; (ii) drafting and editing report sections based on verified numerical results from the author's own pipeline; (iii) IEEE formatting assistance. All quantitative results, model training, statistical tests, and data analyses were performed exclusively by the author's Python code. All AI-assisted text was reviewed, verified against actual pipeline outputs, and edited by the author. No AI tool generated any experimental result or analytical decision.</w:t>
      </w:r>
    </w:p>
    <w:p>
      <w:pPr>
        <w:spacing w:before="140" w:after="60"/>
        <w:ind w:firstLine="0"/>
        <w:jc w:val="center"/>
      </w:pPr>
      <w:r>
        <w:rPr>
          <w:rFonts w:ascii="Times New Roman" w:hAnsi="Times New Roman"/>
          <w:b/>
          <w:i w:val="0"/>
          <w:sz w:val="20"/>
        </w:rPr>
        <w:t>REFERENCES</w:t>
      </w:r>
    </w:p>
    <w:p>
      <w:pPr>
        <w:spacing w:before="0" w:after="20"/>
        <w:ind w:left="360" w:hanging="360"/>
      </w:pPr>
      <w:r>
        <w:rPr>
          <w:rFonts w:ascii="Times New Roman" w:hAnsi="Times New Roman"/>
          <w:sz w:val="16"/>
        </w:rPr>
        <w:t>[1]  World Health Organisation, "Post COVID-19 condition (long COVID)," WHO Fact Sheet, 2025. [Online]. Available: https://www.who.int/news-room/fact-sheets/detail/post-covid-19-condition</w:t>
      </w:r>
    </w:p>
    <w:p>
      <w:pPr>
        <w:spacing w:before="0" w:after="20"/>
        <w:ind w:left="360" w:hanging="360"/>
      </w:pPr>
      <w:r>
        <w:rPr>
          <w:rFonts w:ascii="Times New Roman" w:hAnsi="Times New Roman"/>
          <w:sz w:val="16"/>
        </w:rPr>
        <w:t>[2]  D. A. Gbewonyo et al., "Long COVID in Adults: United States, 2022," NCHS Data Brief, no. 480, CDC, 2023. doi: 10.15620/cdc:132417.</w:t>
      </w:r>
    </w:p>
    <w:p>
      <w:pPr>
        <w:spacing w:before="0" w:after="20"/>
        <w:ind w:left="360" w:hanging="360"/>
      </w:pPr>
      <w:r>
        <w:rPr>
          <w:rFonts w:ascii="Times New Roman" w:hAnsi="Times New Roman"/>
          <w:sz w:val="16"/>
        </w:rPr>
        <w:t>[3]  B. Antony et al., "Predictive models of long COVID," EBioMedicine, vol. 96, p. 104777, 2023. doi: 10.1016/j.ebiom.2023.104777.</w:t>
      </w:r>
    </w:p>
    <w:p>
      <w:pPr>
        <w:spacing w:before="0" w:after="20"/>
        <w:ind w:left="360" w:hanging="360"/>
      </w:pPr>
      <w:r>
        <w:rPr>
          <w:rFonts w:ascii="Times New Roman" w:hAnsi="Times New Roman"/>
          <w:sz w:val="16"/>
        </w:rPr>
        <w:t>[4]  K. Jeffrey et al., "Deriving and validating a risk prediction model for long COVID: a population-based, retrospective cohort study in Scotland," J. Royal Society of Medicine, vol. 117, no. 12, pp. 402-414, 2024. doi: 10.1177/01410768241297833.</w:t>
      </w:r>
    </w:p>
    <w:p>
      <w:pPr>
        <w:spacing w:before="0" w:after="20"/>
        <w:ind w:left="360" w:hanging="360"/>
      </w:pPr>
      <w:r>
        <w:rPr>
          <w:rFonts w:ascii="Times New Roman" w:hAnsi="Times New Roman"/>
          <w:sz w:val="16"/>
        </w:rPr>
        <w:t>[5]  L. M. Bjerre et al., "Comparing AI/ML approaches and classical regression for predictive modeling using large population health databases: Applications to COVID-19 case prediction," Global Epidemiology, vol. 8, p. 100168, 2024. doi: 10.1016/j.gloepi.2024.100168.</w:t>
      </w:r>
    </w:p>
    <w:p>
      <w:pPr>
        <w:spacing w:before="0" w:after="20"/>
        <w:ind w:left="360" w:hanging="360"/>
      </w:pPr>
      <w:r>
        <w:rPr>
          <w:rFonts w:ascii="Times New Roman" w:hAnsi="Times New Roman"/>
          <w:sz w:val="16"/>
        </w:rPr>
        <w:t>[6]  A. S. Menezes et al., "Acute COVID-19 Syndrome Predicts Severe Long COVID-19: An Observational Study," Cureus, 2022. doi: 10.7759/cureus.29826.</w:t>
      </w:r>
    </w:p>
    <w:p>
      <w:pPr>
        <w:spacing w:before="0" w:after="20"/>
        <w:ind w:left="360" w:hanging="360"/>
      </w:pPr>
      <w:r>
        <w:rPr>
          <w:rFonts w:ascii="Times New Roman" w:hAnsi="Times New Roman"/>
          <w:sz w:val="16"/>
        </w:rPr>
        <w:t>[7]  Z. B. Dozier et al., "Predicting Long COVID in the National COVID Cohort Collaborative Using Super Learner," JMIR Public Health and Surveillance, vol. 10, p. e53322, 2024. doi: 10.2196/53322.</w:t>
      </w:r>
    </w:p>
    <w:p>
      <w:pPr>
        <w:spacing w:before="0" w:after="20"/>
        <w:ind w:left="360" w:hanging="360"/>
      </w:pPr>
      <w:r>
        <w:rPr>
          <w:rFonts w:ascii="Times New Roman" w:hAnsi="Times New Roman"/>
          <w:sz w:val="16"/>
        </w:rPr>
        <w:t>[8]  C. Zang et al., "Identification of risk factors of Long COVID and predictive modeling in the RECOVER EHR cohorts," Communications Medicine, vol. 4, no. 1, 2024. doi: 10.1038/s43856-024-00549-0.</w:t>
      </w:r>
    </w:p>
    <w:p>
      <w:pPr>
        <w:spacing w:before="0" w:after="20"/>
        <w:ind w:left="360" w:hanging="360"/>
      </w:pPr>
      <w:r>
        <w:rPr>
          <w:rFonts w:ascii="Times New Roman" w:hAnsi="Times New Roman"/>
          <w:sz w:val="16"/>
        </w:rPr>
        <w:t>[9]  N. Shakhovska, V. Yakovyna, and V. Chopyak, "A new hybrid ensemble machine-learning model for severity risk assessment and post-COVID prediction system," Mathematical Biosciences and Engineering, vol. 19, no. 6, pp. 6102-6123, 2022. doi: 10.3934/mbe.2022285.</w:t>
      </w:r>
    </w:p>
    <w:p>
      <w:pPr>
        <w:spacing w:before="0" w:after="20"/>
        <w:ind w:left="360" w:hanging="360"/>
      </w:pPr>
      <w:r>
        <w:rPr>
          <w:rFonts w:ascii="Times New Roman" w:hAnsi="Times New Roman"/>
          <w:sz w:val="16"/>
        </w:rPr>
        <w:t>[10]  K. Swinnerton et al., "Leveraging near-real-time patient and population data to incorporate fluctuating risk of severe COVID-19," eClinicalMedicine, vol. 81, p. 103114, 2025. doi: 10.1016/j.eclinm.2025.103114.</w:t>
      </w:r>
    </w:p>
    <w:p>
      <w:pPr>
        <w:spacing w:before="0" w:after="20"/>
        <w:ind w:left="360" w:hanging="360"/>
      </w:pPr>
      <w:r>
        <w:rPr>
          <w:rFonts w:ascii="Times New Roman" w:hAnsi="Times New Roman"/>
          <w:sz w:val="16"/>
        </w:rPr>
        <w:t>[11]  H. M. Teeuw et al., "Incidence and individual risk prediction of post-COVID-19 cardiovascular disease in the general population," ESC Open Heart, vol. 3, 2023. doi: 10.1093/ehjopen/oead101.</w:t>
      </w:r>
    </w:p>
    <w:p>
      <w:pPr>
        <w:spacing w:before="0" w:after="20"/>
        <w:ind w:left="360" w:hanging="360"/>
      </w:pPr>
      <w:r>
        <w:rPr>
          <w:rFonts w:ascii="Times New Roman" w:hAnsi="Times New Roman"/>
          <w:sz w:val="16"/>
        </w:rPr>
        <w:t>[12]  J. G. Guzman-Esquivel et al., "Clinical Characteristics in the Acute Phase of COVID-19 That Predict Long COVID," Healthcare, vol. 11, no. 2, pp. 197-197, 2023. doi: 10.3390/healthcare11020197.</w:t>
      </w:r>
    </w:p>
    <w:p>
      <w:pPr>
        <w:spacing w:before="0" w:after="20"/>
        <w:ind w:left="360" w:hanging="360"/>
      </w:pPr>
      <w:r>
        <w:rPr>
          <w:rFonts w:ascii="Times New Roman" w:hAnsi="Times New Roman"/>
          <w:sz w:val="16"/>
        </w:rPr>
        <w:t>[13]  Z. Noroozi, A. Orooji, and L. Erfannia, "Analyzing the impact of feature selection methods on machine learning algorithms for heart disease prediction," Scientific Reports, vol. 13, 2023. doi: 10.1038/s41598-023-49962-w.</w:t>
      </w:r>
    </w:p>
    <w:p>
      <w:pPr>
        <w:spacing w:before="0" w:after="20"/>
        <w:ind w:left="360" w:hanging="360"/>
      </w:pPr>
      <w:r>
        <w:rPr>
          <w:rFonts w:ascii="Times New Roman" w:hAnsi="Times New Roman"/>
          <w:sz w:val="16"/>
        </w:rPr>
        <w:t>[14]  Kaggle, "COVID-19 Mexico Patient Health Dataset," 2020. [Online]. Available: https://www.kaggle.com/datasets/riteshahlawat/covid19-mexico-patient-health-dataset</w:t>
      </w:r>
    </w:p>
    <w:p>
      <w:pPr>
        <w:spacing w:before="0" w:after="20"/>
        <w:ind w:left="360" w:hanging="360"/>
      </w:pPr>
      <w:r>
        <w:rPr>
          <w:rFonts w:ascii="Times New Roman" w:hAnsi="Times New Roman"/>
          <w:sz w:val="16"/>
        </w:rPr>
        <w:t>[15]  E. R. DeLong, D. M. DeLong, and D. L. Clarke-Pearson, "Comparing the areas under two or more correlated receiver operating characteristic curves: a nonparametric approach," Biometrics, vol. 44, no. 3, pp. 837-845, 1988.</w:t>
      </w:r>
    </w:p>
    <w:p>
      <w:pPr>
        <w:spacing w:before="0" w:after="20"/>
        <w:ind w:left="360" w:hanging="360"/>
      </w:pPr>
      <w:r>
        <w:rPr>
          <w:rFonts w:ascii="Times New Roman" w:hAnsi="Times New Roman"/>
          <w:sz w:val="16"/>
        </w:rPr>
        <w:t>[16]  S. Luo et al., "Prevalence and duration of common symptoms in people with long COVID: a systematic review and meta-analysis," Journal of Global Health, vol. 15, 2025. doi: 10.7189/jogh.15.04282.</w:t>
      </w:r>
    </w:p>
    <w:p>
      <w:pPr>
        <w:spacing w:before="0" w:after="20"/>
        <w:ind w:left="360" w:hanging="360"/>
      </w:pPr>
      <w:r>
        <w:rPr>
          <w:rFonts w:ascii="Times New Roman" w:hAnsi="Times New Roman"/>
          <w:sz w:val="16"/>
        </w:rPr>
        <w:t>[17]  S. Bozkurt and K. Keskin, "A gradient boosting-based mortality prediction model for COVID-19 patients," Neural Computing and Applications, vol. 35, no. 33, pp. 23997-24013, 2023. doi: 10.1007/s00521-023-08997-w.</w:t>
      </w:r>
    </w:p>
    <w:p>
      <w:pPr>
        <w:spacing w:before="0" w:after="20"/>
        <w:ind w:left="360" w:hanging="360"/>
      </w:pPr>
      <w:r>
        <w:rPr>
          <w:rFonts w:ascii="Times New Roman" w:hAnsi="Times New Roman"/>
          <w:sz w:val="16"/>
        </w:rPr>
        <w:t>[18]  E. Cordelli et al., "Predicting pulmonary sequelae after COVID-19 using machine learning: model performance and clinical interpretability," 2024.</w:t>
      </w:r>
    </w:p>
    <w:p>
      <w:pPr>
        <w:spacing w:before="0" w:after="20"/>
        <w:ind w:left="360" w:hanging="360"/>
      </w:pPr>
      <w:r>
        <w:rPr>
          <w:rFonts w:ascii="Times New Roman" w:hAnsi="Times New Roman"/>
          <w:sz w:val="16"/>
        </w:rPr>
        <w:t>[19]  N. Kourmpanis et al., "Predicting mortality outcomes in individual COVID-19 patients using machine learning algorithms," Artificial Intelligence in Health, vol. 1, no. 3, p. 31, 2024. doi: 10.36922/aih.2591.</w:t>
      </w:r>
    </w:p>
    <w:p>
      <w:pPr>
        <w:spacing w:before="0" w:after="20"/>
        <w:ind w:left="360" w:hanging="360"/>
      </w:pPr>
      <w:r>
        <w:rPr>
          <w:rFonts w:ascii="Times New Roman" w:hAnsi="Times New Roman"/>
          <w:sz w:val="16"/>
        </w:rPr>
        <w:t>[20]  X. Sun et al., "Development and validation of a prediction model for mortality in critically ill COVID-19 patients," Frontiers in Cellular and Infection Microbiology, vol. 14, pp. 1309529-1309529, 2024. doi: 10.3389/fcimb.2024.1309529.</w:t>
      </w:r>
    </w:p>
    <w:p>
      <w:pPr>
        <w:spacing w:before="0" w:after="20"/>
        <w:ind w:left="360" w:hanging="360"/>
      </w:pPr>
      <w:r>
        <w:rPr>
          <w:rFonts w:ascii="Times New Roman" w:hAnsi="Times New Roman"/>
          <w:sz w:val="16"/>
        </w:rPr>
        <w:t>[21]  C. Y. Tang et al., "Prediction models for COVID-19 disease outcomes," Emerging Microbes and Infections, 2024. doi: 10.1080/22221751.2024.2361791.</w:t>
      </w:r>
    </w:p>
    <w:sectPr w:rsidR="00FC693F" w:rsidRPr="0006063C" w:rsidSect="00034616">
      <w:cols w:num="2" w:space="284" w:equalWidth="1"/>
      <w:type w:val="continuous"/>
      <w:pgSz w:w="11906" w:h="16838"/>
      <w:pgMar w:top="1077" w:right="1009" w:bottom="1440" w:left="1009"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