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after="0"/>
        <w:jc w:val="center"/>
        <w:rPr>
          <w:rFonts w:ascii="Maiandra GD" w:hAnsi="Maiandra GD"/>
          <w:b/>
          <w:sz w:val="21"/>
          <w:szCs w:val="21"/>
        </w:rPr>
      </w:pPr>
      <w:r>
        <w:rPr>
          <w:rFonts w:ascii="Maiandra GD" w:hAnsi="Maiandra GD"/>
          <w:b/>
          <w:sz w:val="21"/>
          <w:szCs w:val="21"/>
        </w:rPr>
        <w:t xml:space="preserve">BUGEMA UNIVERSITY </w:t>
      </w:r>
    </w:p>
    <w:p>
      <w:pPr>
        <w:pStyle w:val="style0"/>
        <w:spacing w:after="0"/>
        <w:jc w:val="center"/>
        <w:rPr>
          <w:rFonts w:ascii="Maiandra GD" w:hAnsi="Maiandra GD"/>
          <w:b/>
          <w:sz w:val="21"/>
          <w:szCs w:val="21"/>
        </w:rPr>
      </w:pPr>
      <w:r>
        <w:rPr>
          <w:rFonts w:ascii="Maiandra GD" w:hAnsi="Maiandra GD"/>
          <w:b/>
          <w:noProof/>
          <w:sz w:val="21"/>
          <w:szCs w:val="21"/>
          <w:lang w:val="en-GB"/>
        </w:rPr>
        <w:drawing>
          <wp:inline distL="0" distT="0" distB="0" distR="0">
            <wp:extent cx="1696085" cy="163957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96085" cy="163957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after="0"/>
        <w:jc w:val="center"/>
        <w:rPr>
          <w:rFonts w:ascii="Maiandra GD" w:hAnsi="Maiandra GD"/>
          <w:b/>
          <w:sz w:val="21"/>
          <w:szCs w:val="21"/>
        </w:rPr>
      </w:pPr>
    </w:p>
    <w:p>
      <w:pPr>
        <w:pStyle w:val="style0"/>
        <w:spacing w:after="0"/>
        <w:jc w:val="center"/>
        <w:rPr>
          <w:rFonts w:ascii="Maiandra GD" w:hAnsi="Maiandra GD"/>
          <w:b/>
          <w:sz w:val="21"/>
          <w:szCs w:val="21"/>
        </w:rPr>
      </w:pPr>
      <w:r>
        <w:rPr>
          <w:rFonts w:ascii="Maiandra GD" w:hAnsi="Maiandra GD"/>
          <w:b/>
          <w:sz w:val="21"/>
          <w:szCs w:val="21"/>
        </w:rPr>
        <w:t>(</w:t>
      </w:r>
      <w:r>
        <w:rPr>
          <w:rFonts w:hAnsi="Maiandra GD"/>
          <w:b/>
          <w:sz w:val="21"/>
          <w:szCs w:val="21"/>
        </w:rPr>
        <w:t>Bugema University</w:t>
      </w:r>
      <w:r>
        <w:rPr>
          <w:rFonts w:ascii="Maiandra GD" w:hAnsi="Maiandra GD"/>
          <w:b/>
          <w:sz w:val="21"/>
          <w:szCs w:val="21"/>
        </w:rPr>
        <w:t>)</w:t>
      </w:r>
    </w:p>
    <w:p>
      <w:pPr>
        <w:pStyle w:val="style0"/>
        <w:spacing w:after="0"/>
        <w:jc w:val="center"/>
        <w:rPr>
          <w:rFonts w:ascii="Maiandra GD" w:hAnsi="Maiandra GD"/>
          <w:b/>
          <w:sz w:val="21"/>
          <w:szCs w:val="21"/>
        </w:rPr>
      </w:pPr>
    </w:p>
    <w:p>
      <w:pPr>
        <w:pStyle w:val="style0"/>
        <w:spacing w:after="0"/>
        <w:jc w:val="center"/>
        <w:rPr>
          <w:rFonts w:ascii="Maiandra GD" w:hAnsi="Maiandra GD"/>
          <w:b/>
          <w:sz w:val="21"/>
          <w:szCs w:val="21"/>
        </w:rPr>
      </w:pPr>
      <w:r>
        <w:rPr>
          <w:rFonts w:ascii="Maiandra GD" w:hAnsi="Maiandra GD"/>
          <w:b/>
          <w:sz w:val="21"/>
          <w:szCs w:val="21"/>
        </w:rPr>
        <w:t xml:space="preserve">SEMESTER 1: ACADEMIC YEAR </w:t>
      </w:r>
    </w:p>
    <w:p>
      <w:pPr>
        <w:pStyle w:val="style0"/>
        <w:jc w:val="left"/>
        <w:rPr>
          <w:rFonts w:ascii="Maiandra GD" w:hAnsi="Maiandra GD"/>
          <w:sz w:val="21"/>
          <w:szCs w:val="21"/>
        </w:rPr>
      </w:pPr>
    </w:p>
    <w:p>
      <w:pPr>
        <w:pStyle w:val="style0"/>
        <w:jc w:val="center"/>
        <w:rPr>
          <w:rFonts w:ascii="Maiandra GD" w:hAnsi="Maiandra GD"/>
          <w:sz w:val="21"/>
          <w:szCs w:val="21"/>
        </w:rPr>
      </w:pPr>
      <w:r>
        <w:rPr>
          <w:rFonts w:ascii="Maiandra GD" w:hAnsi="Maiandra GD"/>
          <w:sz w:val="21"/>
          <w:szCs w:val="21"/>
        </w:rPr>
        <w:t>An Assignment Submitted In Partial Fulfillment for the Requirements of the Course:</w:t>
      </w:r>
      <w:r>
        <w:rPr>
          <w:rFonts w:hAnsi="Maiandra GD"/>
          <w:sz w:val="21"/>
          <w:szCs w:val="21"/>
          <w:lang w:val="en-US"/>
        </w:rPr>
        <w:t xml:space="preserve"> GECR 1101 Christian Beliefs </w:t>
      </w:r>
    </w:p>
    <w:p>
      <w:pPr>
        <w:pStyle w:val="style0"/>
        <w:jc w:val="center"/>
        <w:rPr>
          <w:rFonts w:ascii="Maiandra GD" w:hAnsi="Maiandra GD"/>
          <w:sz w:val="21"/>
          <w:szCs w:val="21"/>
        </w:rPr>
      </w:pPr>
      <w:r>
        <w:rPr>
          <w:rFonts w:ascii="Maiandra GD" w:hAnsi="Maiandra GD"/>
          <w:sz w:val="21"/>
          <w:szCs w:val="21"/>
        </w:rPr>
        <w:t xml:space="preserve"> </w:t>
      </w:r>
    </w:p>
    <w:p>
      <w:pPr>
        <w:pStyle w:val="style0"/>
        <w:jc w:val="center"/>
        <w:rPr>
          <w:b/>
          <w:bCs/>
          <w:sz w:val="32"/>
          <w:szCs w:val="32"/>
          <w:lang w:val="en-US"/>
        </w:rPr>
      </w:pP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A. Entrepreneurship Training and Employment Skills</w:t>
      </w:r>
    </w:p>
    <w:p>
      <w:pPr>
        <w:pStyle w:val="style0"/>
        <w:jc w:val="left"/>
        <w:rPr>
          <w:sz w:val="32"/>
          <w:szCs w:val="32"/>
          <w:lang w:val="en-US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 Key components of an effective entrepreneurship training program for resettled individuals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 effective entrepreneurship training program for resettled refugees and trafficking survivors should combine **skills development, mentorship, access to capital, and cultural orientation**. The following components are essential: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 **Foundational Business Education:**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Refugees often need basic knowledge in financial literacy, business planning, marketing, budgeting, and bookkeeping. This ensures they understand core business principles regardless of their educational background.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 **Mentorship and Coaching:**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Pairing participants with local entrepreneurs or business mentors helps them navigate local markets, understand regulations, and adapt culturally. Mentorship also builds confidence and networks, which are crucial for long-term success.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3. **Access to Microfinance and Credit:**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Many refugees lack formal credit histories. Programs should provide microloans, grants, or linkages with ethical financial institutions that offer inclusive credit options for startups.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4. **Market Linkages and Networking Opportunities:**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Facilitating access to suppliers, customers, and local business associations helps entrepreneurs integrate into host economies. Business fairs, incubator programs, and online marketplaces can support this process.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5. **Cultural and Legal Orientation:**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Refugees must understand the host country’s business regulations, tax systems, and cultural norms. This reduces legal risks and fosters smoother integration into local business environments.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6. **Language and Communication Support:**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Business success depends on clear communication. Programs should include modules in business English (or the host country’s language), negotiation, and customer service skills.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7. **Psychosocial Support and Empowerment:**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Many participants are trauma survivors. Incorporating psychosocial support helps them rebuild confidence, develop resilience, and engage more effectively in entrepreneurial activities.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**Example:**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Organizations like the *International Rescue Committee (IRC)* and *UNHCR’s MADE51* initiative combine business training, mentorship, and access to markets for refugee artisans, helping them become financially independent.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### **2. How educational programs can be tailored to meet the specific needs of refugees and trafficking victims**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Educational programs for refugees and trafficking survivors must be **trauma-informed, flexible, and inclusive** to address their distinct learning barriers and life circumstances.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 **Trauma-Informed Pedagogy:**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Many survivors have experienced severe trauma. Instructors should be trained to recognize signs of distress and use supportive teaching methods that avoid retraumatization and promote emotional safety.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 **Flexible Learning Schedules:**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Refugees often balance multiple responsibilities (e.g., resettlement processes, family care, or language classes). Programs offering part-time, modular, or online learning formats are more accessible.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3. **Language and Literacy Support:**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Tailored language instruction and translation services ensure comprehension. Bilingual materials or interpreters can help bridge gaps for learners at different literacy levels.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4. **Recognition of Prior Learning (RPL):**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Many refugees have informal work experience or qualifications that may not be recognized in the host country. Programs should assess and validate prior skills to avoid redundancy and accelerate reintegration.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5. **Cultural Sensitivity:**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Teaching materials and examples should respect cultural diversity and avoid bias. Inclusion of culturally relevant content increases comfort and engagement.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6. **Integration with Employment Pathways:**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Linking educational programs with job placement services or apprenticeships ensures that learning translates into real-world opportunities.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7. **Supportive Services:**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Access to childcare, transportation subsidies, mental health counseling, and legal aid can help overcome practical barriers to participation.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**Example:**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*RefuSHE program* in Kenya offers tailored education and vocational training for young female trafficking survivors, combining trauma counseling, literacy classes, and business skills development.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---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## **B. Career Development and Vocational Training**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### **1. Effective methods for career development and vocational training for resettled integrated persons**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Career development and vocational training for resettled individuals should focus on **employability, adaptability, and long-term integration**. Effective methods include: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 **Individual Career Assessment and Planning:**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Career counselors can assess prior experience, interests, and transferable skills to create personalized employment plans suited to each individual’s goals.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 **Work-Based Learning and Apprenticeships:**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On-the-job training allows participants to gain practical skills while earning income. Partnerships with local industries ensure alignment with market needs.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3. **Mentorship and Job Coaching:**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Continuous support from mentors or job coaches helps participants adapt to workplace culture, improve performance, and develop long-term career goals.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4. **Industry-Aligned Curriculum:**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Vocational programs should be designed in consultation with employers to ensure that training matches current labor market demands (e.g., construction, healthcare, IT, or hospitality).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5. **Soft Skills and Workplace Readiness:**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Training should include communication, teamwork, time management, and intercultural awareness—skills critical for successful workplace integration.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6. **Certification and Accreditation:**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Offering recognized certificates increases employability and provides credibility with employers, especially when participants’ previous qualifications are not accepted locally.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7. **Ongoing Monitoring and Evaluation:**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Regular feedback from participants and employers helps refine programs and ensure that outcomes align with employment opportunities.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**Example:**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*ILO’s Skills for Employment Programme* provides vocational training for displaced persons aligned with local labor markets, resulting in higher job placement rates.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---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### **2. How vocational training programs can be made accessible to individuals with limited prior education**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make vocational programs inclusive for participants with minimal formal education, programs must be **simplified, supportive, and competency-based**: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 **Simplified Curriculum Design:**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Use visual aids, hands-on training, and minimal text to accommodate low-literacy learners. Practical demonstrations are often more effective than theory-heavy lessons.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 **Competency-Based Learning:**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Focus on practical skills and observable outcomes rather than academic performance or written exams.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3. **Bridge and Foundation Courses:**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Provide preparatory classes in basic literacy, numeracy, and language to help participants progress to more advanced vocational modules.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4. **Peer Learning and Group Support:**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Group projects and peer mentoring promote collaboration and confidence, especially among learners who feel intimidated by formal education settings.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5. **Use of Local Languages:**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Conducting training in familiar languages enhances comprehension and reduces barriers to participation.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6. **Flexible Entry Requirements:**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Removing formal education prerequisites ensures that individuals with nontraditional backgrounds can participate.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7. **Accessible Learning Environments:**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Training centers should be physically and financially accessible—offering transportation stipends, childcare, or mobile training units for remote areas.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8. **Partnerships with Community Organizations:**</w:t>
      </w:r>
    </w:p>
    <w:p>
      <w:pPr>
        <w:pStyle w:val="style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Collaborating with NGOs and community centers helps recruit participants, provide wraparound support, and create a safe learning environment.</w:t>
      </w: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  <w:lang w:val="en-US"/>
        </w:rPr>
      </w:pP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</w:rPr>
      </w:pPr>
    </w:p>
    <w:p>
      <w:pPr>
        <w:pStyle w:val="style0"/>
        <w:jc w:val="left"/>
        <w:rPr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Arial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Maiandra GD">
    <w:altName w:val="Calibri"/>
    <w:panose1 w:val="020e0502030000020204"/>
    <w:charset w:val="00"/>
    <w:family w:val="swiss"/>
    <w:pitch w:val="variable"/>
    <w:sig w:usb0="00000003" w:usb1="00000000" w:usb2="00000000" w:usb3="00000000" w:csb0="00000001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91E4E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5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oNotShadeFormData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Calibri" w:hAnsi="Calibri"/>
        <w:lang w:val="en-GB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  <w:lang w:val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Balloon Text Char"/>
    <w:basedOn w:val="style65"/>
    <w:next w:val="style4097"/>
    <w:link w:val="style153"/>
    <w:rPr>
      <w:rFonts w:ascii="Tahoma" w:cs="Tahoma" w:eastAsia="Calibri" w:hAnsi="Tahoma"/>
      <w:sz w:val="16"/>
      <w:szCs w:val="16"/>
    </w:rPr>
  </w:style>
  <w:style w:type="paragraph" w:styleId="style153">
    <w:name w:val="Balloon Text"/>
    <w:basedOn w:val="style0"/>
    <w:next w:val="style153"/>
    <w:link w:val="style4097"/>
    <w:pPr>
      <w:spacing w:after="0" w:lineRule="auto" w:line="240"/>
    </w:pPr>
    <w:rPr>
      <w:rFonts w:ascii="Tahoma" w:cs="Tahoma" w:hAnsi="Tahoma"/>
      <w:sz w:val="16"/>
      <w:szCs w:val="16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Words>998</Words>
  <Pages>1</Pages>
  <Characters>7050</Characters>
  <Application>WPS Office</Application>
  <DocSecurity>0</DocSecurity>
  <Paragraphs>146</Paragraphs>
  <ScaleCrop>false</ScaleCrop>
  <Company>Deftones</Company>
  <LinksUpToDate>false</LinksUpToDate>
  <CharactersWithSpaces>8057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2022-04-21T09:21:00Z</dcterms:created>
  <dc:creator>user</dc:creator>
  <lastModifiedBy>SM-A515F</lastModifiedBy>
  <dcterms:modified xsi:type="dcterms:W3CDTF">2025-11-06T11:02:37Z</dcterms:modified>
  <revision>11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