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b w:val="1"/>
        </w:rPr>
      </w:pPr>
      <w:bookmarkStart w:colFirst="0" w:colLast="0" w:name="_skaa3m1oifcy" w:id="0"/>
      <w:bookmarkEnd w:id="0"/>
      <w:r w:rsidDel="00000000" w:rsidR="00000000" w:rsidRPr="00000000">
        <w:rPr>
          <w:b w:val="1"/>
          <w:rtl w:val="0"/>
        </w:rPr>
        <w:t xml:space="preserve">Storytelling Key Notes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Chapter X, Part Y – [Title or Name]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(Always include Chapter in the title along with a name for the chapter/part/number.)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Describe the physical setting and any thematic symbolism.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Use vivid sensory language to bring scenes to life.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Atmosphere (Optional)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Explore the emotional environment of the chapter.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Capture undercurrents of tension, comfort, or other moods.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Tone (Optional)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Decide on the tone that colors the scene: hopeful, tense, intimate, etc.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Perspective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Identify the narrative point of view: character-based or neutral.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Tie perspective to the character’s internal struggles and worldview.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Key Storytelling Elements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**Emotional Anchors**: Center each major scene around a specific emotional beat or turning point.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**Character Growth**: Let character actions and reflections reveal how they’re evolving—subtly, without heavy-handed sentiment.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**World-Building**: Reference external materials (World Builder file.docx, Character(Arc).docx) to reinforce continuity and thematic resonance.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**Thematic Tensions**: Weave in overarching ideas (freedom vs. control, trust vs. suspicion) through environment and dialogue.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**No Foreshadowing**: Characters shouldn’t reference events beyond the current moment.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**Smooth Transitions**: Avoid scene breaks—let moments flow naturally into each other.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**Paragraph-Level Depth**: Expand single lines into full paragraphs. Avoid choppy line breaks.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Prompts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**Expand**: Broaden a scene with additional details and sensory information.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**Detailed**: Flesh out character actions, thoughts, and immediate environment.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**Vivid**: Focus on immersive descriptions that draw the reader in.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Notes on Chapter Refinement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Keep every scene anchored in the character’s present mindset.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Avoid excessive sentimentality—let emotions simmer rather than overflow.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Revisit references like character sheets or world-building docs to ensure consistency.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Let each chapter build momentum—Key Notes can grow with the story’s complexity.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Symbolism and Power Dynamics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Use the environment, character positioning, and subtle cues to reinforce themes.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Balance action and introspection to keep scenes dynamic and grounded.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Final Reminders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This document focuses on narrative flow and thematic unity.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It’s your storytelling anchor—pair it with the Format and Syntax file for technical compliance.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Let it evolve as your story deepens.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