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0B2545"/>
          <w:sz w:val="48"/>
        </w:rPr>
        <w:t>Procédures DPO opérationnelles - Bertel</w:t>
      </w:r>
    </w:p>
    <w:p>
      <w:pPr>
        <w:spacing w:after="280"/>
      </w:pPr>
      <w:r>
        <w:rPr>
          <w:color w:val="4B5563"/>
          <w:sz w:val="24"/>
        </w:rPr>
        <w:t>Demandes de droits, violations, registre, AIPD, accès, conservation et contrôles</w:t>
      </w:r>
    </w:p>
    <w:p>
      <w:r>
        <w:t>Demandes de droits, violations, registre, AIPD, accès, conservation et contrôles</w:t>
      </w:r>
    </w:p>
    <w:p>
      <w:pPr>
        <w:spacing w:before="80" w:after="160"/>
        <w:ind w:left="216" w:right="216"/>
        <w:shd w:fill="F4F6F9"/>
      </w:pPr>
      <w:r>
        <w:t>Statut : procédures de travail à adapter à l'organisation. Les délais légaux doivent être pilotés par le DPO ou le référent désigné. Version : 13 juin 2026.</w:t>
      </w:r>
    </w:p>
    <w:p>
      <w:pPr>
        <w:pStyle w:val="Heading1"/>
      </w:pPr>
      <w:r>
        <w:t>Informations organisationnelles reprises du dossier badgeuse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Élément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Valeur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Organisation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SPL OTI DU SUD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Adresse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379 Rue Hubert Delisle, 97430 Le Tampon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SIREN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882 699 556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Activité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Tourisme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Effectif de référence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27 salariés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Date de création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24/01/2020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Référent RGPD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David Philippe - Manager SI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Contact RGPD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d.philippe@otisud.com - 06 93 41 92 91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Hébergement de référence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OVH France, UE, sans transfert hors UE, à confirmer si l'architecture Bertel diffère</w:t>
            </w:r>
          </w:p>
        </w:tc>
      </w:tr>
    </w:tbl>
    <w:p>
      <w:pPr>
        <w:pStyle w:val="Heading1"/>
      </w:pPr>
      <w:r>
        <w:t>Posture données Bertel</w:t>
      </w:r>
    </w:p>
    <w:p>
      <w:r>
        <w:t>En l'état du périmètre décrit, environ 95 % des informations stockées dans Bertel sont publiques ou destinées à être publiées : fiches touristiques, descriptions, horaires, coordonnées professionnelles d'établissement, médias de promotion, classifications, tarifs, équipements et statuts de publication. Le risque RGPD principal ne vient donc pas du référentiel public lui-même, mais des zones internes : interactions entre l'office de tourisme et les prestataires, notes CRM, tâches, historiques de relation, coordonnées personnelles lorsqu'elles diffèrent des coordonnées publiques ou professionnelles, et erreurs de publication accidentelles.</w:t>
      </w:r>
    </w:p>
    <w:p>
      <w:pPr>
        <w:pStyle w:val="Heading1"/>
      </w:pPr>
      <w:r>
        <w:t>1. Procédure de tenue du registre</w:t>
      </w:r>
    </w:p>
    <w:p>
      <w:r>
        <w:t>Déclencheurs de mise à jour :</w:t>
      </w:r>
    </w:p>
    <w:p>
      <w:pPr>
        <w:pStyle w:val="ListBullet"/>
      </w:pPr>
      <w:r>
        <w:t>nouvelle table ou nouveau champ personnel ;</w:t>
      </w:r>
    </w:p>
    <w:p>
      <w:pPr>
        <w:pStyle w:val="ListBullet"/>
      </w:pPr>
      <w:r>
        <w:t>nouveau module UI ou API ;</w:t>
      </w:r>
    </w:p>
    <w:p>
      <w:pPr>
        <w:pStyle w:val="ListBullet"/>
      </w:pPr>
      <w:r>
        <w:t>nouveau sous-traitant ;</w:t>
      </w:r>
    </w:p>
    <w:p>
      <w:pPr>
        <w:pStyle w:val="ListBullet"/>
      </w:pPr>
      <w:r>
        <w:t>nouvel export ou partage ;</w:t>
      </w:r>
    </w:p>
    <w:p>
      <w:pPr>
        <w:pStyle w:val="ListBullet"/>
      </w:pPr>
      <w:r>
        <w:t>changement de base légale, durée ou destinataire ;</w:t>
      </w:r>
    </w:p>
    <w:p>
      <w:pPr>
        <w:pStyle w:val="ListBullet"/>
      </w:pPr>
      <w:r>
        <w:t>incident révélant un traitement non documenté.</w:t>
      </w:r>
    </w:p>
    <w:p>
      <w:r>
        <w:t>Étapes :</w:t>
      </w:r>
    </w:p>
    <w:p>
      <w:pPr>
        <w:spacing w:after="80" w:line="300" w:lineRule="auto"/>
        <w:ind w:left="540" w:hanging="271"/>
      </w:pPr>
      <w:r>
        <w:t>1. Identifier le traitement concerné.</w:t>
      </w:r>
    </w:p>
    <w:p>
      <w:pPr>
        <w:spacing w:after="80" w:line="300" w:lineRule="auto"/>
        <w:ind w:left="540" w:hanging="271"/>
      </w:pPr>
      <w:r>
        <w:t>2. Mettre à jour la fiche registre.</w:t>
      </w:r>
    </w:p>
    <w:p>
      <w:pPr>
        <w:spacing w:after="80" w:line="300" w:lineRule="auto"/>
        <w:ind w:left="540" w:hanging="271"/>
      </w:pPr>
      <w:r>
        <w:t>3. Vérifier les mentions d'information.</w:t>
      </w:r>
    </w:p>
    <w:p>
      <w:pPr>
        <w:spacing w:after="80" w:line="300" w:lineRule="auto"/>
        <w:ind w:left="540" w:hanging="271"/>
      </w:pPr>
      <w:r>
        <w:t>4. Évaluer si l'AIPD doit être créée ou revue.</w:t>
      </w:r>
    </w:p>
    <w:p>
      <w:pPr>
        <w:spacing w:after="80" w:line="300" w:lineRule="auto"/>
        <w:ind w:left="540" w:hanging="271"/>
      </w:pPr>
      <w:r>
        <w:t>5. Faire valider par le DPO.</w:t>
      </w:r>
    </w:p>
    <w:p>
      <w:pPr>
        <w:spacing w:after="80" w:line="300" w:lineRule="auto"/>
        <w:ind w:left="540" w:hanging="271"/>
      </w:pPr>
      <w:r>
        <w:t>6. Conserver la preuve de validation.</w:t>
      </w:r>
    </w:p>
    <w:p>
      <w:pPr>
        <w:pStyle w:val="Heading1"/>
      </w:pPr>
      <w:r>
        <w:t>2. Procédure de demande de droits</w:t>
      </w:r>
    </w:p>
    <w:p>
      <w:r>
        <w:t>Canaux possibles : adresse DPO, formulaire, courrier, demande reçue par un agent, demande via prestataire.</w:t>
      </w:r>
    </w:p>
    <w:p>
      <w:pPr>
        <w:spacing w:after="80" w:line="300" w:lineRule="auto"/>
        <w:ind w:left="540" w:hanging="271"/>
      </w:pPr>
      <w:r>
        <w:t>1. Enregistrer la demande : date, identité, canal, droit exercé, périmètre.</w:t>
      </w:r>
    </w:p>
    <w:p>
      <w:pPr>
        <w:spacing w:after="80" w:line="300" w:lineRule="auto"/>
        <w:ind w:left="540" w:hanging="271"/>
      </w:pPr>
      <w:r>
        <w:t>2. Accuser réception.</w:t>
      </w:r>
    </w:p>
    <w:p>
      <w:pPr>
        <w:spacing w:after="80" w:line="300" w:lineRule="auto"/>
        <w:ind w:left="540" w:hanging="271"/>
      </w:pPr>
      <w:r>
        <w:t>3. Vérifier l'identité uniquement si nécessaire et de manière proportionnée.</w:t>
      </w:r>
    </w:p>
    <w:p>
      <w:pPr>
        <w:spacing w:after="80" w:line="300" w:lineRule="auto"/>
        <w:ind w:left="540" w:hanging="271"/>
      </w:pPr>
      <w:r>
        <w:t xml:space="preserve">4. Identifier les tables : </w:t>
      </w:r>
      <w:r>
        <w:rPr>
          <w:rFonts w:ascii="Consolas" w:hAnsi="Consolas"/>
          <w:sz w:val="19"/>
        </w:rPr>
        <w:t>auth.users</w:t>
      </w:r>
      <w:r>
        <w:t xml:space="preserve">, </w:t>
      </w:r>
      <w:r>
        <w:rPr>
          <w:rFonts w:ascii="Consolas" w:hAnsi="Consolas"/>
          <w:sz w:val="19"/>
        </w:rPr>
        <w:t>app_user_profile</w:t>
      </w:r>
      <w:r>
        <w:t xml:space="preserve">, </w:t>
      </w:r>
      <w:r>
        <w:rPr>
          <w:rFonts w:ascii="Consolas" w:hAnsi="Consolas"/>
          <w:sz w:val="19"/>
        </w:rPr>
        <w:t>actor</w:t>
      </w:r>
      <w:r>
        <w:t xml:space="preserve">, </w:t>
      </w:r>
      <w:r>
        <w:rPr>
          <w:rFonts w:ascii="Consolas" w:hAnsi="Consolas"/>
          <w:sz w:val="19"/>
        </w:rPr>
        <w:t>actor_channel</w:t>
      </w:r>
      <w:r>
        <w:t xml:space="preserve">, </w:t>
      </w:r>
      <w:r>
        <w:rPr>
          <w:rFonts w:ascii="Consolas" w:hAnsi="Consolas"/>
          <w:sz w:val="19"/>
        </w:rPr>
        <w:t>actor_consent</w:t>
      </w:r>
      <w:r>
        <w:t xml:space="preserve">, </w:t>
      </w:r>
      <w:r>
        <w:rPr>
          <w:rFonts w:ascii="Consolas" w:hAnsi="Consolas"/>
          <w:sz w:val="19"/>
        </w:rPr>
        <w:t>contact_channel</w:t>
      </w:r>
      <w:r>
        <w:t xml:space="preserve">, </w:t>
      </w:r>
      <w:r>
        <w:rPr>
          <w:rFonts w:ascii="Consolas" w:hAnsi="Consolas"/>
          <w:sz w:val="19"/>
        </w:rPr>
        <w:t>crm_interaction</w:t>
      </w:r>
      <w:r>
        <w:t xml:space="preserve">, </w:t>
      </w:r>
      <w:r>
        <w:rPr>
          <w:rFonts w:ascii="Consolas" w:hAnsi="Consolas"/>
          <w:sz w:val="19"/>
        </w:rPr>
        <w:t>crm_task</w:t>
      </w:r>
      <w:r>
        <w:t xml:space="preserve">, </w:t>
      </w:r>
      <w:r>
        <w:rPr>
          <w:rFonts w:ascii="Consolas" w:hAnsi="Consolas"/>
          <w:sz w:val="19"/>
        </w:rPr>
        <w:t>incident_report</w:t>
      </w:r>
      <w:r>
        <w:t xml:space="preserve">, </w:t>
      </w:r>
      <w:r>
        <w:rPr>
          <w:rFonts w:ascii="Consolas" w:hAnsi="Consolas"/>
          <w:sz w:val="19"/>
        </w:rPr>
        <w:t>object_private_description</w:t>
      </w:r>
      <w:r>
        <w:t>, logs selon limites.</w:t>
      </w:r>
    </w:p>
    <w:p>
      <w:pPr>
        <w:spacing w:after="80" w:line="300" w:lineRule="auto"/>
        <w:ind w:left="540" w:hanging="271"/>
      </w:pPr>
      <w:r>
        <w:t>5. Geler toute suppression automatique qui pourrait empêcher la réponse.</w:t>
      </w:r>
    </w:p>
    <w:p>
      <w:pPr>
        <w:spacing w:after="80" w:line="300" w:lineRule="auto"/>
        <w:ind w:left="540" w:hanging="271"/>
      </w:pPr>
      <w:r>
        <w:t>6. Préparer la réponse : accès, rectification, effacement, limitation, opposition, portabilité si applicable.</w:t>
      </w:r>
    </w:p>
    <w:p>
      <w:pPr>
        <w:spacing w:after="80" w:line="300" w:lineRule="auto"/>
        <w:ind w:left="540" w:hanging="271"/>
      </w:pPr>
      <w:r>
        <w:t>7. Répondre dans le délai d'un mois. Si la demande est complexe, documenter la prolongation et informer la personne dans le délai initial.</w:t>
      </w:r>
    </w:p>
    <w:p>
      <w:pPr>
        <w:spacing w:after="80" w:line="300" w:lineRule="auto"/>
        <w:ind w:left="540" w:hanging="271"/>
      </w:pPr>
      <w:r>
        <w:t>8. Journaliser la réponse et les actions effectuées.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Champ de registre droits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Exemple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Référence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DDP-2026-001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Date de réception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compléter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Demandeur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compléter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Droit exercé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Accès / rectification / effacement / opposition / limitation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Tables concernées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compléter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Responsable interne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DPO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Échéance un mois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compléter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Réponse envoyée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compléter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Action technique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compléter</w:t>
            </w:r>
          </w:p>
        </w:tc>
      </w:tr>
    </w:tbl>
    <w:p>
      <w:pPr>
        <w:pStyle w:val="Heading1"/>
      </w:pPr>
      <w:r>
        <w:t>3. Procédure de violation de données personnelles</w:t>
      </w:r>
    </w:p>
    <w:p>
      <w:r>
        <w:t>Une violation peut être une destruction, perte, altération, divulgation ou accès non autorisé à des données personnelles.</w:t>
      </w:r>
    </w:p>
    <w:p>
      <w:r>
        <w:t>Déclencheurs Bertel :</w:t>
      </w:r>
    </w:p>
    <w:p>
      <w:pPr>
        <w:pStyle w:val="ListBullet"/>
      </w:pPr>
      <w:r>
        <w:t>contact privé publié ;</w:t>
      </w:r>
    </w:p>
    <w:p>
      <w:pPr>
        <w:pStyle w:val="ListBullet"/>
      </w:pPr>
      <w:r>
        <w:t>interaction OTI/prestataire ou note CRM rendue visible hors périmètre ;</w:t>
      </w:r>
    </w:p>
    <w:p>
      <w:pPr>
        <w:pStyle w:val="ListBullet"/>
      </w:pPr>
      <w:r>
        <w:t>média exposant une personne ou document personnel ;</w:t>
      </w:r>
    </w:p>
    <w:p>
      <w:pPr>
        <w:pStyle w:val="ListBullet"/>
      </w:pPr>
      <w:r>
        <w:t>erreur RLS donnant accès à des données internes ;</w:t>
      </w:r>
    </w:p>
    <w:p>
      <w:pPr>
        <w:pStyle w:val="ListBullet"/>
      </w:pPr>
      <w:r>
        <w:t>invitation ou rôle attribué à la mauvaise personne ;</w:t>
      </w:r>
    </w:p>
    <w:p>
      <w:pPr>
        <w:pStyle w:val="ListBullet"/>
      </w:pPr>
      <w:r>
        <w:t>export envoyé au mauvais destinataire ;</w:t>
      </w:r>
    </w:p>
    <w:p>
      <w:pPr>
        <w:pStyle w:val="ListBullet"/>
      </w:pPr>
      <w:r>
        <w:t>secret Supabase ou token exposé ;</w:t>
      </w:r>
    </w:p>
    <w:p>
      <w:pPr>
        <w:pStyle w:val="ListBullet"/>
      </w:pPr>
      <w:r>
        <w:t>perte ou altération de données ;</w:t>
      </w:r>
    </w:p>
    <w:p>
      <w:pPr>
        <w:pStyle w:val="ListBullet"/>
      </w:pPr>
      <w:r>
        <w:t>accès suspect dans les logs.</w:t>
      </w:r>
    </w:p>
    <w:p>
      <w:r>
        <w:t>Étapes immédiates :</w:t>
      </w:r>
    </w:p>
    <w:p>
      <w:pPr>
        <w:spacing w:after="80" w:line="300" w:lineRule="auto"/>
        <w:ind w:left="540" w:hanging="271"/>
      </w:pPr>
      <w:r>
        <w:t>1. Contenir : retirer la publication, couper l'accès, révoquer token, désactiver compte si nécessaire.</w:t>
      </w:r>
    </w:p>
    <w:p>
      <w:pPr>
        <w:spacing w:after="80" w:line="300" w:lineRule="auto"/>
        <w:ind w:left="540" w:hanging="271"/>
      </w:pPr>
      <w:r>
        <w:t>2. Préserver les preuves : horodatage, captures internes, logs, personnes impliquées.</w:t>
      </w:r>
    </w:p>
    <w:p>
      <w:pPr>
        <w:spacing w:after="80" w:line="300" w:lineRule="auto"/>
        <w:ind w:left="540" w:hanging="271"/>
      </w:pPr>
      <w:r>
        <w:t>3. Qualifier : données, personnes, volume, durée d'exposition, destinataires, contexte.</w:t>
      </w:r>
    </w:p>
    <w:p>
      <w:pPr>
        <w:spacing w:after="80" w:line="300" w:lineRule="auto"/>
        <w:ind w:left="540" w:hanging="271"/>
      </w:pPr>
      <w:r>
        <w:t>4. Évaluer le risque pour les droits et libertés.</w:t>
      </w:r>
    </w:p>
    <w:p>
      <w:pPr>
        <w:spacing w:after="80" w:line="300" w:lineRule="auto"/>
        <w:ind w:left="540" w:hanging="271"/>
      </w:pPr>
      <w:r>
        <w:t>5. Décider notification CNIL dans les 72 heures si risque.</w:t>
      </w:r>
    </w:p>
    <w:p>
      <w:pPr>
        <w:spacing w:after="80" w:line="300" w:lineRule="auto"/>
        <w:ind w:left="540" w:hanging="271"/>
      </w:pPr>
      <w:r>
        <w:t>6. Informer les personnes concernées si risque élevé.</w:t>
      </w:r>
    </w:p>
    <w:p>
      <w:pPr>
        <w:spacing w:after="80" w:line="300" w:lineRule="auto"/>
        <w:ind w:left="540" w:hanging="271"/>
      </w:pPr>
      <w:r>
        <w:t>7. Corriger la cause racine et documenter.</w:t>
      </w:r>
    </w:p>
    <w:p>
      <w:pPr>
        <w:spacing w:after="80" w:line="300" w:lineRule="auto"/>
        <w:ind w:left="540" w:hanging="271"/>
      </w:pPr>
      <w:r>
        <w:t>8. Clôturer avec mesures préventives.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Champ registre violation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Valeur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Référence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VIOL-YYYY-NNN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Date de connaissance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compléter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Description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compléter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 concernées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compléter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 concernées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compléter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Cause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compléter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Mesures immédiates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compléter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Risque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Aucun / risque / risque élevé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CNIL notifiée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Oui / non / motif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Personnes informées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Oui / non / motif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Actions préventives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compléter</w:t>
            </w:r>
          </w:p>
        </w:tc>
      </w:tr>
    </w:tbl>
    <w:p>
      <w:pPr>
        <w:pStyle w:val="Heading1"/>
      </w:pPr>
      <w:r>
        <w:t>4. Procédure d'accès, arrivée et départ utilisateur</w:t>
      </w:r>
    </w:p>
    <w:p>
      <w:r>
        <w:t>Arrivée :</w:t>
      </w:r>
    </w:p>
    <w:p>
      <w:pPr>
        <w:spacing w:after="80" w:line="300" w:lineRule="auto"/>
        <w:ind w:left="540" w:hanging="271"/>
      </w:pPr>
      <w:r>
        <w:t>1. Valider le besoin métier et l'organisation.</w:t>
      </w:r>
    </w:p>
    <w:p>
      <w:pPr>
        <w:spacing w:after="80" w:line="300" w:lineRule="auto"/>
        <w:ind w:left="540" w:hanging="271"/>
      </w:pPr>
      <w:r>
        <w:t>2. Créer ou inviter le compte nominatif.</w:t>
      </w:r>
    </w:p>
    <w:p>
      <w:pPr>
        <w:spacing w:after="80" w:line="300" w:lineRule="auto"/>
        <w:ind w:left="540" w:hanging="271"/>
      </w:pPr>
      <w:r>
        <w:t>3. Attribuer le rôle métier minimal.</w:t>
      </w:r>
    </w:p>
    <w:p>
      <w:pPr>
        <w:spacing w:after="80" w:line="300" w:lineRule="auto"/>
        <w:ind w:left="540" w:hanging="271"/>
      </w:pPr>
      <w:r>
        <w:t>4. Ajouter un rôle admin seulement si nécessaire.</w:t>
      </w:r>
    </w:p>
    <w:p>
      <w:pPr>
        <w:spacing w:after="80" w:line="300" w:lineRule="auto"/>
        <w:ind w:left="540" w:hanging="271"/>
      </w:pPr>
      <w:r>
        <w:t>5. Vérifier les permissions effectives.</w:t>
      </w:r>
    </w:p>
    <w:p>
      <w:pPr>
        <w:spacing w:after="80" w:line="300" w:lineRule="auto"/>
        <w:ind w:left="540" w:hanging="271"/>
      </w:pPr>
      <w:r>
        <w:t>6. Informer l'utilisateur du règlement RGPD interne.</w:t>
      </w:r>
    </w:p>
    <w:p>
      <w:r>
        <w:t>Départ ou changement de poste :</w:t>
      </w:r>
    </w:p>
    <w:p>
      <w:pPr>
        <w:spacing w:after="80" w:line="300" w:lineRule="auto"/>
        <w:ind w:left="540" w:hanging="271"/>
      </w:pPr>
      <w:r>
        <w:t>1. Désactiver l'appartenance organisation.</w:t>
      </w:r>
    </w:p>
    <w:p>
      <w:pPr>
        <w:spacing w:after="80" w:line="300" w:lineRule="auto"/>
        <w:ind w:left="540" w:hanging="271"/>
      </w:pPr>
      <w:r>
        <w:t>2. Révoquer rôles admin et permissions.</w:t>
      </w:r>
    </w:p>
    <w:p>
      <w:pPr>
        <w:spacing w:after="80" w:line="300" w:lineRule="auto"/>
        <w:ind w:left="540" w:hanging="271"/>
      </w:pPr>
      <w:r>
        <w:t>3. Vérifier les tâches/objets assignés.</w:t>
      </w:r>
    </w:p>
    <w:p>
      <w:pPr>
        <w:spacing w:after="80" w:line="300" w:lineRule="auto"/>
        <w:ind w:left="540" w:hanging="271"/>
      </w:pPr>
      <w:r>
        <w:t>4. Conserver ou anonymiser le profil selon politique de conservation.</w:t>
      </w:r>
    </w:p>
    <w:p>
      <w:pPr>
        <w:spacing w:after="80" w:line="300" w:lineRule="auto"/>
        <w:ind w:left="540" w:hanging="271"/>
      </w:pPr>
      <w:r>
        <w:t>5. Documenter l'action.</w:t>
      </w:r>
    </w:p>
    <w:p>
      <w:r>
        <w:t>Revue périodique :</w:t>
      </w:r>
    </w:p>
    <w:p>
      <w:pPr>
        <w:pStyle w:val="ListBullet"/>
      </w:pPr>
      <w:r>
        <w:t>droits admin : trimestriel ;</w:t>
      </w:r>
    </w:p>
    <w:p>
      <w:pPr>
        <w:pStyle w:val="ListBullet"/>
      </w:pPr>
      <w:r>
        <w:t>permissions sensibles : trimestriel ;</w:t>
      </w:r>
    </w:p>
    <w:p>
      <w:pPr>
        <w:pStyle w:val="ListBullet"/>
      </w:pPr>
      <w:r>
        <w:t>membres actifs : semestriel ;</w:t>
      </w:r>
    </w:p>
    <w:p>
      <w:pPr>
        <w:pStyle w:val="ListBullet"/>
      </w:pPr>
      <w:r>
        <w:t>comptes sans activité : à définir.</w:t>
      </w:r>
    </w:p>
    <w:p>
      <w:pPr>
        <w:pStyle w:val="Heading1"/>
      </w:pPr>
      <w:r>
        <w:t>5. Procédure de publication contact et média</w:t>
      </w:r>
    </w:p>
    <w:p>
      <w:r>
        <w:t>Avant publication d'un contact :</w:t>
      </w:r>
    </w:p>
    <w:p>
      <w:pPr>
        <w:pStyle w:val="ListBullet"/>
      </w:pPr>
      <w:r>
        <w:t>le canal est-il professionnel ou destiné au public ?</w:t>
      </w:r>
    </w:p>
    <w:p>
      <w:pPr>
        <w:pStyle w:val="ListBullet"/>
      </w:pPr>
      <w:r>
        <w:t>la coordonnée est-elle bien publique/professionnelle, et non personnelle ou réservée aux échanges internes ?</w:t>
      </w:r>
    </w:p>
    <w:p>
      <w:pPr>
        <w:pStyle w:val="ListBullet"/>
      </w:pPr>
      <w:r>
        <w:rPr>
          <w:rFonts w:ascii="Consolas" w:hAnsi="Consolas"/>
          <w:sz w:val="19"/>
        </w:rPr>
        <w:t>is_public</w:t>
      </w:r>
      <w:r>
        <w:t xml:space="preserve"> est-il correct ?</w:t>
      </w:r>
    </w:p>
    <w:p>
      <w:pPr>
        <w:pStyle w:val="ListBullet"/>
      </w:pPr>
      <w:r>
        <w:t>la personne est-elle informée ?</w:t>
      </w:r>
    </w:p>
    <w:p>
      <w:pPr>
        <w:pStyle w:val="ListBullet"/>
      </w:pPr>
      <w:r>
        <w:t>le contact est-il exact et à jour ?</w:t>
      </w:r>
    </w:p>
    <w:p>
      <w:pPr>
        <w:pStyle w:val="ListBullet"/>
      </w:pPr>
      <w:r>
        <w:t>le rôle du canal est-il renseigné ?</w:t>
      </w:r>
    </w:p>
    <w:p>
      <w:r>
        <w:t>Avant publication d'un média :</w:t>
      </w:r>
    </w:p>
    <w:p>
      <w:pPr>
        <w:pStyle w:val="ListBullet"/>
      </w:pPr>
      <w:r>
        <w:t>droit d'usage documenté ;</w:t>
      </w:r>
    </w:p>
    <w:p>
      <w:pPr>
        <w:pStyle w:val="ListBullet"/>
      </w:pPr>
      <w:r>
        <w:t>crédit renseigné si nécessaire ;</w:t>
      </w:r>
    </w:p>
    <w:p>
      <w:pPr>
        <w:pStyle w:val="ListBullet"/>
      </w:pPr>
      <w:r>
        <w:t>absence de personne identifiable non autorisée ;</w:t>
      </w:r>
    </w:p>
    <w:p>
      <w:pPr>
        <w:pStyle w:val="ListBullet"/>
      </w:pPr>
      <w:r>
        <w:t>absence de plaque, document, email ou numéro privé ;</w:t>
      </w:r>
    </w:p>
    <w:p>
      <w:pPr>
        <w:pStyle w:val="ListBullet"/>
      </w:pPr>
      <w:r>
        <w:t>visibilité correcte ;</w:t>
      </w:r>
    </w:p>
    <w:p>
      <w:pPr>
        <w:pStyle w:val="ListBullet"/>
      </w:pPr>
      <w:r>
        <w:t>date d'expiration contrôlée ;</w:t>
      </w:r>
    </w:p>
    <w:p>
      <w:pPr>
        <w:pStyle w:val="ListBullet"/>
      </w:pPr>
      <w:r>
        <w:t>description accessible si diffusion publique.</w:t>
      </w:r>
    </w:p>
    <w:p>
      <w:pPr>
        <w:pStyle w:val="Heading1"/>
      </w:pPr>
      <w:r>
        <w:t>6. Procédure AIPD et privacy by design</w:t>
      </w:r>
    </w:p>
    <w:p>
      <w:r>
        <w:t>Créer ou réviser l'AIPD si :</w:t>
      </w:r>
    </w:p>
    <w:p>
      <w:pPr>
        <w:pStyle w:val="ListBullet"/>
      </w:pPr>
      <w:r>
        <w:t>nouveau traitement potentiellement à risque ;</w:t>
      </w:r>
    </w:p>
    <w:p>
      <w:pPr>
        <w:pStyle w:val="ListBullet"/>
      </w:pPr>
      <w:r>
        <w:t>changement de finalité ;</w:t>
      </w:r>
    </w:p>
    <w:p>
      <w:pPr>
        <w:pStyle w:val="ListBullet"/>
      </w:pPr>
      <w:r>
        <w:t>nouvelle analyse IA ou enrichissement automatisé ;</w:t>
      </w:r>
    </w:p>
    <w:p>
      <w:pPr>
        <w:pStyle w:val="ListBullet"/>
      </w:pPr>
      <w:r>
        <w:t>nouvelle géolocalisation ou média sensible ;</w:t>
      </w:r>
    </w:p>
    <w:p>
      <w:pPr>
        <w:pStyle w:val="ListBullet"/>
      </w:pPr>
      <w:r>
        <w:t>élargissement de diffusion ;</w:t>
      </w:r>
    </w:p>
    <w:p>
      <w:pPr>
        <w:pStyle w:val="ListBullet"/>
      </w:pPr>
      <w:r>
        <w:t>changement d'hébergement/sous-traitant ;</w:t>
      </w:r>
    </w:p>
    <w:p>
      <w:pPr>
        <w:pStyle w:val="ListBullet"/>
      </w:pPr>
      <w:r>
        <w:t>incident significatif ;</w:t>
      </w:r>
    </w:p>
    <w:p>
      <w:pPr>
        <w:pStyle w:val="ListBullet"/>
      </w:pPr>
      <w:r>
        <w:t>nouveau public de personnes concernées.</w:t>
      </w:r>
    </w:p>
    <w:p>
      <w:r>
        <w:t>Checklist de revue :</w:t>
      </w:r>
    </w:p>
    <w:p>
      <w:pPr>
        <w:spacing w:after="80" w:line="300" w:lineRule="auto"/>
        <w:ind w:left="540" w:hanging="271"/>
      </w:pPr>
      <w:r>
        <w:t>1. Finalité claire.</w:t>
      </w:r>
    </w:p>
    <w:p>
      <w:pPr>
        <w:spacing w:after="80" w:line="300" w:lineRule="auto"/>
        <w:ind w:left="540" w:hanging="271"/>
      </w:pPr>
      <w:r>
        <w:t>2. Base légale candidate.</w:t>
      </w:r>
    </w:p>
    <w:p>
      <w:pPr>
        <w:spacing w:after="80" w:line="300" w:lineRule="auto"/>
        <w:ind w:left="540" w:hanging="271"/>
      </w:pPr>
      <w:r>
        <w:t>3. Données minimales.</w:t>
      </w:r>
    </w:p>
    <w:p>
      <w:pPr>
        <w:spacing w:after="80" w:line="300" w:lineRule="auto"/>
        <w:ind w:left="540" w:hanging="271"/>
      </w:pPr>
      <w:r>
        <w:t>4. Accès et RLS.</w:t>
      </w:r>
    </w:p>
    <w:p>
      <w:pPr>
        <w:spacing w:after="80" w:line="300" w:lineRule="auto"/>
        <w:ind w:left="540" w:hanging="271"/>
      </w:pPr>
      <w:r>
        <w:t>5. Durée de conservation.</w:t>
      </w:r>
    </w:p>
    <w:p>
      <w:pPr>
        <w:spacing w:after="80" w:line="300" w:lineRule="auto"/>
        <w:ind w:left="540" w:hanging="271"/>
      </w:pPr>
      <w:r>
        <w:t>6. Information des personnes.</w:t>
      </w:r>
    </w:p>
    <w:p>
      <w:pPr>
        <w:spacing w:after="80" w:line="300" w:lineRule="auto"/>
        <w:ind w:left="540" w:hanging="271"/>
      </w:pPr>
      <w:r>
        <w:t>7. Droits exerçables.</w:t>
      </w:r>
    </w:p>
    <w:p>
      <w:pPr>
        <w:spacing w:after="80" w:line="300" w:lineRule="auto"/>
        <w:ind w:left="540" w:hanging="271"/>
      </w:pPr>
      <w:r>
        <w:t>8. Sous-traitants et transferts.</w:t>
      </w:r>
    </w:p>
    <w:p>
      <w:pPr>
        <w:spacing w:after="80" w:line="300" w:lineRule="auto"/>
        <w:ind w:left="540" w:hanging="271"/>
      </w:pPr>
      <w:r>
        <w:t>9. Risques et mesures.</w:t>
      </w:r>
    </w:p>
    <w:p>
      <w:pPr>
        <w:spacing w:after="80" w:line="300" w:lineRule="auto"/>
        <w:ind w:left="540" w:hanging="271"/>
      </w:pPr>
      <w:r>
        <w:t>10. Validation DPO.</w:t>
      </w:r>
    </w:p>
    <w:p>
      <w:pPr>
        <w:pStyle w:val="Heading1"/>
      </w:pPr>
      <w:r>
        <w:t>7. Procédure imports et données historiques</w:t>
      </w:r>
    </w:p>
    <w:p>
      <w:pPr>
        <w:spacing w:after="80" w:line="300" w:lineRule="auto"/>
        <w:ind w:left="540" w:hanging="271"/>
      </w:pPr>
      <w:r>
        <w:t>1. Identifier la source et le responsable de la source.</w:t>
      </w:r>
    </w:p>
    <w:p>
      <w:pPr>
        <w:spacing w:after="80" w:line="300" w:lineRule="auto"/>
        <w:ind w:left="540" w:hanging="271"/>
      </w:pPr>
      <w:r>
        <w:t>2. Profiler les colonnes personnelles.</w:t>
      </w:r>
    </w:p>
    <w:p>
      <w:pPr>
        <w:spacing w:after="80" w:line="300" w:lineRule="auto"/>
        <w:ind w:left="540" w:hanging="271"/>
      </w:pPr>
      <w:r>
        <w:t>3. Supprimer les colonnes inutiles avant import.</w:t>
      </w:r>
    </w:p>
    <w:p>
      <w:pPr>
        <w:spacing w:after="80" w:line="300" w:lineRule="auto"/>
        <w:ind w:left="540" w:hanging="271"/>
      </w:pPr>
      <w:r>
        <w:t>4. Charger en staging.</w:t>
      </w:r>
    </w:p>
    <w:p>
      <w:pPr>
        <w:spacing w:after="80" w:line="300" w:lineRule="auto"/>
        <w:ind w:left="540" w:hanging="271"/>
      </w:pPr>
      <w:r>
        <w:t>5. Contrôler doublons, exactitude et obsolescence.</w:t>
      </w:r>
    </w:p>
    <w:p>
      <w:pPr>
        <w:spacing w:after="80" w:line="300" w:lineRule="auto"/>
        <w:ind w:left="540" w:hanging="271"/>
      </w:pPr>
      <w:r>
        <w:t>6. Documenter mapping et décisions.</w:t>
      </w:r>
    </w:p>
    <w:p>
      <w:pPr>
        <w:spacing w:after="80" w:line="300" w:lineRule="auto"/>
        <w:ind w:left="540" w:hanging="271"/>
      </w:pPr>
      <w:r>
        <w:t>7. Promouvoir uniquement les données nécessaires.</w:t>
      </w:r>
    </w:p>
    <w:p>
      <w:pPr>
        <w:spacing w:after="80" w:line="300" w:lineRule="auto"/>
        <w:ind w:left="540" w:hanging="271"/>
      </w:pPr>
      <w:r>
        <w:t>8. Purger ou archiver les lots rejetés selon durée validée.</w:t>
      </w:r>
    </w:p>
    <w:p>
      <w:pPr>
        <w:spacing w:after="80" w:line="300" w:lineRule="auto"/>
        <w:ind w:left="540" w:hanging="271"/>
      </w:pPr>
      <w:r>
        <w:t>9. Mettre à jour le registre si la finalité change.</w:t>
      </w:r>
    </w:p>
    <w:p>
      <w:pPr>
        <w:pStyle w:val="Heading1"/>
      </w:pPr>
      <w:r>
        <w:t>8. Procédure conservation, purge et anonymisation</w:t>
      </w:r>
    </w:p>
    <w:p>
      <w:r>
        <w:t>La politique de conservation doit être validée avant automatisation. À défaut, aucune purge massive ne doit être lancée sans accord DPO/technique.</w:t>
      </w:r>
    </w:p>
    <w:p>
      <w:r>
        <w:t>Ordre de travail :</w:t>
      </w:r>
    </w:p>
    <w:p>
      <w:pPr>
        <w:spacing w:after="80" w:line="300" w:lineRule="auto"/>
        <w:ind w:left="540" w:hanging="271"/>
      </w:pPr>
      <w:r>
        <w:t>1. Définir les durées par famille de données.</w:t>
      </w:r>
    </w:p>
    <w:p>
      <w:pPr>
        <w:spacing w:after="80" w:line="300" w:lineRule="auto"/>
        <w:ind w:left="540" w:hanging="271"/>
      </w:pPr>
      <w:r>
        <w:t>2. Définir ce qui doit rester en preuve légale ou sécurité.</w:t>
      </w:r>
    </w:p>
    <w:p>
      <w:pPr>
        <w:spacing w:after="80" w:line="300" w:lineRule="auto"/>
        <w:ind w:left="540" w:hanging="271"/>
      </w:pPr>
      <w:r>
        <w:t>3. Choisir suppression, anonymisation ou archivage restreint.</w:t>
      </w:r>
    </w:p>
    <w:p>
      <w:pPr>
        <w:spacing w:after="80" w:line="300" w:lineRule="auto"/>
        <w:ind w:left="540" w:hanging="271"/>
      </w:pPr>
      <w:r>
        <w:t>4. Tester sur environnement non production.</w:t>
      </w:r>
    </w:p>
    <w:p>
      <w:pPr>
        <w:spacing w:after="80" w:line="300" w:lineRule="auto"/>
        <w:ind w:left="540" w:hanging="271"/>
      </w:pPr>
      <w:r>
        <w:t>5. Vérifier impact sur intégrité, audits et versioning.</w:t>
      </w:r>
    </w:p>
    <w:p>
      <w:pPr>
        <w:spacing w:after="80" w:line="300" w:lineRule="auto"/>
        <w:ind w:left="540" w:hanging="271"/>
      </w:pPr>
      <w:r>
        <w:t>6. Journaliser l'opération.</w:t>
      </w:r>
    </w:p>
    <w:p>
      <w:pPr>
        <w:spacing w:after="80" w:line="300" w:lineRule="auto"/>
        <w:ind w:left="540" w:hanging="271"/>
      </w:pPr>
      <w:r>
        <w:t>7. Mettre à jour le registre.</w:t>
      </w:r>
    </w:p>
    <w:p>
      <w:r>
        <w:br w:type="page"/>
      </w:r>
    </w:p>
    <w:p>
      <w:pPr>
        <w:pStyle w:val="Heading1"/>
      </w:pPr>
      <w:r>
        <w:t>9. Modèle de mention d'information courte</w:t>
      </w:r>
    </w:p>
    <w:p>
      <w:r>
        <w:t>À adapter selon canal 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Élément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Texte à adapter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Responsable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Vos données sont traitées par SPL OTI DU SUD, 379 Rue Hubert Delisle, 97430 Le Tampon, pour la gestion du référentiel touristique Bertel.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Finalités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Publication des informations touristiques, relation prestataires, qualité, conformité et sécurité.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Coordonnées professionnelles, informations de relation, traces d'administration et, le cas échéant, signalements.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Base légale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À préciser selon le traitement : mission publique, intérêt légitime, contrat, obligation légale ou consentement.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Destinataires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Agents habilités, administrateurs, partenaires autorisés et sous-traitants techniques. Certaines données peuvent être publiées si elles sont destinées au public.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Durée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Les données sont conservées selon une politique validée, proportionnée à la finalité.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Droits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Vous pouvez exercer vos droits auprès de David Philippe, référent RGPD, d.philippe@otisud.com. Vous pouvez aussi saisir la CNIL.</w:t>
            </w:r>
          </w:p>
        </w:tc>
      </w:tr>
    </w:tbl>
    <w:p>
      <w:pPr>
        <w:pStyle w:val="Heading1"/>
      </w:pPr>
      <w:r>
        <w:t>10. Rapport annuel DPO - indicateurs suggérés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Indicateur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Donnée attendue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Demandes de droits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Nombre, type, délai moyen, retard éventuel.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Violations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Nombre, niveau de risque, notification CNIL/personnes, actions préventives.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AIPD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Créées, revues, actions ouvertes/fermées.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Accès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Nombre d'admins, revues réalisées, comptes désactivés.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Données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purges, corrections, contacts/médias revus.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Formation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Utilisateurs formés au RGPD et aux notes CRM.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t>Sous-traitants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t>Revue DPA, transferts, incidents fournisseur.</w:t>
            </w:r>
          </w:p>
        </w:tc>
      </w:tr>
    </w:tbl>
    <w:p>
      <w:pPr>
        <w:pStyle w:val="Heading1"/>
      </w:pPr>
      <w:r>
        <w:t>Sources officielles consultées</w:t>
      </w:r>
    </w:p>
    <w:p>
      <w:pPr>
        <w:pStyle w:val="ListBullet"/>
      </w:pPr>
      <w:r>
        <w:t>CNIL - DPO : par où commencer ? https://www.cnil.fr/fr/dpo-par-ou-commencer</w:t>
      </w:r>
    </w:p>
    <w:p>
      <w:pPr>
        <w:pStyle w:val="ListBullet"/>
      </w:pPr>
      <w:r>
        <w:t>CNIL - Le registre des activités de traitement : https://cnil.fr/fr/RGPD-le-registre-des-activites-de-traitement</w:t>
      </w:r>
    </w:p>
    <w:p>
      <w:pPr>
        <w:pStyle w:val="ListBullet"/>
      </w:pPr>
      <w:r>
        <w:t>CNIL - L'analyse d'impact relative à la protection des données (AIPD) : https://www.cnil.fr/fr/RGPD-analyse-impact-protection-des-donnees-aipd</w:t>
      </w:r>
    </w:p>
    <w:p>
      <w:pPr>
        <w:pStyle w:val="ListBullet"/>
      </w:pPr>
      <w:r>
        <w:t>CNIL - Outil PIA : https://www.cnil.fr/fr/outil-pia-telechargez-et-installez-le-logiciel-de-la-cnil</w:t>
      </w:r>
    </w:p>
    <w:p>
      <w:pPr>
        <w:pStyle w:val="ListBullet"/>
      </w:pPr>
      <w:r>
        <w:t>CNIL - Les droits des personnes sur leurs données : https://www.cnil.fr/fr/passer-laction/les-droits-des-personnes-sur-leurs-donnees</w:t>
      </w:r>
    </w:p>
    <w:p>
      <w:pPr>
        <w:pStyle w:val="ListBullet"/>
      </w:pPr>
      <w:r>
        <w:t>CNIL - Violations de données personnelles : les règles à suivre : https://www.cnil.fr/fr/violations-de-donnees-personnelles-les-regles-suivre</w:t>
      </w:r>
    </w:p>
    <w:p>
      <w:pPr>
        <w:pStyle w:val="ListBullet"/>
      </w:pPr>
      <w:r>
        <w:t>CNIL - Guide pratique RGPD pour les DPO : https://www.cnil.fr/sites/default/files/atoms/files/guide_pratique_rgpd_-_delegues_a_la_protection_des_donnees.pdf</w:t>
      </w:r>
    </w:p>
    <w:p>
      <w:pPr>
        <w:pStyle w:val="Heading1"/>
      </w:pPr>
      <w:r>
        <w:t>Sources projet utilisées</w:t>
      </w:r>
    </w:p>
    <w:p>
      <w:pPr>
        <w:pStyle w:val="ListBullet"/>
      </w:pPr>
      <w:r>
        <w:rPr>
          <w:rFonts w:ascii="Consolas" w:hAnsi="Consolas"/>
          <w:sz w:val="19"/>
        </w:rPr>
        <w:t>README.md</w:t>
      </w:r>
      <w:r>
        <w:t xml:space="preserve"> : positionnement Bertel, stack Next.js + Supabase/PostgreSQL, API et documentation.</w:t>
      </w:r>
    </w:p>
    <w:p>
      <w:pPr>
        <w:pStyle w:val="ListBullet"/>
      </w:pPr>
      <w:r>
        <w:rPr>
          <w:rFonts w:ascii="Consolas" w:hAnsi="Consolas"/>
          <w:sz w:val="19"/>
        </w:rPr>
        <w:t>ARCHITECTURE.md</w:t>
      </w:r>
      <w:r>
        <w:t xml:space="preserve"> et </w:t>
      </w:r>
      <w:r>
        <w:rPr>
          <w:rFonts w:ascii="Consolas" w:hAnsi="Consolas"/>
          <w:sz w:val="19"/>
        </w:rPr>
        <w:t>docs/architecture/bertel-object-workspace-canonical-map.md</w:t>
      </w:r>
      <w:r>
        <w:t xml:space="preserve"> : carte fonctionnelle du workspace objet.</w:t>
      </w:r>
    </w:p>
    <w:p>
      <w:pPr>
        <w:pStyle w:val="ListBullet"/>
      </w:pPr>
      <w:r>
        <w:rPr>
          <w:rFonts w:ascii="Consolas" w:hAnsi="Consolas"/>
          <w:sz w:val="19"/>
        </w:rPr>
        <w:t>docs/architecture/OBJECT_DATA_DICTIONARY.md</w:t>
      </w:r>
      <w:r>
        <w:t xml:space="preserve"> : dictionnaire des données objet, contacts, médias, CRM, incidents, juridique, RLS et audit.</w:t>
      </w:r>
    </w:p>
    <w:p>
      <w:pPr>
        <w:pStyle w:val="ListBullet"/>
      </w:pPr>
      <w:r>
        <w:rPr>
          <w:rFonts w:ascii="Consolas" w:hAnsi="Consolas"/>
          <w:sz w:val="19"/>
        </w:rPr>
        <w:t>db-graph-out/DB_AGENT_INDEX.md</w:t>
      </w:r>
      <w:r>
        <w:t xml:space="preserve">, </w:t>
      </w:r>
      <w:r>
        <w:rPr>
          <w:rFonts w:ascii="Consolas" w:hAnsi="Consolas"/>
          <w:sz w:val="19"/>
        </w:rPr>
        <w:t>FUNCTIONS.md</w:t>
      </w:r>
      <w:r>
        <w:t xml:space="preserve">, </w:t>
      </w:r>
      <w:r>
        <w:rPr>
          <w:rFonts w:ascii="Consolas" w:hAnsi="Consolas"/>
          <w:sz w:val="19"/>
        </w:rPr>
        <w:t>POLICIES.md</w:t>
      </w:r>
      <w:r>
        <w:t xml:space="preserve">, </w:t>
      </w:r>
      <w:r>
        <w:rPr>
          <w:rFonts w:ascii="Consolas" w:hAnsi="Consolas"/>
          <w:sz w:val="19"/>
        </w:rPr>
        <w:t>TYPES.md</w:t>
      </w:r>
      <w:r>
        <w:t xml:space="preserve"> : cartographie DB, RPC, politiques RLS et enums.</w:t>
      </w:r>
    </w:p>
    <w:p>
      <w:pPr>
        <w:pStyle w:val="ListBullet"/>
      </w:pPr>
      <w:r>
        <w:rPr>
          <w:rFonts w:ascii="Consolas" w:hAnsi="Consolas"/>
          <w:sz w:val="19"/>
        </w:rPr>
        <w:t>dbdoc/*.md</w:t>
      </w:r>
      <w:r>
        <w:t xml:space="preserve"> : fiches de tables sensibles (</w:t>
      </w:r>
      <w:r>
        <w:rPr>
          <w:rFonts w:ascii="Consolas" w:hAnsi="Consolas"/>
          <w:sz w:val="19"/>
        </w:rPr>
        <w:t>auth.users</w:t>
      </w:r>
      <w:r>
        <w:t xml:space="preserve">, </w:t>
      </w:r>
      <w:r>
        <w:rPr>
          <w:rFonts w:ascii="Consolas" w:hAnsi="Consolas"/>
          <w:sz w:val="19"/>
        </w:rPr>
        <w:t>app_user_profile</w:t>
      </w:r>
      <w:r>
        <w:t xml:space="preserve">, </w:t>
      </w:r>
      <w:r>
        <w:rPr>
          <w:rFonts w:ascii="Consolas" w:hAnsi="Consolas"/>
          <w:sz w:val="19"/>
        </w:rPr>
        <w:t>actor</w:t>
      </w:r>
      <w:r>
        <w:t xml:space="preserve">, </w:t>
      </w:r>
      <w:r>
        <w:rPr>
          <w:rFonts w:ascii="Consolas" w:hAnsi="Consolas"/>
          <w:sz w:val="19"/>
        </w:rPr>
        <w:t>actor_channel</w:t>
      </w:r>
      <w:r>
        <w:t xml:space="preserve">, </w:t>
      </w:r>
      <w:r>
        <w:rPr>
          <w:rFonts w:ascii="Consolas" w:hAnsi="Consolas"/>
          <w:sz w:val="19"/>
        </w:rPr>
        <w:t>actor_consent</w:t>
      </w:r>
      <w:r>
        <w:t xml:space="preserve">, </w:t>
      </w:r>
      <w:r>
        <w:rPr>
          <w:rFonts w:ascii="Consolas" w:hAnsi="Consolas"/>
          <w:sz w:val="19"/>
        </w:rPr>
        <w:t>contact_channel</w:t>
      </w:r>
      <w:r>
        <w:t xml:space="preserve">, </w:t>
      </w:r>
      <w:r>
        <w:rPr>
          <w:rFonts w:ascii="Consolas" w:hAnsi="Consolas"/>
          <w:sz w:val="19"/>
        </w:rPr>
        <w:t>object_private_description</w:t>
      </w:r>
      <w:r>
        <w:t xml:space="preserve">, </w:t>
      </w:r>
      <w:r>
        <w:rPr>
          <w:rFonts w:ascii="Consolas" w:hAnsi="Consolas"/>
          <w:sz w:val="19"/>
        </w:rPr>
        <w:t>crm_interaction</w:t>
      </w:r>
      <w:r>
        <w:t xml:space="preserve">, </w:t>
      </w:r>
      <w:r>
        <w:rPr>
          <w:rFonts w:ascii="Consolas" w:hAnsi="Consolas"/>
          <w:sz w:val="19"/>
        </w:rPr>
        <w:t>crm_task</w:t>
      </w:r>
      <w:r>
        <w:t xml:space="preserve">, </w:t>
      </w:r>
      <w:r>
        <w:rPr>
          <w:rFonts w:ascii="Consolas" w:hAnsi="Consolas"/>
          <w:sz w:val="19"/>
        </w:rPr>
        <w:t>incident_report</w:t>
      </w:r>
      <w:r>
        <w:t xml:space="preserve">, </w:t>
      </w:r>
      <w:r>
        <w:rPr>
          <w:rFonts w:ascii="Consolas" w:hAnsi="Consolas"/>
          <w:sz w:val="19"/>
        </w:rPr>
        <w:t>media</w:t>
      </w:r>
      <w:r>
        <w:t xml:space="preserve">, </w:t>
      </w:r>
      <w:r>
        <w:rPr>
          <w:rFonts w:ascii="Consolas" w:hAnsi="Consolas"/>
          <w:sz w:val="19"/>
        </w:rPr>
        <w:t>object_legal</w:t>
      </w:r>
      <w:r>
        <w:t xml:space="preserve">, </w:t>
      </w:r>
      <w:r>
        <w:rPr>
          <w:rFonts w:ascii="Consolas" w:hAnsi="Consolas"/>
          <w:sz w:val="19"/>
        </w:rPr>
        <w:t>audit.audit_log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bertel-tourism-ui/src/views/*</w:t>
      </w:r>
      <w:r>
        <w:t xml:space="preserve"> et </w:t>
      </w:r>
      <w:r>
        <w:rPr>
          <w:rFonts w:ascii="Consolas" w:hAnsi="Consolas"/>
          <w:sz w:val="19"/>
        </w:rPr>
        <w:t>bertel-tourism-ui/src/services/*</w:t>
      </w:r>
      <w:r>
        <w:t xml:space="preserve"> : parcours UI, authentification, RBAC, CRM, modération, audits, médias.</w:t>
      </w:r>
    </w:p>
    <w:p>
      <w:pPr>
        <w:pStyle w:val="Heading1"/>
      </w:pPr>
      <w:r>
        <w:t>Sources internes transposées depuis le dossier badgeuse</w:t>
      </w:r>
    </w:p>
    <w:p>
      <w:pPr>
        <w:pStyle w:val="ListBullet"/>
      </w:pPr>
      <w:r>
        <w:rPr>
          <w:rFonts w:ascii="Consolas" w:hAnsi="Consolas"/>
          <w:sz w:val="19"/>
        </w:rPr>
        <w:t>C:\Users\dphil\Downloads\Manuel_Utilisateur_Badgeuse_OTI (7).pdf</w:t>
      </w:r>
      <w:r>
        <w:t xml:space="preserve"> : modèle de manuel utilisateur interne OTI.</w:t>
      </w:r>
    </w:p>
    <w:p>
      <w:pPr>
        <w:pStyle w:val="ListBullet"/>
      </w:pPr>
      <w:r>
        <w:rPr>
          <w:rFonts w:ascii="Consolas" w:hAnsi="Consolas"/>
          <w:sz w:val="19"/>
        </w:rPr>
        <w:t>C:\Users\dphil\Downloads\Reglement_RGPD_Badgeuse_OTISUD (3).pdf</w:t>
      </w:r>
      <w:r>
        <w:t xml:space="preserve"> : identité SPL OTI DU SUD, référent RGPD, hébergement OVH France, absence de transfert hors UE et mesures de sécurité.</w:t>
      </w:r>
    </w:p>
    <w:p>
      <w:pPr>
        <w:pStyle w:val="ListBullet"/>
      </w:pPr>
      <w:r>
        <w:rPr>
          <w:rFonts w:ascii="Consolas" w:hAnsi="Consolas"/>
          <w:sz w:val="19"/>
        </w:rPr>
        <w:t>C:\Users\dphil\Downloads\DPIA_Badgeuse_OTISUD (3).pdf</w:t>
      </w:r>
      <w:r>
        <w:t xml:space="preserve"> : modèle d'analyse proportionnée, risque résiduel faible, Supabase/PostgreSQL, HTTPS, RLS et logs administratifs.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Bertel - Pack RGPD/DPO - 13 juin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Procédures DPO opérationnelles - Bertel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