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0B2545"/>
          <w:sz w:val="48"/>
        </w:rPr>
        <w:t>Pack documentaire RGPD/DPO Bertel</w:t>
      </w:r>
    </w:p>
    <w:p>
      <w:pPr>
        <w:spacing w:after="280"/>
      </w:pPr>
      <w:r>
        <w:rPr>
          <w:color w:val="4B5563"/>
          <w:sz w:val="24"/>
        </w:rPr>
        <w:t>Index des documents, sources et points à valider</w:t>
      </w:r>
    </w:p>
    <w:p>
      <w:r>
        <w:t>Version : 13 juin 2026</w:t>
      </w:r>
    </w:p>
    <w:p>
      <w:pPr>
        <w:pStyle w:val="Heading1"/>
      </w:pPr>
      <w:r>
        <w:t>Livrables</w:t>
      </w:r>
    </w:p>
    <w:p>
      <w:pPr>
        <w:pStyle w:val="ListBullet"/>
      </w:pPr>
      <w:r>
        <w:rPr>
          <w:rFonts w:ascii="Consolas" w:hAnsi="Consolas"/>
          <w:sz w:val="19"/>
        </w:rPr>
        <w:t>01_Manuel_utilisateur_Bertel.md</w:t>
      </w:r>
      <w:r>
        <w:t xml:space="preserve"> + </w:t>
      </w:r>
      <w:r>
        <w:rPr>
          <w:rFonts w:ascii="Consolas" w:hAnsi="Consolas"/>
          <w:sz w:val="19"/>
        </w:rPr>
        <w:t>livrables/01_Manuel_utilisateur_Bertel.docx</w:t>
      </w:r>
      <w:r>
        <w:t xml:space="preserve"> : Parcours métier, rôles, bonnes pratiques RGPD et exploitation quotidienne</w:t>
      </w:r>
    </w:p>
    <w:p>
      <w:pPr>
        <w:pStyle w:val="ListBullet"/>
      </w:pPr>
      <w:r>
        <w:rPr>
          <w:rFonts w:ascii="Consolas" w:hAnsi="Consolas"/>
          <w:sz w:val="19"/>
        </w:rPr>
        <w:t>02_Reglement_interne_RGPD_DPO_Bertel.md</w:t>
      </w:r>
      <w:r>
        <w:t xml:space="preserve"> + </w:t>
      </w:r>
      <w:r>
        <w:rPr>
          <w:rFonts w:ascii="Consolas" w:hAnsi="Consolas"/>
          <w:sz w:val="19"/>
        </w:rPr>
        <w:t>livrables/02_Reglement_interne_RGPD_DPO_Bertel.docx</w:t>
      </w:r>
      <w:r>
        <w:t xml:space="preserve"> : Règles d'utilisation, responsabilités, contrôles et preuves de conformité pour Bertel</w:t>
      </w:r>
    </w:p>
    <w:p>
      <w:pPr>
        <w:pStyle w:val="ListBullet"/>
      </w:pPr>
      <w:r>
        <w:rPr>
          <w:rFonts w:ascii="Consolas" w:hAnsi="Consolas"/>
          <w:sz w:val="19"/>
        </w:rPr>
        <w:t>03_Registre_traitements_RGPD_Bertel.md</w:t>
      </w:r>
      <w:r>
        <w:t xml:space="preserve"> + </w:t>
      </w:r>
      <w:r>
        <w:rPr>
          <w:rFonts w:ascii="Consolas" w:hAnsi="Consolas"/>
          <w:sz w:val="19"/>
        </w:rPr>
        <w:t>livrables/03_Registre_traitements_RGPD_Bertel.docx</w:t>
      </w:r>
      <w:r>
        <w:t xml:space="preserve"> : Fiches de traitements à valider au titre de l'article 30 du RGPD</w:t>
      </w:r>
    </w:p>
    <w:p>
      <w:pPr>
        <w:pStyle w:val="ListBullet"/>
      </w:pPr>
      <w:r>
        <w:rPr>
          <w:rFonts w:ascii="Consolas" w:hAnsi="Consolas"/>
          <w:sz w:val="19"/>
        </w:rPr>
        <w:t>04_AIPD_Bertel.md</w:t>
      </w:r>
      <w:r>
        <w:t xml:space="preserve"> + </w:t>
      </w:r>
      <w:r>
        <w:rPr>
          <w:rFonts w:ascii="Consolas" w:hAnsi="Consolas"/>
          <w:sz w:val="19"/>
        </w:rPr>
        <w:t>livrables/04_AIPD_Bertel.docx</w:t>
      </w:r>
      <w:r>
        <w:t xml:space="preserve"> : AIPD de précaution centrée sur la distinction données publiques / données internes</w:t>
      </w:r>
    </w:p>
    <w:p>
      <w:pPr>
        <w:pStyle w:val="ListBullet"/>
      </w:pPr>
      <w:r>
        <w:rPr>
          <w:rFonts w:ascii="Consolas" w:hAnsi="Consolas"/>
          <w:sz w:val="19"/>
        </w:rPr>
        <w:t>05_Procedures_DPO_Bertel.md</w:t>
      </w:r>
      <w:r>
        <w:t xml:space="preserve"> + </w:t>
      </w:r>
      <w:r>
        <w:rPr>
          <w:rFonts w:ascii="Consolas" w:hAnsi="Consolas"/>
          <w:sz w:val="19"/>
        </w:rPr>
        <w:t>livrables/05_Procedures_DPO_Bertel.docx</w:t>
      </w:r>
      <w:r>
        <w:t xml:space="preserve"> : Demandes de droits, violations, registre, AIPD, accès, conservation et contrôles</w:t>
      </w:r>
    </w:p>
    <w:p>
      <w:pPr>
        <w:pStyle w:val="Heading1"/>
      </w:pPr>
      <w:r>
        <w:t>À valider par le DPO</w:t>
      </w:r>
    </w:p>
    <w:p>
      <w:pPr>
        <w:pStyle w:val="ListBullet"/>
      </w:pPr>
      <w:r>
        <w:t>confirmation que SPL OTI DU SUD et le référent RGPD repris du dossier badgeuse s'appliquent bien à Bertel ;</w:t>
      </w:r>
    </w:p>
    <w:p>
      <w:pPr>
        <w:pStyle w:val="ListBullet"/>
      </w:pPr>
      <w:r>
        <w:t>bases légales par traitement ;</w:t>
      </w:r>
    </w:p>
    <w:p>
      <w:pPr>
        <w:pStyle w:val="ListBullet"/>
      </w:pPr>
      <w:r>
        <w:t>durées de conservation, surtout CRM, notes, imports et logs ;</w:t>
      </w:r>
    </w:p>
    <w:p>
      <w:pPr>
        <w:pStyle w:val="ListBullet"/>
      </w:pPr>
      <w:r>
        <w:t>sous-traitants, transferts et contrats, notamment confirmation de l'hébergement effectif Bertel ;</w:t>
      </w:r>
    </w:p>
    <w:p>
      <w:pPr>
        <w:pStyle w:val="ListBullet"/>
      </w:pPr>
      <w:r>
        <w:t>niveau de risque résiduel de l'AIPD, a priori faible à moyen si les mesures sont appliquées ;</w:t>
      </w:r>
    </w:p>
    <w:p>
      <w:pPr>
        <w:pStyle w:val="ListBullet"/>
      </w:pPr>
      <w:r>
        <w:t>mentions d'information et canal d'exercice des droits.</w:t>
      </w:r>
    </w:p>
    <w:p>
      <w:pPr>
        <w:pStyle w:val="Heading1"/>
      </w:pPr>
      <w:r>
        <w:t>Sources officielles consultées</w:t>
      </w:r>
    </w:p>
    <w:p>
      <w:pPr>
        <w:pStyle w:val="ListBullet"/>
      </w:pPr>
      <w:r>
        <w:t>CNIL - DPO : par où commencer ? https://www.cnil.fr/fr/dpo-par-ou-commencer</w:t>
      </w:r>
    </w:p>
    <w:p>
      <w:pPr>
        <w:pStyle w:val="ListBullet"/>
      </w:pPr>
      <w:r>
        <w:t>CNIL - Le registre des activités de traitement : https://cnil.fr/fr/RGPD-le-registre-des-activites-de-traitement</w:t>
      </w:r>
    </w:p>
    <w:p>
      <w:pPr>
        <w:pStyle w:val="ListBullet"/>
      </w:pPr>
      <w:r>
        <w:t>CNIL - L'analyse d'impact relative à la protection des données (AIPD) : https://www.cnil.fr/fr/RGPD-analyse-impact-protection-des-donnees-aipd</w:t>
      </w:r>
    </w:p>
    <w:p>
      <w:pPr>
        <w:pStyle w:val="ListBullet"/>
      </w:pPr>
      <w:r>
        <w:t>CNIL - Outil PIA : https://www.cnil.fr/fr/outil-pia-telechargez-et-installez-le-logiciel-de-la-cnil</w:t>
      </w:r>
    </w:p>
    <w:p>
      <w:pPr>
        <w:pStyle w:val="ListBullet"/>
      </w:pPr>
      <w:r>
        <w:t>CNIL - Les droits des personnes sur leurs données : https://www.cnil.fr/fr/passer-laction/les-droits-des-personnes-sur-leurs-donnees</w:t>
      </w:r>
    </w:p>
    <w:p>
      <w:pPr>
        <w:pStyle w:val="ListBullet"/>
      </w:pPr>
      <w:r>
        <w:t>CNIL - Violations de données personnelles : les règles à suivre : https://www.cnil.fr/fr/violations-de-donnees-personnelles-les-regles-suivre</w:t>
      </w:r>
    </w:p>
    <w:p>
      <w:pPr>
        <w:pStyle w:val="ListBullet"/>
      </w:pPr>
      <w:r>
        <w:t>CNIL - Guide pratique RGPD pour les DPO : https://www.cnil.fr/sites/default/files/atoms/files/guide_pratique_rgpd_-_delegues_a_la_protection_des_donnees.pdf</w:t>
      </w:r>
    </w:p>
    <w:p>
      <w:pPr>
        <w:pStyle w:val="Heading1"/>
      </w:pPr>
      <w:r>
        <w:t>Sources projet utilisées</w:t>
      </w:r>
    </w:p>
    <w:p>
      <w:pPr>
        <w:pStyle w:val="ListBullet"/>
      </w:pPr>
      <w:r>
        <w:rPr>
          <w:rFonts w:ascii="Consolas" w:hAnsi="Consolas"/>
          <w:sz w:val="19"/>
        </w:rPr>
        <w:t>README.md</w:t>
      </w:r>
      <w:r>
        <w:t xml:space="preserve"> : positionnement Bertel, stack Next.js + Supabase/PostgreSQL, API et documentation.</w:t>
      </w:r>
    </w:p>
    <w:p>
      <w:pPr>
        <w:pStyle w:val="ListBullet"/>
      </w:pPr>
      <w:r>
        <w:rPr>
          <w:rFonts w:ascii="Consolas" w:hAnsi="Consolas"/>
          <w:sz w:val="19"/>
        </w:rPr>
        <w:t>ARCHITECTURE.md</w:t>
      </w:r>
      <w:r>
        <w:t xml:space="preserve"> et </w:t>
      </w:r>
      <w:r>
        <w:rPr>
          <w:rFonts w:ascii="Consolas" w:hAnsi="Consolas"/>
          <w:sz w:val="19"/>
        </w:rPr>
        <w:t>docs/architecture/bertel-object-workspace-canonical-map.md</w:t>
      </w:r>
      <w:r>
        <w:t xml:space="preserve"> : carte fonctionnelle du workspace objet.</w:t>
      </w:r>
    </w:p>
    <w:p>
      <w:pPr>
        <w:pStyle w:val="ListBullet"/>
      </w:pPr>
      <w:r>
        <w:rPr>
          <w:rFonts w:ascii="Consolas" w:hAnsi="Consolas"/>
          <w:sz w:val="19"/>
        </w:rPr>
        <w:t>docs/architecture/OBJECT_DATA_DICTIONARY.md</w:t>
      </w:r>
      <w:r>
        <w:t xml:space="preserve"> : dictionnaire des données objet, contacts, médias, CRM, incidents, juridique, RLS et audit.</w:t>
      </w:r>
    </w:p>
    <w:p>
      <w:pPr>
        <w:pStyle w:val="ListBullet"/>
      </w:pPr>
      <w:r>
        <w:rPr>
          <w:rFonts w:ascii="Consolas" w:hAnsi="Consolas"/>
          <w:sz w:val="19"/>
        </w:rPr>
        <w:t>db-graph-out/DB_AGENT_INDEX.md</w:t>
      </w:r>
      <w:r>
        <w:t xml:space="preserve">, </w:t>
      </w:r>
      <w:r>
        <w:rPr>
          <w:rFonts w:ascii="Consolas" w:hAnsi="Consolas"/>
          <w:sz w:val="19"/>
        </w:rPr>
        <w:t>FUNCTIONS.md</w:t>
      </w:r>
      <w:r>
        <w:t xml:space="preserve">, </w:t>
      </w:r>
      <w:r>
        <w:rPr>
          <w:rFonts w:ascii="Consolas" w:hAnsi="Consolas"/>
          <w:sz w:val="19"/>
        </w:rPr>
        <w:t>POLICIES.md</w:t>
      </w:r>
      <w:r>
        <w:t xml:space="preserve">, </w:t>
      </w:r>
      <w:r>
        <w:rPr>
          <w:rFonts w:ascii="Consolas" w:hAnsi="Consolas"/>
          <w:sz w:val="19"/>
        </w:rPr>
        <w:t>TYPES.md</w:t>
      </w:r>
      <w:r>
        <w:t xml:space="preserve"> : cartographie DB, RPC, politiques RLS et enums.</w:t>
      </w:r>
    </w:p>
    <w:p>
      <w:pPr>
        <w:pStyle w:val="ListBullet"/>
      </w:pPr>
      <w:r>
        <w:rPr>
          <w:rFonts w:ascii="Consolas" w:hAnsi="Consolas"/>
          <w:sz w:val="19"/>
        </w:rPr>
        <w:t>dbdoc/*.md</w:t>
      </w:r>
      <w:r>
        <w:t xml:space="preserve"> : fiches de tables sensibles (</w:t>
      </w:r>
      <w:r>
        <w:rPr>
          <w:rFonts w:ascii="Consolas" w:hAnsi="Consolas"/>
          <w:sz w:val="19"/>
        </w:rPr>
        <w:t>auth.users</w:t>
      </w:r>
      <w:r>
        <w:t xml:space="preserve">, </w:t>
      </w:r>
      <w:r>
        <w:rPr>
          <w:rFonts w:ascii="Consolas" w:hAnsi="Consolas"/>
          <w:sz w:val="19"/>
        </w:rPr>
        <w:t>app_user_profile</w:t>
      </w:r>
      <w:r>
        <w:t xml:space="preserve">, </w:t>
      </w:r>
      <w:r>
        <w:rPr>
          <w:rFonts w:ascii="Consolas" w:hAnsi="Consolas"/>
          <w:sz w:val="19"/>
        </w:rPr>
        <w:t>actor</w:t>
      </w:r>
      <w:r>
        <w:t xml:space="preserve">, </w:t>
      </w:r>
      <w:r>
        <w:rPr>
          <w:rFonts w:ascii="Consolas" w:hAnsi="Consolas"/>
          <w:sz w:val="19"/>
        </w:rPr>
        <w:t>actor_channel</w:t>
      </w:r>
      <w:r>
        <w:t xml:space="preserve">, </w:t>
      </w:r>
      <w:r>
        <w:rPr>
          <w:rFonts w:ascii="Consolas" w:hAnsi="Consolas"/>
          <w:sz w:val="19"/>
        </w:rPr>
        <w:t>actor_consent</w:t>
      </w:r>
      <w:r>
        <w:t xml:space="preserve">, </w:t>
      </w:r>
      <w:r>
        <w:rPr>
          <w:rFonts w:ascii="Consolas" w:hAnsi="Consolas"/>
          <w:sz w:val="19"/>
        </w:rPr>
        <w:t>contact_channel</w:t>
      </w:r>
      <w:r>
        <w:t xml:space="preserve">, </w:t>
      </w:r>
      <w:r>
        <w:rPr>
          <w:rFonts w:ascii="Consolas" w:hAnsi="Consolas"/>
          <w:sz w:val="19"/>
        </w:rPr>
        <w:t>object_private_description</w:t>
      </w:r>
      <w:r>
        <w:t xml:space="preserve">, </w:t>
      </w:r>
      <w:r>
        <w:rPr>
          <w:rFonts w:ascii="Consolas" w:hAnsi="Consolas"/>
          <w:sz w:val="19"/>
        </w:rPr>
        <w:t>crm_interaction</w:t>
      </w:r>
      <w:r>
        <w:t xml:space="preserve">, </w:t>
      </w:r>
      <w:r>
        <w:rPr>
          <w:rFonts w:ascii="Consolas" w:hAnsi="Consolas"/>
          <w:sz w:val="19"/>
        </w:rPr>
        <w:t>crm_task</w:t>
      </w:r>
      <w:r>
        <w:t xml:space="preserve">, </w:t>
      </w:r>
      <w:r>
        <w:rPr>
          <w:rFonts w:ascii="Consolas" w:hAnsi="Consolas"/>
          <w:sz w:val="19"/>
        </w:rPr>
        <w:t>incident_report</w:t>
      </w:r>
      <w:r>
        <w:t xml:space="preserve">, </w:t>
      </w:r>
      <w:r>
        <w:rPr>
          <w:rFonts w:ascii="Consolas" w:hAnsi="Consolas"/>
          <w:sz w:val="19"/>
        </w:rPr>
        <w:t>media</w:t>
      </w:r>
      <w:r>
        <w:t xml:space="preserve">, </w:t>
      </w:r>
      <w:r>
        <w:rPr>
          <w:rFonts w:ascii="Consolas" w:hAnsi="Consolas"/>
          <w:sz w:val="19"/>
        </w:rPr>
        <w:t>object_legal</w:t>
      </w:r>
      <w:r>
        <w:t xml:space="preserve">, </w:t>
      </w:r>
      <w:r>
        <w:rPr>
          <w:rFonts w:ascii="Consolas" w:hAnsi="Consolas"/>
          <w:sz w:val="19"/>
        </w:rPr>
        <w:t>audit.audit_log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bertel-tourism-ui/src/views/*</w:t>
      </w:r>
      <w:r>
        <w:t xml:space="preserve"> et </w:t>
      </w:r>
      <w:r>
        <w:rPr>
          <w:rFonts w:ascii="Consolas" w:hAnsi="Consolas"/>
          <w:sz w:val="19"/>
        </w:rPr>
        <w:t>bertel-tourism-ui/src/services/*</w:t>
      </w:r>
      <w:r>
        <w:t xml:space="preserve"> : parcours UI, authentification, RBAC, CRM, modération, audits, médias.</w:t>
      </w:r>
    </w:p>
    <w:p>
      <w:pPr>
        <w:pStyle w:val="Heading1"/>
      </w:pPr>
      <w:r>
        <w:t>Sources internes transposées depuis le dossier badgeuse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C:\Users\dphil\Downloads\Manuel_Utilisateur_Badgeuse_OTI (7).pdf</w:t>
      </w:r>
      <w:r>
        <w:t xml:space="preserve"> : modèle de manuel utilisateur interne OTI.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C:\Users\dphil\Downloads\Reglement_RGPD_Badgeuse_OTISUD (3).pdf</w:t>
      </w:r>
      <w:r>
        <w:t xml:space="preserve"> : identité SPL OTI DU SUD, référent RGPD, hébergement OVH France, absence de transfert hors UE et mesures de sécurité.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C:\Users\dphil\Downloads\DPIA_Badgeuse_OTISUD (3).pdf</w:t>
      </w:r>
      <w:r>
        <w:t xml:space="preserve"> : modèle d'analyse proportionnée, risque résiduel faible, Supabase/PostgreSQL, HTTPS, RLS et logs administratifs.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Bertel - Pack RGPD/DPO - 13 juin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Pack documentaire RGPD/DPO Bertel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