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color w:val="0B2545"/>
          <w:sz w:val="48"/>
        </w:rPr>
        <w:t>Registre des traitements RGPD - Bertel</w:t>
      </w:r>
    </w:p>
    <w:p>
      <w:pPr>
        <w:spacing w:after="280"/>
      </w:pPr>
      <w:r>
        <w:rPr>
          <w:color w:val="4B5563"/>
          <w:sz w:val="24"/>
        </w:rPr>
        <w:t>Fiches de traitements à valider au titre de l'article 30 du RGPD</w:t>
      </w:r>
    </w:p>
    <w:p>
      <w:r>
        <w:t>Fiches de traitements à valider au titre de l'article 30 du RGPD</w:t>
      </w:r>
    </w:p>
    <w:p>
      <w:pPr>
        <w:spacing w:before="80" w:after="160"/>
        <w:ind w:left="216" w:right="216"/>
        <w:shd w:fill="F4F6F9"/>
      </w:pPr>
      <w:r>
        <w:t>Statut : registre initial dérivé du code, du schéma, de la documentation projet et du dossier badgeuse OTI SUD. Version : 13 juin 2026. Les informations organisationnelles sont préremplies ; durées, bases légales et sous-traitants effectifs restent à valider.</w:t>
      </w:r>
    </w:p>
    <w:p>
      <w:pPr>
        <w:pStyle w:val="Heading1"/>
      </w:pPr>
      <w:r>
        <w:t>1. Mode d'emploi</w:t>
      </w:r>
    </w:p>
    <w:p>
      <w:r>
        <w:t>Ce registre recense les traitements identifiés dans Bertel. Il doit être conservé par le responsable de traitement ou son DPO, mis à jour après chaque évolution significative et rapproché des politiques de conservation, contrats de sous-traitance, AIPD et procédures de sécurité.</w:t>
      </w:r>
    </w:p>
    <w:p>
      <w:pPr>
        <w:pStyle w:val="Heading1"/>
      </w:pPr>
      <w:r>
        <w:t>2. Informations communes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Élément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Valeur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Responsable de traitement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SPL OTI DU SUD - 379 Rue Hubert Delisle, 97430 Le Tampon - SIREN 882 699 556.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DPO / point de contact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David Philippe - Manager SI - d.philippe@otisud.com - 06 93 41 92 91.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Hébergement principal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Supabase/PostgreSQL et hébergement de référence OVH France ; architecture Bertel à confirmer si différente.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Zone géographique cible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La Réunion / France / UE ; aucun transfert hors UE identifié dans le dossier badgeuse.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Personnes concernées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Utilisateurs internes, prestataires touristiques, contacts d'organisations, déclarants d'incident, administrateurs, contributeurs.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Mesures transverses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Authentification, RBAC, RLS PostgreSQL, audit log, versioning, modération, séparation public/interne, sauvegardes et supervision à documenter.</w:t>
            </w:r>
          </w:p>
        </w:tc>
      </w:tr>
    </w:tbl>
    <w:p>
      <w:pPr>
        <w:pStyle w:val="Heading1"/>
      </w:pPr>
      <w:r>
        <w:t>Posture données Bertel</w:t>
      </w:r>
    </w:p>
    <w:p>
      <w:r>
        <w:t>En l'état du périmètre décrit, environ 95 % des informations stockées dans Bertel sont publiques ou destinées à être publiées : fiches touristiques, descriptions, horaires, coordonnées professionnelles d'établissement, médias de promotion, classifications, tarifs, équipements et statuts de publication. Le risque RGPD principal ne vient donc pas du référentiel public lui-même, mais des zones internes : interactions entre l'office de tourisme et les prestataires, notes CRM, tâches, historiques de relation, coordonnées personnelles lorsqu'elles diffèrent des coordonnées publiques ou professionnelles, et erreurs de publication accidentelles.</w:t>
      </w:r>
    </w:p>
    <w:p>
      <w:pPr>
        <w:pStyle w:val="Heading1"/>
      </w:pPr>
      <w:r>
        <w:t>3. Traitement T1 - Authentification, session et profil utilisateur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Rubrique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Finalité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Permettre la connexion, l'identification, la personnalisation et le contrôle d'accès.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Données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Email, identifiant utilisateur, nom d'affichage, avatar, locale, fuseau horaire, rôle, préférences, session, MFA éventuel.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Tables / services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auth.users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auth.sessions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auth.identities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app_user_profile</w:t>
            </w:r>
            <w:r>
              <w:t>, Supabase Auth, Google OAuth si activé.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Personnes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Agents, administrateurs, utilisateurs autorisés.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Base légale candidate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Exécution de la mission ou contrat utilisateur ; intérêt légitime de sécurité ; à valider.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Accès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Utilisateur concerné, admins habilités, service technique.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Conservation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définir : compte actif, puis durée courte ou archivage limité après départ.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Risques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Compte usurpé, droit excessif, maintien de compte inactif.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Mesures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Comptes nominatifs, désactivation, revue périodique des droits, politique mot de passe/OAuth, logs.</w:t>
            </w:r>
          </w:p>
        </w:tc>
      </w:tr>
    </w:tbl>
    <w:p>
      <w:pPr>
        <w:pStyle w:val="Heading1"/>
      </w:pPr>
      <w:r>
        <w:t>4. Traitement T2 - Gestion des organisations, rôles et permissions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Rubrique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Finalité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Gérer les équipes, rattachements ORG, rôles métier/admin et permissions.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Données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Identifiants utilisateurs, email, organisation active, rôles, rang admin, permissions, statut actif.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Tables / services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user_org_membership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user_org_business_role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user_org_admin_role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org_permission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user_permission</w:t>
            </w:r>
            <w:r>
              <w:t>, RPC RBAC.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Personnes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Membres des offices/organisations et administrateurs.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Base légale candidate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Gestion interne et sécurité ; à valider.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Accès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Administrateurs habilités, membres pour certaines informations de périmètre.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Conservation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définir : durée d'appartenance + preuve limitée.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Risques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Attribution excessive, action sur son propre rôle, accès inter-organisation.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Mesures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Rangs admin, anti-self-action, RLS, RPC contrôlées, audit log.</w:t>
            </w:r>
          </w:p>
        </w:tc>
      </w:tr>
    </w:tbl>
    <w:p>
      <w:pPr>
        <w:pStyle w:val="Heading1"/>
      </w:pPr>
      <w:r>
        <w:t>5. Traitement T3 - Référentiel touristique et publication des fiches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Rubrique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Finalité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Créer, maintenir, publier et rechercher des fiches touristiques.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Données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Noms d'établissements, descriptions, localisation, horaires, labels, tarifs, offres, classifications, statuts, versions ; données très majoritairement publiques ou publiables.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Tables / services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object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object_description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object_location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object_classification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object_taxonomy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opening_*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object_price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publication*</w:t>
            </w:r>
            <w:r>
              <w:t>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Personnes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Prestataires lorsqu'ils sont identifiables via une fiche ; utilisateurs auteurs/modérateurs.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Base légale candidate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Mission d'intérêt public ou intérêt légitime de promotion touristique ; à valider.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Accès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Public pour les données publiées, éditeurs habilités pour brouillons et données étendues.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Conservation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Tant que la fiche est utile + archive limitée ; à définir.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Risques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Données inexactes, publication d'information interne dans un champ public, rattachement erroné.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Mesures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Statuts, modération, versioning, RLS, différenciation public/interne.</w:t>
            </w:r>
          </w:p>
        </w:tc>
      </w:tr>
    </w:tbl>
    <w:p>
      <w:pPr>
        <w:pStyle w:val="Heading1"/>
      </w:pPr>
      <w:r>
        <w:t>6. Traitement T4 - Contacts publics des établissements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Rubrique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Finalité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Diffuser les coordonnées publiques utiles aux visiteurs et partenaires.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Données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Téléphone, email, site, réseaux sociaux, rôle du canal, caractère public, primaire.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Tables / services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contact_channel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ref_code_contact_kind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ref_contact_role</w:t>
            </w:r>
            <w:r>
              <w:t>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Personnes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Prestataires, contacts professionnels, établissements.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Base légale candidate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Mission publique, intérêt légitime, contrat ou consentement selon type de contact ; à valider.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Accès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 xml:space="preserve">Public si </w:t>
            </w:r>
            <w:r>
              <w:rPr>
                <w:rFonts w:ascii="Consolas" w:hAnsi="Consolas"/>
                <w:sz w:val="19"/>
              </w:rPr>
              <w:t>is_public</w:t>
            </w:r>
            <w:r>
              <w:t>; éditeurs habilités pour gestion complète.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Conservation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Tant que le contact est exact et utile ; revue périodique.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Risques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Publication d'une coordonnée personnelle ou non destinée au public, notamment si elle diffère des coordonnées professionnelles publiables.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Mesures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 xml:space="preserve">Champ </w:t>
            </w:r>
            <w:r>
              <w:rPr>
                <w:rFonts w:ascii="Consolas" w:hAnsi="Consolas"/>
                <w:sz w:val="19"/>
              </w:rPr>
              <w:t>is_public</w:t>
            </w:r>
            <w:r>
              <w:t>, contrôle éditorial, séparation contact public/contact interne, suppression/correction sur demande.</w:t>
            </w:r>
          </w:p>
        </w:tc>
      </w:tr>
    </w:tbl>
    <w:p>
      <w:pPr>
        <w:pStyle w:val="Heading1"/>
      </w:pPr>
      <w:r>
        <w:t>7. Traitement T5 - Acteurs, contacts privés et consentements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Rubrique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Finalité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Relier des personnes/acteurs à des objets ou organisations et gérer leurs canaux et consentements.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Données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Nom, prénom, nom d'affichage, canaux de contact, rôle, organisation, consentement, preuve, préférences.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Tables / services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actor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actor_channel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actor_object_role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actor_consent</w:t>
            </w:r>
            <w:r>
              <w:t>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Personnes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Prestataires, gestionnaires, guides, contacts d'organisations.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Base légale candidate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Relation professionnelle, intérêt légitime, mission publique ou consentement lorsque requis.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Accès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Acteur concerné pour certaines données, utilisateurs habilités selon objet/organisation, admins.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Conservation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Tant que la relation est active + durée de preuve consentement ; à définir.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Risques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Contact privé exposé, consentement mal qualifié, rattachement erroné. Zone sensible lorsque les coordonnées personnelles diffèrent des coordonnées publiques.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Mesures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RLS par objet/acteur, consentement dédié, séparation contact public/acteur.</w:t>
            </w:r>
          </w:p>
        </w:tc>
      </w:tr>
    </w:tbl>
    <w:p>
      <w:pPr>
        <w:pStyle w:val="Heading1"/>
      </w:pPr>
      <w:r>
        <w:t>8. Traitement T6 - Suivi relationnel CRM, notes et relances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Rubrique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Finalité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Historiser les échanges métier entre l'office de tourisme et les prestataires, demandes et relances.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Données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Interactions, canal, direction, sujet, notes, dates, propriétaire, acteur, tâches, priorité, statut.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Tables / services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crm_interaction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crm_task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object_private_description</w:t>
            </w:r>
            <w:r>
              <w:t>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Personnes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Contacts prestataires, agents, responsables de suivi.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Base légale candidate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Intérêt légitime ou mission publique de suivi relationnel ; à valider.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Accès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Interne habilité ; CRM admin/permissions selon implémentation.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Conservation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définir, par exemple 3 à 5 ans selon besoin métier.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Risques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Notes subjectives, données sensibles non nécessaires, surconservation ; zone principale de vigilance car elle documente des interactions internes non publiques.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Mesures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Règles de rédaction, accès restreint, revue/archivage, audit.</w:t>
            </w:r>
          </w:p>
        </w:tc>
      </w:tr>
    </w:tbl>
    <w:p>
      <w:pPr>
        <w:pStyle w:val="Heading1"/>
      </w:pPr>
      <w:r>
        <w:t>9. Traitement T7 - Modération, versioning et audit log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Rubrique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Finalité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Contrôler les modifications, prouver l'historique, détecter les erreurs et assurer la qualité.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Données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Auteur, avant/après, payload, date, statut, revue, snapshots, table modifiée, identifiants.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Tables / services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pending_change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object_version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audit.audit_log</w:t>
            </w:r>
            <w:r>
              <w:t>, triggers d'audit.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Personnes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Utilisateurs qui créent, modifient, approuvent ou rejettent.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Base légale candidate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Obligation de sécurité, preuve et gouvernance ; à valider.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Accès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Modérateurs, admins, service technique.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Conservation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définir selon preuve/sécurité ; accès fortement limité.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Risques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Logs trop détaillés contenant des données personnelles, accès admin trop large.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Mesures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Partitions, accès admin restreint, minimisation des champs libres, purge à définir.</w:t>
            </w:r>
          </w:p>
        </w:tc>
      </w:tr>
    </w:tbl>
    <w:p>
      <w:pPr>
        <w:pStyle w:val="Heading1"/>
      </w:pPr>
      <w:r>
        <w:t>10. Traitement T8 - Médiathèque et droits d'usage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Rubrique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Finalité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Stocker, qualifier et publier photos, vidéos, documents et visuels touristiques.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Données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URL, titre, description, crédit, dimensions, tags, visibilité, droits, analyse IA, portée objet/sous-lieu.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Tables / services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media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media_tag</w:t>
            </w:r>
            <w:r>
              <w:t>, bucket média, API d'upload, traitement image/vidéo.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Personnes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Photographes/crédits, personnes visibles incidentellement, utilisateurs uploaders.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Base légale candidate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Publication touristique, contrat/droits d'auteur, intérêt légitime ; à valider.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Accès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Public si publié, partenaires/interne selon visibilité, éditeurs habilités.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Conservation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Tant que droits valides et diffusion utile ; surveiller expiration.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Risques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Image de personne non autorisée, document administratif exposé, droits expirés.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Mesures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is_published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visibility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rights_expires_at</w:t>
            </w:r>
            <w:r>
              <w:t>, revue média, alt text.</w:t>
            </w:r>
          </w:p>
        </w:tc>
      </w:tr>
    </w:tbl>
    <w:p>
      <w:pPr>
        <w:pStyle w:val="Heading1"/>
      </w:pPr>
      <w:r>
        <w:t>11. Traitement T9 - Audits qualité et incidents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Rubrique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Finalité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Réaliser des contrôles qualité et traiter des signalements terrain.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Données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Auditeur, critères, scores, notes, incident, gravité, statut, géolocalisation, description, déclarant, email, médias.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Tables / services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audit_template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audit_criteria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audit_session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audit_result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incident_report</w:t>
            </w:r>
            <w:r>
              <w:t>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Personnes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Auditeurs, déclarants, contacts prestataires, personnes incidentellement présentes dans médias.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Base légale candidate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Mission publique, sécurité, intérêt légitime ; à valider.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Accès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Interne habilité, admins, agents terrain.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Conservation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définir selon gravité, preuve et suivi opérationnel.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Risques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Collecte excessive du déclarant, géolocalisation inutile, photo identifiante.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Mesures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Champs facultatifs pour déclarant, limitation média, procédure incident, accès restreint.</w:t>
            </w:r>
          </w:p>
        </w:tc>
      </w:tr>
    </w:tbl>
    <w:p>
      <w:pPr>
        <w:pStyle w:val="Heading1"/>
      </w:pPr>
      <w:r>
        <w:t>12. Traitement T10 - Juridique et conformité prestataires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Rubrique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Finalité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Suivre SIRET, licences, assurances, pièces et statuts de conformité.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Données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Type légal, valeur JSON, document, validité, statut, dates de demande/livraison, note.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Tables / services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object_legal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ref_legal_type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ref_document</w:t>
            </w:r>
            <w:r>
              <w:t>, RPC d'audit conformité.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Personnes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Prestataires et établissements, parfois dirigeants ou contacts selon document.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Base légale candidate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Obligation légale, mission publique, intérêt légitime de conformité ; à valider.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Accès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Interne autorisé et B2B restreint selon type ; public seulement si défini comme public.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Conservation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Selon validité et prescriptions applicables.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Risques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Pièces trop sensibles, conservation après expiration, diffusion non autorisée.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Mesures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Typage public/interne, statut, dates, revue d'expiration, RLS.</w:t>
            </w:r>
          </w:p>
        </w:tc>
      </w:tr>
    </w:tbl>
    <w:p>
      <w:pPr>
        <w:pStyle w:val="Heading1"/>
      </w:pPr>
      <w:r>
        <w:t>13. Traitement T11 - Imports, migration et rapprochement de données historiques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Rubrique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Finalité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Importer, contrôler et promouvoir des données historiques ou candidates vers le référentiel.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Données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Données de fiches, contacts, médias, lots, événements d'import, décisions de mapping, erreurs.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Tables / services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staging.*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import_batches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import_events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mapping_*</w:t>
            </w:r>
            <w:r>
              <w:t xml:space="preserve">, RPC </w:t>
            </w:r>
            <w:r>
              <w:rPr>
                <w:rFonts w:ascii="Consolas" w:hAnsi="Consolas"/>
                <w:sz w:val="19"/>
              </w:rPr>
              <w:t>commit_staging_to_public</w:t>
            </w:r>
            <w:r>
              <w:t>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Personnes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Prestataires et contacts présents dans sources historiques, agents de migration.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Base légale candidate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Continuité du référentiel / mission publique ; à valider.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Accès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Équipe data, admins et métiers habilités.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Conservation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Données staging à purger après validation ; durée à fixer.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Risques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Import d'informations obsolètes, doublons, absence d'information des personnes.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Mesures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Profilage, validation, ledger, règles de promotion, purge des lots temporaires.</w:t>
            </w:r>
          </w:p>
        </w:tc>
      </w:tr>
    </w:tbl>
    <w:p>
      <w:pPr>
        <w:pStyle w:val="Heading1"/>
      </w:pPr>
      <w:r>
        <w:t>14. Traitement T12 - Tableaux de bord, recherche et reporting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Rubrique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Finalité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Mesurer qualité, actualisation, couverture, activité et état du référentiel.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Données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Agrégats, filtres, catégories, dates de mise à jour, indicateurs qualité, objets visibles.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Tables / services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internal.mv_filtered_objects</w:t>
            </w:r>
            <w:r>
              <w:t>, RPC dashboard, caches et vues matérialisées.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Personnes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Utilisateurs internes, prestataires indirectement via fiches agrégées.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Base légale candidate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Pilotage métier et qualité ; à valider.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Accès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Utilisateurs habilités selon tableau de bord.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Conservation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Agrégats recalculés ; pas de conservation séparée sauf exports.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Risques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Export non maîtrisé ou ré-identification via filtres fins.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Mesures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RLS, limitation des exports, partage contrôlé.</w:t>
            </w:r>
          </w:p>
        </w:tc>
      </w:tr>
    </w:tbl>
    <w:p>
      <w:pPr>
        <w:pStyle w:val="Heading1"/>
      </w:pPr>
      <w:r>
        <w:t>15. Plan d'action registre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Priorité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Action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Responsable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t>Haute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t>Confirmer que le responsable de traitement et le référent RGPD repris du dossier badgeuse s'appliquent à Bertel.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t>Direction / DPO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t>Haute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t>Valider les bases légales par traitement, en distinguant données publiques et zones internes CRM/contacts privés.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t>DPO / juridique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t>Haute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t>Fixer les durées de conservation et modalités de purge/anonymisation, surtout pour CRM, notes, imports et logs.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t>DPO / produit / technique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t>Moyenne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t>Finaliser la liste des sous-traitants et transferts.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t>DPO / technique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t>Moyenne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t>Créer un registre des demandes de droits et un registre des violations.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t>DPO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t>Moyenne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t>Mettre en place la revue périodique des accès.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t>Admin plateforme</w:t>
            </w:r>
          </w:p>
        </w:tc>
      </w:tr>
    </w:tbl>
    <w:p>
      <w:pPr>
        <w:pStyle w:val="Heading1"/>
      </w:pPr>
      <w:r>
        <w:t>Sources officielles consultées</w:t>
      </w:r>
    </w:p>
    <w:p>
      <w:pPr>
        <w:pStyle w:val="ListBullet"/>
      </w:pPr>
      <w:r>
        <w:t>CNIL - DPO : par où commencer ? https://www.cnil.fr/fr/dpo-par-ou-commencer</w:t>
      </w:r>
    </w:p>
    <w:p>
      <w:pPr>
        <w:pStyle w:val="ListBullet"/>
      </w:pPr>
      <w:r>
        <w:t>CNIL - Le registre des activités de traitement : https://cnil.fr/fr/RGPD-le-registre-des-activites-de-traitement</w:t>
      </w:r>
    </w:p>
    <w:p>
      <w:pPr>
        <w:pStyle w:val="ListBullet"/>
      </w:pPr>
      <w:r>
        <w:t>CNIL - L'analyse d'impact relative à la protection des données (AIPD) : https://www.cnil.fr/fr/RGPD-analyse-impact-protection-des-donnees-aipd</w:t>
      </w:r>
    </w:p>
    <w:p>
      <w:pPr>
        <w:pStyle w:val="ListBullet"/>
      </w:pPr>
      <w:r>
        <w:t>CNIL - Outil PIA : https://www.cnil.fr/fr/outil-pia-telechargez-et-installez-le-logiciel-de-la-cnil</w:t>
      </w:r>
    </w:p>
    <w:p>
      <w:pPr>
        <w:pStyle w:val="ListBullet"/>
      </w:pPr>
      <w:r>
        <w:t>CNIL - Les droits des personnes sur leurs données : https://www.cnil.fr/fr/passer-laction/les-droits-des-personnes-sur-leurs-donnees</w:t>
      </w:r>
    </w:p>
    <w:p>
      <w:pPr>
        <w:pStyle w:val="ListBullet"/>
      </w:pPr>
      <w:r>
        <w:t>CNIL - Violations de données personnelles : les règles à suivre : https://www.cnil.fr/fr/violations-de-donnees-personnelles-les-regles-suivre</w:t>
      </w:r>
    </w:p>
    <w:p>
      <w:pPr>
        <w:pStyle w:val="ListBullet"/>
      </w:pPr>
      <w:r>
        <w:t>CNIL - Guide pratique RGPD pour les DPO : https://www.cnil.fr/sites/default/files/atoms/files/guide_pratique_rgpd_-_delegues_a_la_protection_des_donnees.pdf</w:t>
      </w:r>
    </w:p>
    <w:p>
      <w:pPr>
        <w:pStyle w:val="Heading1"/>
      </w:pPr>
      <w:r>
        <w:t>Sources projet utilisées</w:t>
      </w:r>
    </w:p>
    <w:p>
      <w:pPr>
        <w:pStyle w:val="ListBullet"/>
      </w:pPr>
      <w:r>
        <w:rPr>
          <w:rFonts w:ascii="Consolas" w:hAnsi="Consolas"/>
          <w:sz w:val="19"/>
        </w:rPr>
        <w:t>README.md</w:t>
      </w:r>
      <w:r>
        <w:t xml:space="preserve"> : positionnement Bertel, stack Next.js + Supabase/PostgreSQL, API et documentation.</w:t>
      </w:r>
    </w:p>
    <w:p>
      <w:pPr>
        <w:pStyle w:val="ListBullet"/>
      </w:pPr>
      <w:r>
        <w:rPr>
          <w:rFonts w:ascii="Consolas" w:hAnsi="Consolas"/>
          <w:sz w:val="19"/>
        </w:rPr>
        <w:t>ARCHITECTURE.md</w:t>
      </w:r>
      <w:r>
        <w:t xml:space="preserve"> et </w:t>
      </w:r>
      <w:r>
        <w:rPr>
          <w:rFonts w:ascii="Consolas" w:hAnsi="Consolas"/>
          <w:sz w:val="19"/>
        </w:rPr>
        <w:t>docs/architecture/bertel-object-workspace-canonical-map.md</w:t>
      </w:r>
      <w:r>
        <w:t xml:space="preserve"> : carte fonctionnelle du workspace objet.</w:t>
      </w:r>
    </w:p>
    <w:p>
      <w:pPr>
        <w:pStyle w:val="ListBullet"/>
      </w:pPr>
      <w:r>
        <w:rPr>
          <w:rFonts w:ascii="Consolas" w:hAnsi="Consolas"/>
          <w:sz w:val="19"/>
        </w:rPr>
        <w:t>docs/architecture/OBJECT_DATA_DICTIONARY.md</w:t>
      </w:r>
      <w:r>
        <w:t xml:space="preserve"> : dictionnaire des données objet, contacts, médias, CRM, incidents, juridique, RLS et audit.</w:t>
      </w:r>
    </w:p>
    <w:p>
      <w:pPr>
        <w:pStyle w:val="ListBullet"/>
      </w:pPr>
      <w:r>
        <w:rPr>
          <w:rFonts w:ascii="Consolas" w:hAnsi="Consolas"/>
          <w:sz w:val="19"/>
        </w:rPr>
        <w:t>db-graph-out/DB_AGENT_INDEX.md</w:t>
      </w:r>
      <w:r>
        <w:t xml:space="preserve">, </w:t>
      </w:r>
      <w:r>
        <w:rPr>
          <w:rFonts w:ascii="Consolas" w:hAnsi="Consolas"/>
          <w:sz w:val="19"/>
        </w:rPr>
        <w:t>FUNCTIONS.md</w:t>
      </w:r>
      <w:r>
        <w:t xml:space="preserve">, </w:t>
      </w:r>
      <w:r>
        <w:rPr>
          <w:rFonts w:ascii="Consolas" w:hAnsi="Consolas"/>
          <w:sz w:val="19"/>
        </w:rPr>
        <w:t>POLICIES.md</w:t>
      </w:r>
      <w:r>
        <w:t xml:space="preserve">, </w:t>
      </w:r>
      <w:r>
        <w:rPr>
          <w:rFonts w:ascii="Consolas" w:hAnsi="Consolas"/>
          <w:sz w:val="19"/>
        </w:rPr>
        <w:t>TYPES.md</w:t>
      </w:r>
      <w:r>
        <w:t xml:space="preserve"> : cartographie DB, RPC, politiques RLS et enums.</w:t>
      </w:r>
    </w:p>
    <w:p>
      <w:pPr>
        <w:pStyle w:val="ListBullet"/>
      </w:pPr>
      <w:r>
        <w:rPr>
          <w:rFonts w:ascii="Consolas" w:hAnsi="Consolas"/>
          <w:sz w:val="19"/>
        </w:rPr>
        <w:t>dbdoc/*.md</w:t>
      </w:r>
      <w:r>
        <w:t xml:space="preserve"> : fiches de tables sensibles (</w:t>
      </w:r>
      <w:r>
        <w:rPr>
          <w:rFonts w:ascii="Consolas" w:hAnsi="Consolas"/>
          <w:sz w:val="19"/>
        </w:rPr>
        <w:t>auth.users</w:t>
      </w:r>
      <w:r>
        <w:t xml:space="preserve">, </w:t>
      </w:r>
      <w:r>
        <w:rPr>
          <w:rFonts w:ascii="Consolas" w:hAnsi="Consolas"/>
          <w:sz w:val="19"/>
        </w:rPr>
        <w:t>app_user_profile</w:t>
      </w:r>
      <w:r>
        <w:t xml:space="preserve">, </w:t>
      </w:r>
      <w:r>
        <w:rPr>
          <w:rFonts w:ascii="Consolas" w:hAnsi="Consolas"/>
          <w:sz w:val="19"/>
        </w:rPr>
        <w:t>actor</w:t>
      </w:r>
      <w:r>
        <w:t xml:space="preserve">, </w:t>
      </w:r>
      <w:r>
        <w:rPr>
          <w:rFonts w:ascii="Consolas" w:hAnsi="Consolas"/>
          <w:sz w:val="19"/>
        </w:rPr>
        <w:t>actor_channel</w:t>
      </w:r>
      <w:r>
        <w:t xml:space="preserve">, </w:t>
      </w:r>
      <w:r>
        <w:rPr>
          <w:rFonts w:ascii="Consolas" w:hAnsi="Consolas"/>
          <w:sz w:val="19"/>
        </w:rPr>
        <w:t>actor_consent</w:t>
      </w:r>
      <w:r>
        <w:t xml:space="preserve">, </w:t>
      </w:r>
      <w:r>
        <w:rPr>
          <w:rFonts w:ascii="Consolas" w:hAnsi="Consolas"/>
          <w:sz w:val="19"/>
        </w:rPr>
        <w:t>contact_channel</w:t>
      </w:r>
      <w:r>
        <w:t xml:space="preserve">, </w:t>
      </w:r>
      <w:r>
        <w:rPr>
          <w:rFonts w:ascii="Consolas" w:hAnsi="Consolas"/>
          <w:sz w:val="19"/>
        </w:rPr>
        <w:t>object_private_description</w:t>
      </w:r>
      <w:r>
        <w:t xml:space="preserve">, </w:t>
      </w:r>
      <w:r>
        <w:rPr>
          <w:rFonts w:ascii="Consolas" w:hAnsi="Consolas"/>
          <w:sz w:val="19"/>
        </w:rPr>
        <w:t>crm_interaction</w:t>
      </w:r>
      <w:r>
        <w:t xml:space="preserve">, </w:t>
      </w:r>
      <w:r>
        <w:rPr>
          <w:rFonts w:ascii="Consolas" w:hAnsi="Consolas"/>
          <w:sz w:val="19"/>
        </w:rPr>
        <w:t>crm_task</w:t>
      </w:r>
      <w:r>
        <w:t xml:space="preserve">, </w:t>
      </w:r>
      <w:r>
        <w:rPr>
          <w:rFonts w:ascii="Consolas" w:hAnsi="Consolas"/>
          <w:sz w:val="19"/>
        </w:rPr>
        <w:t>incident_report</w:t>
      </w:r>
      <w:r>
        <w:t xml:space="preserve">, </w:t>
      </w:r>
      <w:r>
        <w:rPr>
          <w:rFonts w:ascii="Consolas" w:hAnsi="Consolas"/>
          <w:sz w:val="19"/>
        </w:rPr>
        <w:t>media</w:t>
      </w:r>
      <w:r>
        <w:t xml:space="preserve">, </w:t>
      </w:r>
      <w:r>
        <w:rPr>
          <w:rFonts w:ascii="Consolas" w:hAnsi="Consolas"/>
          <w:sz w:val="19"/>
        </w:rPr>
        <w:t>object_legal</w:t>
      </w:r>
      <w:r>
        <w:t xml:space="preserve">, </w:t>
      </w:r>
      <w:r>
        <w:rPr>
          <w:rFonts w:ascii="Consolas" w:hAnsi="Consolas"/>
          <w:sz w:val="19"/>
        </w:rPr>
        <w:t>audit.audit_log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bertel-tourism-ui/src/views/*</w:t>
      </w:r>
      <w:r>
        <w:t xml:space="preserve"> et </w:t>
      </w:r>
      <w:r>
        <w:rPr>
          <w:rFonts w:ascii="Consolas" w:hAnsi="Consolas"/>
          <w:sz w:val="19"/>
        </w:rPr>
        <w:t>bertel-tourism-ui/src/services/*</w:t>
      </w:r>
      <w:r>
        <w:t xml:space="preserve"> : parcours UI, authentification, RBAC, CRM, modération, audits, médias.</w:t>
      </w:r>
    </w:p>
    <w:p>
      <w:pPr>
        <w:pStyle w:val="Heading1"/>
      </w:pPr>
      <w:r>
        <w:t>Sources internes transposées depuis le dossier badgeuse</w:t>
      </w:r>
    </w:p>
    <w:p>
      <w:pPr>
        <w:pStyle w:val="ListBullet"/>
      </w:pPr>
      <w:r>
        <w:rPr>
          <w:rFonts w:ascii="Consolas" w:hAnsi="Consolas"/>
          <w:sz w:val="19"/>
        </w:rPr>
        <w:t>C:\Users\dphil\Downloads\Manuel_Utilisateur_Badgeuse_OTI (7).pdf</w:t>
      </w:r>
      <w:r>
        <w:t xml:space="preserve"> : modèle de manuel utilisateur interne OTI.</w:t>
      </w:r>
    </w:p>
    <w:p>
      <w:pPr>
        <w:pStyle w:val="ListBullet"/>
      </w:pPr>
      <w:r>
        <w:rPr>
          <w:rFonts w:ascii="Consolas" w:hAnsi="Consolas"/>
          <w:sz w:val="19"/>
        </w:rPr>
        <w:t>C:\Users\dphil\Downloads\Reglement_RGPD_Badgeuse_OTISUD (3).pdf</w:t>
      </w:r>
      <w:r>
        <w:t xml:space="preserve"> : identité SPL OTI DU SUD, référent RGPD, hébergement OVH France, absence de transfert hors UE et mesures de sécurité.</w:t>
      </w:r>
    </w:p>
    <w:p>
      <w:pPr>
        <w:pStyle w:val="ListBullet"/>
      </w:pPr>
      <w:r>
        <w:rPr>
          <w:rFonts w:ascii="Consolas" w:hAnsi="Consolas"/>
          <w:sz w:val="19"/>
        </w:rPr>
        <w:t>C:\Users\dphil\Downloads\DPIA_Badgeuse_OTISUD (3).pdf</w:t>
      </w:r>
      <w:r>
        <w:t xml:space="preserve"> : modèle d'analyse proportionnée, risque résiduel faible, Supabase/PostgreSQL, HTTPS, RLS et logs administratifs.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Bertel - Pack RGPD/DPO - 13 juin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Registre des traitements RGPD - Bertel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