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0B2545"/>
          <w:sz w:val="48"/>
        </w:rPr>
        <w:t>Analyse d'impact relative à la protection des données - Bertel</w:t>
      </w:r>
    </w:p>
    <w:p>
      <w:pPr>
        <w:spacing w:after="280"/>
      </w:pPr>
      <w:r>
        <w:rPr>
          <w:color w:val="4B5563"/>
          <w:sz w:val="24"/>
        </w:rPr>
        <w:t>AIPD de précaution centrée sur la distinction données publiques / données internes</w:t>
      </w:r>
    </w:p>
    <w:p>
      <w:r>
        <w:t>AIPD de précaution centrée sur la distinction données publiques / données internes</w:t>
      </w:r>
    </w:p>
    <w:p>
      <w:pPr>
        <w:spacing w:before="80" w:after="160"/>
        <w:ind w:left="216" w:right="216"/>
        <w:shd w:fill="F4F6F9"/>
      </w:pPr>
      <w:r>
        <w:t>Statut : AIPD initiale pré-remplie à partir du code et du schéma. Elle doit être revue avec les responsables métier, sécurité et DPO avant validation. Version : 13 juin 2026. Revue recommandée à chaque changement majeur de données, accès, média, IA, export ou sous-traitant.</w:t>
      </w:r>
    </w:p>
    <w:p>
      <w:pPr>
        <w:pStyle w:val="Heading1"/>
      </w:pPr>
      <w:r>
        <w:t>1. Décision de réaliser une AIPD</w:t>
      </w:r>
    </w:p>
    <w:p>
      <w:r>
        <w:t>L'AIPD est maintenue comme analyse de précaution et de documentation pour Bertel. Le traitement n'apparaît pas, à ce stade, comme principalement composé de données à haut risque : environ 95 % des informations stockées sont publiques ou destinées à être publiées dans un référentiel touristique. Les points de vigilance réels se concentrent sur les interactions internes entre l'office de tourisme et les prestataires, les notes CRM, les tâches, les historiques de relation, les coordonnées personnelles lorsqu'elles diffèrent des coordonnées publiques ou professionnelles, ainsi que les erreurs de publication accidentelles.</w:t>
      </w:r>
    </w:p>
    <w:p>
      <w:r>
        <w:t>Conclusion provisoire : AIPD utile à maintenir pour démontrer la proportionnalité et piloter les mesures. Aucun risque élevé résiduel n'est identifié à ce stade si les mesures prévues sont appliquées ; la consultation préalable de la CNIL n'est donc pas anticipée, sauf évolution du périmètre ou impossibilité de réduire un risque élevé.</w:t>
      </w:r>
    </w:p>
    <w:p>
      <w:pPr>
        <w:pStyle w:val="Heading1"/>
      </w:pPr>
      <w:r>
        <w:t>Posture données Bertel</w:t>
      </w:r>
    </w:p>
    <w:p>
      <w:r>
        <w:t>En l'état du périmètre décrit, environ 95 % des informations stockées dans Bertel sont publiques ou destinées à être publiées : fiches touristiques, descriptions, horaires, coordonnées professionnelles d'établissement, médias de promotion, classifications, tarifs, équipements et statuts de publication. Le risque RGPD principal ne vient donc pas du référentiel public lui-même, mais des zones internes : interactions entre l'office de tourisme et les prestataires, notes CRM, tâches, historiques de relation, coordonnées personnelles lorsqu'elles diffèrent des coordonnées publiques ou professionnelles, et erreurs de publication accidentelles.</w:t>
      </w:r>
    </w:p>
    <w:p>
      <w:pPr>
        <w:pStyle w:val="Heading1"/>
      </w:pPr>
      <w:r>
        <w:t>2. Traitement étudié</w:t>
      </w:r>
    </w:p>
    <w:tbl>
      <w:tblPr>
        <w:tblStyle w:val="TableGrid"/>
        <w:tblW w:type="dxa" w:w="9360"/>
        <w:tblLook w:firstColumn="1" w:firstRow="1" w:lastColumn="0" w:lastRow="0" w:noHBand="0" w:noVBand="1" w:val="04A0"/>
        <w:tblLayout w:type="fixed"/>
        <w:tblInd w:w="120" w:type="dxa"/>
      </w:tblPr>
      <w:tblGrid>
        <w:gridCol w:w="4680"/>
        <w:gridCol w:w="4680"/>
      </w:tblGrid>
      <w:tr>
        <w:trPr>
          <w:tblHeader w:val="true"/>
          <w:cantSplit/>
        </w:trPr>
        <w:tc>
          <w:tcPr>
            <w:tcW w:type="dxa" w:w="2520"/>
            <w:vAlign w:val="center"/>
            <w:shd w:fill="E8EEF5"/>
          </w:tcPr>
          <w:p>
            <w:pPr>
              <w:spacing w:after="0"/>
            </w:pPr>
            <w:r/>
            <w:r>
              <w:rPr>
                <w:b/>
              </w:rPr>
              <w:t>Élément</w:t>
            </w:r>
          </w:p>
        </w:tc>
        <w:tc>
          <w:tcPr>
            <w:tcW w:type="dxa" w:w="6840"/>
            <w:vAlign w:val="center"/>
            <w:shd w:fill="E8EEF5"/>
          </w:tcPr>
          <w:p>
            <w:pPr>
              <w:spacing w:after="0"/>
            </w:pPr>
            <w:r/>
            <w:r>
              <w:rPr>
                <w:b/>
              </w:rPr>
              <w:t>Description</w:t>
            </w:r>
          </w:p>
        </w:tc>
      </w:tr>
      <w:tr>
        <w:trPr>
          <w:cantSplit/>
        </w:trPr>
        <w:tc>
          <w:tcPr>
            <w:tcW w:type="dxa" w:w="2520"/>
            <w:vAlign w:val="top"/>
          </w:tcPr>
          <w:p>
            <w:pPr>
              <w:spacing w:after="0"/>
            </w:pPr>
            <w:r/>
            <w:r>
              <w:t>Nom</w:t>
            </w:r>
          </w:p>
        </w:tc>
        <w:tc>
          <w:tcPr>
            <w:tcW w:type="dxa" w:w="6840"/>
            <w:vAlign w:val="top"/>
          </w:tcPr>
          <w:p>
            <w:pPr>
              <w:spacing w:after="0"/>
            </w:pPr>
            <w:r/>
            <w:r>
              <w:t>Bertel - référentiel touristique, publication, relation prestataires et gouvernance qualité.</w:t>
            </w:r>
          </w:p>
        </w:tc>
      </w:tr>
      <w:tr>
        <w:trPr>
          <w:cantSplit/>
        </w:trPr>
        <w:tc>
          <w:tcPr>
            <w:tcW w:type="dxa" w:w="2520"/>
            <w:vAlign w:val="top"/>
          </w:tcPr>
          <w:p>
            <w:pPr>
              <w:spacing w:after="0"/>
            </w:pPr>
            <w:r/>
            <w:r>
              <w:t>Responsable de traitement</w:t>
            </w:r>
          </w:p>
        </w:tc>
        <w:tc>
          <w:tcPr>
            <w:tcW w:type="dxa" w:w="6840"/>
            <w:vAlign w:val="top"/>
          </w:tcPr>
          <w:p>
            <w:pPr>
              <w:spacing w:after="0"/>
            </w:pPr>
            <w:r/>
            <w:r>
              <w:t>SPL OTI DU SUD - 379 Rue Hubert Delisle, 97430 Le Tampon - SIREN 882 699 556.</w:t>
            </w:r>
          </w:p>
        </w:tc>
      </w:tr>
      <w:tr>
        <w:trPr>
          <w:cantSplit/>
        </w:trPr>
        <w:tc>
          <w:tcPr>
            <w:tcW w:type="dxa" w:w="2520"/>
            <w:vAlign w:val="top"/>
          </w:tcPr>
          <w:p>
            <w:pPr>
              <w:spacing w:after="0"/>
            </w:pPr>
            <w:r/>
            <w:r>
              <w:t>DPO</w:t>
            </w:r>
          </w:p>
        </w:tc>
        <w:tc>
          <w:tcPr>
            <w:tcW w:type="dxa" w:w="6840"/>
            <w:vAlign w:val="top"/>
          </w:tcPr>
          <w:p>
            <w:pPr>
              <w:spacing w:after="0"/>
            </w:pPr>
            <w:r/>
            <w:r>
              <w:t>David Philippe - Manager SI - d.philippe@otisud.com - 06 93 41 92 91.</w:t>
            </w:r>
          </w:p>
        </w:tc>
      </w:tr>
      <w:tr>
        <w:trPr>
          <w:cantSplit/>
        </w:trPr>
        <w:tc>
          <w:tcPr>
            <w:tcW w:type="dxa" w:w="2520"/>
            <w:vAlign w:val="top"/>
          </w:tcPr>
          <w:p>
            <w:pPr>
              <w:spacing w:after="0"/>
            </w:pPr>
            <w:r/>
            <w:r>
              <w:t>Finalités</w:t>
            </w:r>
          </w:p>
        </w:tc>
        <w:tc>
          <w:tcPr>
            <w:tcW w:type="dxa" w:w="6840"/>
            <w:vAlign w:val="top"/>
          </w:tcPr>
          <w:p>
            <w:pPr>
              <w:spacing w:after="0"/>
            </w:pPr>
            <w:r/>
            <w:r>
              <w:t>Référentiel touristique, publication, qualité des données, relation prestataires, conformité, sécurité, modération et reporting.</w:t>
            </w:r>
          </w:p>
        </w:tc>
      </w:tr>
      <w:tr>
        <w:trPr>
          <w:cantSplit/>
        </w:trPr>
        <w:tc>
          <w:tcPr>
            <w:tcW w:type="dxa" w:w="2520"/>
            <w:vAlign w:val="top"/>
          </w:tcPr>
          <w:p>
            <w:pPr>
              <w:spacing w:after="0"/>
            </w:pPr>
            <w:r/>
            <w:r>
              <w:t>Personnes concernées</w:t>
            </w:r>
          </w:p>
        </w:tc>
        <w:tc>
          <w:tcPr>
            <w:tcW w:type="dxa" w:w="6840"/>
            <w:vAlign w:val="top"/>
          </w:tcPr>
          <w:p>
            <w:pPr>
              <w:spacing w:after="0"/>
            </w:pPr>
            <w:r/>
            <w:r>
              <w:t>Utilisateurs internes, prestataires, contacts d'organisations, déclarants d'incident, personnes visibles dans médias.</w:t>
            </w:r>
          </w:p>
        </w:tc>
      </w:tr>
      <w:tr>
        <w:trPr>
          <w:cantSplit/>
        </w:trPr>
        <w:tc>
          <w:tcPr>
            <w:tcW w:type="dxa" w:w="2520"/>
            <w:vAlign w:val="top"/>
          </w:tcPr>
          <w:p>
            <w:pPr>
              <w:spacing w:after="0"/>
            </w:pPr>
            <w:r/>
            <w:r>
              <w:t>Données principales</w:t>
            </w:r>
          </w:p>
        </w:tc>
        <w:tc>
          <w:tcPr>
            <w:tcW w:type="dxa" w:w="6840"/>
            <w:vAlign w:val="top"/>
          </w:tcPr>
          <w:p>
            <w:pPr>
              <w:spacing w:after="0"/>
            </w:pPr>
            <w:r/>
            <w:r>
              <w:t>Données publiques ou publiables majoritaires : fiches touristiques, coordonnées professionnelles d'établissement, horaires, tarifs, descriptions, médias de promotion, classifications. Données internes minoritaires : profils utilisateurs, rôles, notes, tâches, interactions CRM, consentements, incidents, logs, versions, pièces légales.</w:t>
            </w:r>
          </w:p>
        </w:tc>
      </w:tr>
      <w:tr>
        <w:trPr>
          <w:cantSplit/>
        </w:trPr>
        <w:tc>
          <w:tcPr>
            <w:tcW w:type="dxa" w:w="2520"/>
            <w:vAlign w:val="top"/>
          </w:tcPr>
          <w:p>
            <w:pPr>
              <w:spacing w:after="0"/>
            </w:pPr>
            <w:r/>
            <w:r>
              <w:t>Destinataires</w:t>
            </w:r>
          </w:p>
        </w:tc>
        <w:tc>
          <w:tcPr>
            <w:tcW w:type="dxa" w:w="6840"/>
            <w:vAlign w:val="top"/>
          </w:tcPr>
          <w:p>
            <w:pPr>
              <w:spacing w:after="0"/>
            </w:pPr>
            <w:r/>
            <w:r>
              <w:t>Public pour données publiées, utilisateurs habilités, administrateurs, partenaires autorisés, sous-traitants techniques.</w:t>
            </w:r>
          </w:p>
        </w:tc>
      </w:tr>
      <w:tr>
        <w:trPr>
          <w:cantSplit/>
        </w:trPr>
        <w:tc>
          <w:tcPr>
            <w:tcW w:type="dxa" w:w="2520"/>
            <w:vAlign w:val="top"/>
          </w:tcPr>
          <w:p>
            <w:pPr>
              <w:spacing w:after="0"/>
            </w:pPr>
            <w:r/>
            <w:r>
              <w:t>Technologies</w:t>
            </w:r>
          </w:p>
        </w:tc>
        <w:tc>
          <w:tcPr>
            <w:tcW w:type="dxa" w:w="6840"/>
            <w:vAlign w:val="top"/>
          </w:tcPr>
          <w:p>
            <w:pPr>
              <w:spacing w:after="0"/>
            </w:pPr>
            <w:r/>
            <w:r>
              <w:t>Next.js, Supabase Auth, PostgreSQL/RLS, PostGIS, stockage média, API/RPC, imports staging, traitement images/vidéos ; hébergement de référence OVH France à confirmer pour Bertel.</w:t>
            </w:r>
          </w:p>
        </w:tc>
      </w:tr>
    </w:tbl>
    <w:p>
      <w:pPr>
        <w:pStyle w:val="Heading1"/>
      </w:pPr>
      <w:r>
        <w:t>3. Qualification du caractère public des données</w:t>
      </w:r>
    </w:p>
    <w:p>
      <w:r>
        <w:t>Le point structurant de l'AIPD Bertel est que le traitement porte principalement sur un référentiel touristique public ou publiable. Les données publiques ne disparaissent pas du champ RGPD lorsqu'elles identifient une personne, mais leur niveau de risque est nettement plus faible lorsqu'elles correspondent à des coordonnées professionnelles ou à des informations volontairement diffusées pour la promotion touristique. L'analyse d'impact doit donc éviter de qualifier l'ensemble de Bertel comme un traitement sensible : elle doit concentrer les mesures sur la frontière entre données publiques et données internes.</w:t>
      </w:r>
    </w:p>
    <w:p>
      <w:r>
        <w:br w:type="page"/>
      </w:r>
    </w:p>
    <w:tbl>
      <w:tblPr>
        <w:tblStyle w:val="TableGrid"/>
        <w:tblW w:type="dxa" w:w="9360"/>
        <w:tblLook w:firstColumn="1" w:firstRow="1" w:lastColumn="0" w:lastRow="0" w:noHBand="0" w:noVBand="1" w:val="04A0"/>
        <w:tblLayout w:type="fixed"/>
        <w:tblInd w:w="120" w:type="dxa"/>
      </w:tblPr>
      <w:tblGrid>
        <w:gridCol w:w="3120"/>
        <w:gridCol w:w="3120"/>
        <w:gridCol w:w="3120"/>
      </w:tblGrid>
      <w:tr>
        <w:trPr>
          <w:tblHeader w:val="true"/>
          <w:cantSplit/>
        </w:trPr>
        <w:tc>
          <w:tcPr>
            <w:tcW w:type="dxa" w:w="2232"/>
            <w:vAlign w:val="center"/>
            <w:shd w:fill="E8EEF5"/>
          </w:tcPr>
          <w:p>
            <w:pPr>
              <w:spacing w:after="0"/>
            </w:pPr>
            <w:r/>
            <w:r>
              <w:rPr>
                <w:b/>
              </w:rPr>
              <w:t>Famille de données</w:t>
            </w:r>
          </w:p>
        </w:tc>
        <w:tc>
          <w:tcPr>
            <w:tcW w:type="dxa" w:w="3240"/>
            <w:vAlign w:val="center"/>
            <w:shd w:fill="E8EEF5"/>
          </w:tcPr>
          <w:p>
            <w:pPr>
              <w:spacing w:after="0"/>
            </w:pPr>
            <w:r/>
            <w:r>
              <w:rPr>
                <w:b/>
              </w:rPr>
              <w:t>Statut dans Bertel</w:t>
            </w:r>
          </w:p>
        </w:tc>
        <w:tc>
          <w:tcPr>
            <w:tcW w:type="dxa" w:w="3888"/>
            <w:vAlign w:val="center"/>
            <w:shd w:fill="E8EEF5"/>
          </w:tcPr>
          <w:p>
            <w:pPr>
              <w:spacing w:after="0"/>
            </w:pPr>
            <w:r/>
            <w:r>
              <w:rPr>
                <w:b/>
              </w:rPr>
              <w:t>Impact AIPD</w:t>
            </w:r>
          </w:p>
        </w:tc>
      </w:tr>
      <w:tr>
        <w:trPr>
          <w:cantSplit/>
        </w:trPr>
        <w:tc>
          <w:tcPr>
            <w:tcW w:type="dxa" w:w="2232"/>
            <w:vAlign w:val="top"/>
          </w:tcPr>
          <w:p>
            <w:pPr>
              <w:spacing w:after="0"/>
            </w:pPr>
            <w:r/>
            <w:r>
              <w:t>Fiches touristiques, noms d'établissements, descriptions, horaires, tarifs, équipements, labels, classifications.</w:t>
            </w:r>
          </w:p>
        </w:tc>
        <w:tc>
          <w:tcPr>
            <w:tcW w:type="dxa" w:w="3240"/>
            <w:vAlign w:val="top"/>
          </w:tcPr>
          <w:p>
            <w:pPr>
              <w:spacing w:after="0"/>
            </w:pPr>
            <w:r/>
            <w:r>
              <w:t>Public ou destiné à publication.</w:t>
            </w:r>
          </w:p>
        </w:tc>
        <w:tc>
          <w:tcPr>
            <w:tcW w:type="dxa" w:w="3888"/>
            <w:vAlign w:val="top"/>
          </w:tcPr>
          <w:p>
            <w:pPr>
              <w:spacing w:after="0"/>
            </w:pPr>
            <w:r/>
            <w:r>
              <w:t>Risque RGPD intrinsèque faible ; enjeux principaux : exactitude, mise à jour, cohérence de publication.</w:t>
            </w:r>
          </w:p>
        </w:tc>
      </w:tr>
      <w:tr>
        <w:trPr>
          <w:cantSplit/>
        </w:trPr>
        <w:tc>
          <w:tcPr>
            <w:tcW w:type="dxa" w:w="2232"/>
            <w:vAlign w:val="top"/>
          </w:tcPr>
          <w:p>
            <w:pPr>
              <w:spacing w:after="0"/>
            </w:pPr>
            <w:r/>
            <w:r>
              <w:t>Coordonnées professionnelles d'établissement : téléphone, email générique, site web, réseaux sociaux officiels.</w:t>
            </w:r>
          </w:p>
        </w:tc>
        <w:tc>
          <w:tcPr>
            <w:tcW w:type="dxa" w:w="3240"/>
            <w:vAlign w:val="top"/>
          </w:tcPr>
          <w:p>
            <w:pPr>
              <w:spacing w:after="0"/>
            </w:pPr>
            <w:r/>
            <w:r>
              <w:t>Public si le canal est officiel et destiné aux visiteurs.</w:t>
            </w:r>
          </w:p>
        </w:tc>
        <w:tc>
          <w:tcPr>
            <w:tcW w:type="dxa" w:w="3888"/>
            <w:vAlign w:val="top"/>
          </w:tcPr>
          <w:p>
            <w:pPr>
              <w:spacing w:after="0"/>
            </w:pPr>
            <w:r/>
            <w:r>
              <w:t>Risque faible si la nature professionnelle est confirmée ; risque moyen si une coordonnée personnelle est publiée par erreur.</w:t>
            </w:r>
          </w:p>
        </w:tc>
      </w:tr>
      <w:tr>
        <w:trPr>
          <w:cantSplit/>
        </w:trPr>
        <w:tc>
          <w:tcPr>
            <w:tcW w:type="dxa" w:w="2232"/>
            <w:vAlign w:val="top"/>
          </w:tcPr>
          <w:p>
            <w:pPr>
              <w:spacing w:after="0"/>
            </w:pPr>
            <w:r/>
            <w:r>
              <w:t>Médias de promotion touristique, crédits et droits d'usage.</w:t>
            </w:r>
          </w:p>
        </w:tc>
        <w:tc>
          <w:tcPr>
            <w:tcW w:type="dxa" w:w="3240"/>
            <w:vAlign w:val="top"/>
          </w:tcPr>
          <w:p>
            <w:pPr>
              <w:spacing w:after="0"/>
            </w:pPr>
            <w:r/>
            <w:r>
              <w:t>Publiable selon droits, crédit, visibilité et expiration.</w:t>
            </w:r>
          </w:p>
        </w:tc>
        <w:tc>
          <w:tcPr>
            <w:tcW w:type="dxa" w:w="3888"/>
            <w:vAlign w:val="top"/>
          </w:tcPr>
          <w:p>
            <w:pPr>
              <w:spacing w:after="0"/>
            </w:pPr>
            <w:r/>
            <w:r>
              <w:t>Risque principalement lié au droit à l'image, aux personnes incidentelles et aux documents visibles.</w:t>
            </w:r>
          </w:p>
        </w:tc>
      </w:tr>
      <w:tr>
        <w:trPr>
          <w:cantSplit/>
        </w:trPr>
        <w:tc>
          <w:tcPr>
            <w:tcW w:type="dxa" w:w="2232"/>
            <w:vAlign w:val="top"/>
          </w:tcPr>
          <w:p>
            <w:pPr>
              <w:spacing w:after="0"/>
            </w:pPr>
            <w:r/>
            <w:r>
              <w:t>Interactions entre l'office de tourisme et les prestataires.</w:t>
            </w:r>
          </w:p>
        </w:tc>
        <w:tc>
          <w:tcPr>
            <w:tcW w:type="dxa" w:w="3240"/>
            <w:vAlign w:val="top"/>
          </w:tcPr>
          <w:p>
            <w:pPr>
              <w:spacing w:after="0"/>
            </w:pPr>
            <w:r/>
            <w:r>
              <w:t>Interne, non destiné à publication.</w:t>
            </w:r>
          </w:p>
        </w:tc>
        <w:tc>
          <w:tcPr>
            <w:tcW w:type="dxa" w:w="3888"/>
            <w:vAlign w:val="top"/>
          </w:tcPr>
          <w:p>
            <w:pPr>
              <w:spacing w:after="0"/>
            </w:pPr>
            <w:r/>
            <w:r>
              <w:t>Zone de vigilance principale : contexte relationnel, historique, demandes, relances, appréciations éventuelles.</w:t>
            </w:r>
          </w:p>
        </w:tc>
      </w:tr>
      <w:tr>
        <w:trPr>
          <w:cantSplit/>
        </w:trPr>
        <w:tc>
          <w:tcPr>
            <w:tcW w:type="dxa" w:w="2232"/>
            <w:vAlign w:val="top"/>
          </w:tcPr>
          <w:p>
            <w:pPr>
              <w:spacing w:after="0"/>
            </w:pPr>
            <w:r/>
            <w:r>
              <w:t>Notes CRM, tâches, commentaires, descriptions privées.</w:t>
            </w:r>
          </w:p>
        </w:tc>
        <w:tc>
          <w:tcPr>
            <w:tcW w:type="dxa" w:w="3240"/>
            <w:vAlign w:val="top"/>
          </w:tcPr>
          <w:p>
            <w:pPr>
              <w:spacing w:after="0"/>
            </w:pPr>
            <w:r/>
            <w:r>
              <w:t>Interne, accès restreint.</w:t>
            </w:r>
          </w:p>
        </w:tc>
        <w:tc>
          <w:tcPr>
            <w:tcW w:type="dxa" w:w="3888"/>
            <w:vAlign w:val="top"/>
          </w:tcPr>
          <w:p>
            <w:pPr>
              <w:spacing w:after="0"/>
            </w:pPr>
            <w:r/>
            <w:r>
              <w:t>Zone de vigilance principale : subjectivité, données excessives, conservation trop longue.</w:t>
            </w:r>
          </w:p>
        </w:tc>
      </w:tr>
      <w:tr>
        <w:trPr>
          <w:cantSplit/>
        </w:trPr>
        <w:tc>
          <w:tcPr>
            <w:tcW w:type="dxa" w:w="2232"/>
            <w:vAlign w:val="top"/>
          </w:tcPr>
          <w:p>
            <w:pPr>
              <w:spacing w:after="0"/>
            </w:pPr>
            <w:r/>
            <w:r>
              <w:t>Coordonnées personnelles différentes des coordonnées publiques.</w:t>
            </w:r>
          </w:p>
        </w:tc>
        <w:tc>
          <w:tcPr>
            <w:tcW w:type="dxa" w:w="3240"/>
            <w:vAlign w:val="top"/>
          </w:tcPr>
          <w:p>
            <w:pPr>
              <w:spacing w:after="0"/>
            </w:pPr>
            <w:r/>
            <w:r>
              <w:t>Interne sauf base légale ou consentement spécifique.</w:t>
            </w:r>
          </w:p>
        </w:tc>
        <w:tc>
          <w:tcPr>
            <w:tcW w:type="dxa" w:w="3888"/>
            <w:vAlign w:val="top"/>
          </w:tcPr>
          <w:p>
            <w:pPr>
              <w:spacing w:after="0"/>
            </w:pPr>
            <w:r/>
            <w:r>
              <w:t>Risque principal d'exposition accidentelle ou d'usage non prévu.</w:t>
            </w:r>
          </w:p>
        </w:tc>
      </w:tr>
      <w:tr>
        <w:trPr>
          <w:cantSplit/>
        </w:trPr>
        <w:tc>
          <w:tcPr>
            <w:tcW w:type="dxa" w:w="2232"/>
            <w:vAlign w:val="top"/>
          </w:tcPr>
          <w:p>
            <w:pPr>
              <w:spacing w:after="0"/>
            </w:pPr>
            <w:r/>
            <w:r>
              <w:t>Comptes utilisateurs, rôles, permissions, logs, versions.</w:t>
            </w:r>
          </w:p>
        </w:tc>
        <w:tc>
          <w:tcPr>
            <w:tcW w:type="dxa" w:w="3240"/>
            <w:vAlign w:val="top"/>
          </w:tcPr>
          <w:p>
            <w:pPr>
              <w:spacing w:after="0"/>
            </w:pPr>
            <w:r/>
            <w:r>
              <w:t>Interne technique et organisationnel.</w:t>
            </w:r>
          </w:p>
        </w:tc>
        <w:tc>
          <w:tcPr>
            <w:tcW w:type="dxa" w:w="3888"/>
            <w:vAlign w:val="top"/>
          </w:tcPr>
          <w:p>
            <w:pPr>
              <w:spacing w:after="0"/>
            </w:pPr>
            <w:r/>
            <w:r>
              <w:t>Risque de sécurité, accès excessif, traçabilité et conservation.</w:t>
            </w:r>
          </w:p>
        </w:tc>
      </w:tr>
    </w:tbl>
    <w:p>
      <w:r>
        <w:t>Conséquence pour l'AIPD : le risque général du référentiel public est faible. Les mesures prioritaires portent sur la distinction visible entre champs publics et champs internes, la validation des coordonnées personnelles, la discipline de rédaction des notes CRM, les exports et la conservation.</w:t>
      </w:r>
    </w:p>
    <w:p>
      <w:r>
        <w:br w:type="page"/>
      </w:r>
    </w:p>
    <w:p>
      <w:pPr>
        <w:pStyle w:val="Heading1"/>
      </w:pPr>
      <w:r>
        <w:t>4. Flux de données</w:t>
      </w:r>
    </w:p>
    <w:p>
      <w:pPr>
        <w:spacing w:after="80" w:line="300" w:lineRule="auto"/>
        <w:ind w:left="540" w:hanging="271"/>
      </w:pPr>
      <w:r>
        <w:t>1. Un utilisateur se connecte via Supabase Auth ou Google OAuth.</w:t>
      </w:r>
    </w:p>
    <w:p>
      <w:pPr>
        <w:spacing w:after="80" w:line="300" w:lineRule="auto"/>
        <w:ind w:left="540" w:hanging="271"/>
      </w:pPr>
      <w:r>
        <w:t>2. La session hydrate le rôle plateforme, l'organisation active, le rang admin et les permissions.</w:t>
      </w:r>
    </w:p>
    <w:p>
      <w:pPr>
        <w:spacing w:after="80" w:line="300" w:lineRule="auto"/>
        <w:ind w:left="540" w:hanging="271"/>
      </w:pPr>
      <w:r>
        <w:t>3. Les fiches touristiques sont consultées via Explorer, dashboard ou API.</w:t>
      </w:r>
    </w:p>
    <w:p>
      <w:pPr>
        <w:spacing w:after="80" w:line="300" w:lineRule="auto"/>
        <w:ind w:left="540" w:hanging="271"/>
      </w:pPr>
      <w:r>
        <w:t xml:space="preserve">4. Les éditeurs créent ou modifient des fiches ; certains changements passent par </w:t>
      </w:r>
      <w:r>
        <w:rPr>
          <w:rFonts w:ascii="Consolas" w:hAnsi="Consolas"/>
          <w:sz w:val="19"/>
        </w:rPr>
        <w:t>pending_change</w:t>
      </w:r>
      <w:r>
        <w:t>.</w:t>
      </w:r>
    </w:p>
    <w:p>
      <w:pPr>
        <w:spacing w:after="80" w:line="300" w:lineRule="auto"/>
        <w:ind w:left="540" w:hanging="271"/>
      </w:pPr>
      <w:r>
        <w:t>5. Les médias sont uploadés, traités, rattachés à un objet ou sous-lieu et publiés selon droits.</w:t>
      </w:r>
    </w:p>
    <w:p>
      <w:pPr>
        <w:spacing w:after="80" w:line="300" w:lineRule="auto"/>
        <w:ind w:left="540" w:hanging="271"/>
      </w:pPr>
      <w:r>
        <w:t>6. Les acteurs, contacts, consentements, notes et relances alimentent le suivi relationnel.</w:t>
      </w:r>
    </w:p>
    <w:p>
      <w:pPr>
        <w:spacing w:after="80" w:line="300" w:lineRule="auto"/>
        <w:ind w:left="540" w:hanging="271"/>
      </w:pPr>
      <w:r>
        <w:t>7. Les audits et incidents peuvent créer des tâches ou interactions.</w:t>
      </w:r>
    </w:p>
    <w:p>
      <w:pPr>
        <w:spacing w:after="80" w:line="300" w:lineRule="auto"/>
        <w:ind w:left="540" w:hanging="271"/>
      </w:pPr>
      <w:r>
        <w:t>8. Les triggers et logs conservent versions, avant/après et traces d'administration.</w:t>
      </w:r>
    </w:p>
    <w:p>
      <w:pPr>
        <w:spacing w:after="80" w:line="300" w:lineRule="auto"/>
        <w:ind w:left="540" w:hanging="271"/>
      </w:pPr>
      <w:r>
        <w:t>9. Les imports staging rapprochent des données historiques avant promotion en production.</w:t>
      </w:r>
    </w:p>
    <w:p>
      <w:pPr>
        <w:pStyle w:val="Heading1"/>
      </w:pPr>
      <w:r>
        <w:t>5. Nécessité et proportionnalité</w:t>
      </w:r>
    </w:p>
    <w:tbl>
      <w:tblPr>
        <w:tblStyle w:val="TableGrid"/>
        <w:tblW w:type="dxa" w:w="9360"/>
        <w:tblLook w:firstColumn="1" w:firstRow="1" w:lastColumn="0" w:lastRow="0" w:noHBand="0" w:noVBand="1" w:val="04A0"/>
        <w:tblLayout w:type="fixed"/>
        <w:tblInd w:w="120" w:type="dxa"/>
      </w:tblPr>
      <w:tblGrid>
        <w:gridCol w:w="4680"/>
        <w:gridCol w:w="4680"/>
      </w:tblGrid>
      <w:tr>
        <w:trPr>
          <w:tblHeader w:val="true"/>
          <w:cantSplit/>
        </w:trPr>
        <w:tc>
          <w:tcPr>
            <w:tcW w:type="dxa" w:w="2520"/>
            <w:vAlign w:val="center"/>
            <w:shd w:fill="E8EEF5"/>
          </w:tcPr>
          <w:p>
            <w:pPr>
              <w:spacing w:after="0"/>
            </w:pPr>
            <w:r/>
            <w:r>
              <w:rPr>
                <w:b/>
              </w:rPr>
              <w:t>Question</w:t>
            </w:r>
          </w:p>
        </w:tc>
        <w:tc>
          <w:tcPr>
            <w:tcW w:type="dxa" w:w="6840"/>
            <w:vAlign w:val="center"/>
            <w:shd w:fill="E8EEF5"/>
          </w:tcPr>
          <w:p>
            <w:pPr>
              <w:spacing w:after="0"/>
            </w:pPr>
            <w:r/>
            <w:r>
              <w:rPr>
                <w:b/>
              </w:rPr>
              <w:t>Évaluation provisoire</w:t>
            </w:r>
          </w:p>
        </w:tc>
      </w:tr>
      <w:tr>
        <w:trPr>
          <w:cantSplit/>
        </w:trPr>
        <w:tc>
          <w:tcPr>
            <w:tcW w:type="dxa" w:w="2520"/>
            <w:vAlign w:val="top"/>
          </w:tcPr>
          <w:p>
            <w:pPr>
              <w:spacing w:after="0"/>
            </w:pPr>
            <w:r/>
            <w:r>
              <w:t>Les données sont-elles nécessaires ?</w:t>
            </w:r>
          </w:p>
        </w:tc>
        <w:tc>
          <w:tcPr>
            <w:tcW w:type="dxa" w:w="6840"/>
            <w:vAlign w:val="top"/>
          </w:tcPr>
          <w:p>
            <w:pPr>
              <w:spacing w:after="0"/>
            </w:pPr>
            <w:r/>
            <w:r>
              <w:t>Oui. La majorité des données correspond au référentiel public ou publiable nécessaire à la mission de promotion touristique. Les données internes CRM/contacts privés doivent rester limitées au suivi métier réel.</w:t>
            </w:r>
          </w:p>
        </w:tc>
      </w:tr>
      <w:tr>
        <w:trPr>
          <w:cantSplit/>
        </w:trPr>
        <w:tc>
          <w:tcPr>
            <w:tcW w:type="dxa" w:w="2520"/>
            <w:vAlign w:val="top"/>
          </w:tcPr>
          <w:p>
            <w:pPr>
              <w:spacing w:after="0"/>
            </w:pPr>
            <w:r/>
            <w:r>
              <w:t>Les finalités sont-elles explicites ?</w:t>
            </w:r>
          </w:p>
        </w:tc>
        <w:tc>
          <w:tcPr>
            <w:tcW w:type="dxa" w:w="6840"/>
            <w:vAlign w:val="top"/>
          </w:tcPr>
          <w:p>
            <w:pPr>
              <w:spacing w:after="0"/>
            </w:pPr>
            <w:r/>
            <w:r>
              <w:t>Oui : publication touristique, qualité du référentiel, relation prestataires, conformité et sécurité. Elles doivent être formalisées dans les mentions d'information.</w:t>
            </w:r>
          </w:p>
        </w:tc>
      </w:tr>
      <w:tr>
        <w:trPr>
          <w:cantSplit/>
        </w:trPr>
        <w:tc>
          <w:tcPr>
            <w:tcW w:type="dxa" w:w="2520"/>
            <w:vAlign w:val="top"/>
          </w:tcPr>
          <w:p>
            <w:pPr>
              <w:spacing w:after="0"/>
            </w:pPr>
            <w:r/>
            <w:r>
              <w:t>Les bases légales sont-elles documentées ?</w:t>
            </w:r>
          </w:p>
        </w:tc>
        <w:tc>
          <w:tcPr>
            <w:tcW w:type="dxa" w:w="6840"/>
            <w:vAlign w:val="top"/>
          </w:tcPr>
          <w:p>
            <w:pPr>
              <w:spacing w:after="0"/>
            </w:pPr>
            <w:r/>
            <w:r>
              <w:t>Partiellement ; validation DPO requise par traitement.</w:t>
            </w:r>
          </w:p>
        </w:tc>
      </w:tr>
      <w:tr>
        <w:trPr>
          <w:cantSplit/>
        </w:trPr>
        <w:tc>
          <w:tcPr>
            <w:tcW w:type="dxa" w:w="2520"/>
            <w:vAlign w:val="top"/>
          </w:tcPr>
          <w:p>
            <w:pPr>
              <w:spacing w:after="0"/>
            </w:pPr>
            <w:r/>
            <w:r>
              <w:t>Les personnes sont-elles informées ?</w:t>
            </w:r>
          </w:p>
        </w:tc>
        <w:tc>
          <w:tcPr>
            <w:tcW w:type="dxa" w:w="6840"/>
            <w:vAlign w:val="top"/>
          </w:tcPr>
          <w:p>
            <w:pPr>
              <w:spacing w:after="0"/>
            </w:pPr>
            <w:r/>
            <w:r>
              <w:t>À compléter : mentions utilisateurs, prestataires, acteurs et déclarants d'incident ; préciser clairement que les informations publiques/professionnelles peuvent être diffusées dans le référentiel.</w:t>
            </w:r>
          </w:p>
        </w:tc>
      </w:tr>
      <w:tr>
        <w:trPr>
          <w:cantSplit/>
        </w:trPr>
        <w:tc>
          <w:tcPr>
            <w:tcW w:type="dxa" w:w="2520"/>
            <w:vAlign w:val="top"/>
          </w:tcPr>
          <w:p>
            <w:pPr>
              <w:spacing w:after="0"/>
            </w:pPr>
            <w:r/>
            <w:r>
              <w:t>Les droits sont-ils exerçables ?</w:t>
            </w:r>
          </w:p>
        </w:tc>
        <w:tc>
          <w:tcPr>
            <w:tcW w:type="dxa" w:w="6840"/>
            <w:vAlign w:val="top"/>
          </w:tcPr>
          <w:p>
            <w:pPr>
              <w:spacing w:after="0"/>
            </w:pPr>
            <w:r/>
            <w:r>
              <w:t>Procédure à mettre en place ; tables cibles identifiées.</w:t>
            </w:r>
          </w:p>
        </w:tc>
      </w:tr>
      <w:tr>
        <w:trPr>
          <w:cantSplit/>
        </w:trPr>
        <w:tc>
          <w:tcPr>
            <w:tcW w:type="dxa" w:w="2520"/>
            <w:vAlign w:val="top"/>
          </w:tcPr>
          <w:p>
            <w:pPr>
              <w:spacing w:after="0"/>
            </w:pPr>
            <w:r/>
            <w:r>
              <w:t>La conservation est-elle limitée ?</w:t>
            </w:r>
          </w:p>
        </w:tc>
        <w:tc>
          <w:tcPr>
            <w:tcW w:type="dxa" w:w="6840"/>
            <w:vAlign w:val="top"/>
          </w:tcPr>
          <w:p>
            <w:pPr>
              <w:spacing w:after="0"/>
            </w:pPr>
            <w:r/>
            <w:r>
              <w:t>À compléter : durées et purge/anonymisation non encore formalisées, priorité sur CRM, notes privées, imports staging et logs.</w:t>
            </w:r>
          </w:p>
        </w:tc>
      </w:tr>
      <w:tr>
        <w:trPr>
          <w:cantSplit/>
        </w:trPr>
        <w:tc>
          <w:tcPr>
            <w:tcW w:type="dxa" w:w="2520"/>
            <w:vAlign w:val="top"/>
          </w:tcPr>
          <w:p>
            <w:pPr>
              <w:spacing w:after="0"/>
            </w:pPr>
            <w:r/>
            <w:r>
              <w:t>Les accès sont-ils maîtrisés ?</w:t>
            </w:r>
          </w:p>
        </w:tc>
        <w:tc>
          <w:tcPr>
            <w:tcW w:type="dxa" w:w="6840"/>
            <w:vAlign w:val="top"/>
          </w:tcPr>
          <w:p>
            <w:pPr>
              <w:spacing w:after="0"/>
            </w:pPr>
            <w:r/>
            <w:r>
              <w:t>Oui techniquement par rôles, RBAC et RLS ; revue périodique à instituer.</w:t>
            </w:r>
          </w:p>
        </w:tc>
      </w:tr>
      <w:tr>
        <w:trPr>
          <w:cantSplit/>
        </w:trPr>
        <w:tc>
          <w:tcPr>
            <w:tcW w:type="dxa" w:w="2520"/>
            <w:vAlign w:val="top"/>
          </w:tcPr>
          <w:p>
            <w:pPr>
              <w:spacing w:after="0"/>
            </w:pPr>
            <w:r/>
            <w:r>
              <w:t>Les données publiques/interne sont-elles séparées ?</w:t>
            </w:r>
          </w:p>
        </w:tc>
        <w:tc>
          <w:tcPr>
            <w:tcW w:type="dxa" w:w="6840"/>
            <w:vAlign w:val="top"/>
          </w:tcPr>
          <w:p>
            <w:pPr>
              <w:spacing w:after="0"/>
            </w:pPr>
            <w:r/>
            <w:r>
              <w:t xml:space="preserve">Oui par champs </w:t>
            </w:r>
            <w:r>
              <w:rPr>
                <w:rFonts w:ascii="Consolas" w:hAnsi="Consolas"/>
                <w:sz w:val="19"/>
              </w:rPr>
              <w:t>is_public</w:t>
            </w:r>
            <w:r>
              <w:t xml:space="preserve">, </w:t>
            </w:r>
            <w:r>
              <w:rPr>
                <w:rFonts w:ascii="Consolas" w:hAnsi="Consolas"/>
                <w:sz w:val="19"/>
              </w:rPr>
              <w:t>visibility</w:t>
            </w:r>
            <w:r>
              <w:t>, statuts et politiques ; vigilance sur notes/médias.</w:t>
            </w:r>
          </w:p>
        </w:tc>
      </w:tr>
    </w:tbl>
    <w:p>
      <w:pPr>
        <w:pStyle w:val="Heading1"/>
      </w:pPr>
      <w:r>
        <w:t>6. Mesures existantes identifiées</w:t>
      </w:r>
    </w:p>
    <w:p>
      <w:pPr>
        <w:pStyle w:val="ListBullet"/>
      </w:pPr>
      <w:r>
        <w:t>Authentification Supabase Auth et option Google OAuth.</w:t>
      </w:r>
    </w:p>
    <w:p>
      <w:pPr>
        <w:pStyle w:val="ListBullet"/>
      </w:pPr>
      <w:r>
        <w:t>Communications HTTPS.</w:t>
      </w:r>
    </w:p>
    <w:p>
      <w:pPr>
        <w:pStyle w:val="ListBullet"/>
      </w:pPr>
      <w:r>
        <w:t xml:space="preserve">Rôles plateforme : </w:t>
      </w:r>
      <w:r>
        <w:rPr>
          <w:rFonts w:ascii="Consolas" w:hAnsi="Consolas"/>
          <w:sz w:val="19"/>
        </w:rPr>
        <w:t>owner</w:t>
      </w:r>
      <w:r>
        <w:t xml:space="preserve">, </w:t>
      </w:r>
      <w:r>
        <w:rPr>
          <w:rFonts w:ascii="Consolas" w:hAnsi="Consolas"/>
          <w:sz w:val="19"/>
        </w:rPr>
        <w:t>super_admin</w:t>
      </w:r>
      <w:r>
        <w:t xml:space="preserve">, </w:t>
      </w:r>
      <w:r>
        <w:rPr>
          <w:rFonts w:ascii="Consolas" w:hAnsi="Consolas"/>
          <w:sz w:val="19"/>
        </w:rPr>
        <w:t>tourism_agent</w:t>
      </w:r>
      <w:r>
        <w:t>.</w:t>
      </w:r>
    </w:p>
    <w:p>
      <w:pPr>
        <w:pStyle w:val="ListBullet"/>
      </w:pPr>
      <w:r>
        <w:t>Rôles organisation, rangs admin et permissions fines.</w:t>
      </w:r>
    </w:p>
    <w:p>
      <w:pPr>
        <w:pStyle w:val="ListBullet"/>
      </w:pPr>
      <w:r>
        <w:t xml:space="preserve">RLS sur les tables publiques exposées et helpers </w:t>
      </w:r>
      <w:r>
        <w:rPr>
          <w:rFonts w:ascii="Consolas" w:hAnsi="Consolas"/>
          <w:sz w:val="19"/>
        </w:rPr>
        <w:t>api.can_read_object</w:t>
      </w:r>
      <w:r>
        <w:t xml:space="preserve">, </w:t>
      </w:r>
      <w:r>
        <w:rPr>
          <w:rFonts w:ascii="Consolas" w:hAnsi="Consolas"/>
          <w:sz w:val="19"/>
        </w:rPr>
        <w:t>api.user_can_write_object_canonical</w:t>
      </w:r>
      <w:r>
        <w:t xml:space="preserve">, </w:t>
      </w:r>
      <w:r>
        <w:rPr>
          <w:rFonts w:ascii="Consolas" w:hAnsi="Consolas"/>
          <w:sz w:val="19"/>
        </w:rPr>
        <w:t>api.current_user_extended_object_ids</w:t>
      </w:r>
      <w:r>
        <w:t>.</w:t>
      </w:r>
    </w:p>
    <w:p>
      <w:pPr>
        <w:pStyle w:val="ListBullet"/>
      </w:pPr>
      <w:r>
        <w:t>Séparation publié/brouillon/archivé/masqué.</w:t>
      </w:r>
    </w:p>
    <w:p>
      <w:pPr>
        <w:pStyle w:val="ListBullet"/>
      </w:pPr>
      <w:r>
        <w:t xml:space="preserve">Modération via </w:t>
      </w:r>
      <w:r>
        <w:rPr>
          <w:rFonts w:ascii="Consolas" w:hAnsi="Consolas"/>
          <w:sz w:val="19"/>
        </w:rPr>
        <w:t>pending_change</w:t>
      </w:r>
      <w:r>
        <w:t>.</w:t>
      </w:r>
    </w:p>
    <w:p>
      <w:pPr>
        <w:pStyle w:val="ListBullet"/>
      </w:pPr>
      <w:r>
        <w:t xml:space="preserve">Versioning </w:t>
      </w:r>
      <w:r>
        <w:rPr>
          <w:rFonts w:ascii="Consolas" w:hAnsi="Consolas"/>
          <w:sz w:val="19"/>
        </w:rPr>
        <w:t>object_version</w:t>
      </w:r>
      <w:r>
        <w:t>.</w:t>
      </w:r>
    </w:p>
    <w:p>
      <w:pPr>
        <w:pStyle w:val="ListBullet"/>
      </w:pPr>
      <w:r>
        <w:t xml:space="preserve">Audit log partitionné </w:t>
      </w:r>
      <w:r>
        <w:rPr>
          <w:rFonts w:ascii="Consolas" w:hAnsi="Consolas"/>
          <w:sz w:val="19"/>
        </w:rPr>
        <w:t>audit.audit_log</w:t>
      </w:r>
      <w:r>
        <w:t xml:space="preserve"> pour UPDATE/DELETE.</w:t>
      </w:r>
    </w:p>
    <w:p>
      <w:pPr>
        <w:pStyle w:val="ListBullet"/>
      </w:pPr>
      <w:r>
        <w:t>Logs administratifs et contrôles d'accès, selon le modèle badgeuse.</w:t>
      </w:r>
    </w:p>
    <w:p>
      <w:pPr>
        <w:pStyle w:val="ListBullet"/>
      </w:pPr>
      <w:r>
        <w:t>Triggers de cohérence : objet, média principal, dates légales, statut, ORG.</w:t>
      </w:r>
    </w:p>
    <w:p>
      <w:pPr>
        <w:pStyle w:val="ListBullet"/>
      </w:pPr>
      <w:r>
        <w:t>Visibilité médias et contacts.</w:t>
      </w:r>
    </w:p>
    <w:p>
      <w:pPr>
        <w:pStyle w:val="ListBullet"/>
      </w:pPr>
      <w:r>
        <w:t>Consentements dédiés pour acteurs.</w:t>
      </w:r>
    </w:p>
    <w:p>
      <w:pPr>
        <w:pStyle w:val="ListBullet"/>
      </w:pPr>
      <w:r>
        <w:t>Indicateurs de droits médias (</w:t>
      </w:r>
      <w:r>
        <w:rPr>
          <w:rFonts w:ascii="Consolas" w:hAnsi="Consolas"/>
          <w:sz w:val="19"/>
        </w:rPr>
        <w:t>rights_expires_at</w:t>
      </w:r>
      <w:r>
        <w:t>).</w:t>
      </w:r>
    </w:p>
    <w:p>
      <w:pPr>
        <w:pStyle w:val="ListBullet"/>
      </w:pPr>
      <w:r>
        <w:t>Hébergement UE de référence OVH France, à confirmer si l'architecture Bertel diffère.</w:t>
      </w:r>
    </w:p>
    <w:p>
      <w:pPr>
        <w:pStyle w:val="Heading1"/>
      </w:pPr>
      <w:r>
        <w:t>7. Risques et mesures complémentaires</w:t>
      </w:r>
    </w:p>
    <w:tbl>
      <w:tblPr>
        <w:tblStyle w:val="TableGrid"/>
        <w:tblW w:type="dxa" w:w="9360"/>
        <w:tblLook w:firstColumn="1" w:firstRow="1" w:lastColumn="0" w:lastRow="0" w:noHBand="0" w:noVBand="1" w:val="04A0"/>
        <w:tblLayout w:type="fixed"/>
        <w:tblInd w:w="120" w:type="dxa"/>
      </w:tblPr>
      <w:tblGrid>
        <w:gridCol w:w="1872"/>
        <w:gridCol w:w="1872"/>
        <w:gridCol w:w="1872"/>
        <w:gridCol w:w="1872"/>
        <w:gridCol w:w="1872"/>
      </w:tblGrid>
      <w:tr>
        <w:trPr>
          <w:tblHeader w:val="true"/>
          <w:cantSplit/>
        </w:trPr>
        <w:tc>
          <w:tcPr>
            <w:tcW w:type="dxa" w:w="1872"/>
            <w:vAlign w:val="center"/>
            <w:shd w:fill="E8EEF5"/>
          </w:tcPr>
          <w:p>
            <w:pPr>
              <w:spacing w:after="0"/>
            </w:pPr>
            <w:r/>
            <w:r>
              <w:rPr>
                <w:b/>
              </w:rPr>
              <w:t>Risque</w:t>
            </w:r>
          </w:p>
        </w:tc>
        <w:tc>
          <w:tcPr>
            <w:tcW w:type="dxa" w:w="1872"/>
            <w:vAlign w:val="center"/>
            <w:shd w:fill="E8EEF5"/>
          </w:tcPr>
          <w:p>
            <w:pPr>
              <w:spacing w:after="0"/>
            </w:pPr>
            <w:r/>
            <w:r>
              <w:rPr>
                <w:b/>
              </w:rPr>
              <w:t>Niveau initial</w:t>
            </w:r>
          </w:p>
        </w:tc>
        <w:tc>
          <w:tcPr>
            <w:tcW w:type="dxa" w:w="1872"/>
            <w:vAlign w:val="center"/>
            <w:shd w:fill="E8EEF5"/>
          </w:tcPr>
          <w:p>
            <w:pPr>
              <w:spacing w:after="0"/>
            </w:pPr>
            <w:r/>
            <w:r>
              <w:rPr>
                <w:b/>
              </w:rPr>
              <w:t>Mesures existantes</w:t>
            </w:r>
          </w:p>
        </w:tc>
        <w:tc>
          <w:tcPr>
            <w:tcW w:type="dxa" w:w="1872"/>
            <w:vAlign w:val="center"/>
            <w:shd w:fill="E8EEF5"/>
          </w:tcPr>
          <w:p>
            <w:pPr>
              <w:spacing w:after="0"/>
            </w:pPr>
            <w:r/>
            <w:r>
              <w:rPr>
                <w:b/>
              </w:rPr>
              <w:t>Mesures à ajouter</w:t>
            </w:r>
          </w:p>
        </w:tc>
        <w:tc>
          <w:tcPr>
            <w:tcW w:type="dxa" w:w="1872"/>
            <w:vAlign w:val="center"/>
            <w:shd w:fill="E8EEF5"/>
          </w:tcPr>
          <w:p>
            <w:pPr>
              <w:spacing w:after="0"/>
            </w:pPr>
            <w:r/>
            <w:r>
              <w:rPr>
                <w:b/>
              </w:rPr>
              <w:t>Résiduel cible</w:t>
            </w:r>
          </w:p>
        </w:tc>
      </w:tr>
      <w:tr>
        <w:trPr>
          <w:cantSplit/>
        </w:trPr>
        <w:tc>
          <w:tcPr>
            <w:tcW w:type="dxa" w:w="1872"/>
            <w:vAlign w:val="top"/>
          </w:tcPr>
          <w:p>
            <w:pPr>
              <w:spacing w:after="0"/>
            </w:pPr>
            <w:r/>
            <w:r>
              <w:t>Stockage et publication du référentiel touristique public.</w:t>
            </w:r>
          </w:p>
        </w:tc>
        <w:tc>
          <w:tcPr>
            <w:tcW w:type="dxa" w:w="1872"/>
            <w:vAlign w:val="top"/>
          </w:tcPr>
          <w:p>
            <w:pPr>
              <w:spacing w:after="0"/>
            </w:pPr>
            <w:r/>
            <w:r>
              <w:t>Faible</w:t>
            </w:r>
          </w:p>
        </w:tc>
        <w:tc>
          <w:tcPr>
            <w:tcW w:type="dxa" w:w="1872"/>
            <w:vAlign w:val="top"/>
          </w:tcPr>
          <w:p>
            <w:pPr>
              <w:spacing w:after="0"/>
            </w:pPr>
            <w:r/>
            <w:r>
              <w:t>Statuts de publication, champs de visibilité, modération, RLS, versioning.</w:t>
            </w:r>
          </w:p>
        </w:tc>
        <w:tc>
          <w:tcPr>
            <w:tcW w:type="dxa" w:w="1872"/>
            <w:vAlign w:val="top"/>
          </w:tcPr>
          <w:p>
            <w:pPr>
              <w:spacing w:after="0"/>
            </w:pPr>
            <w:r/>
            <w:r>
              <w:t>Contrôle qualité périodique et mentions d'information indiquant la diffusion des données publiques/professionnelles.</w:t>
            </w:r>
          </w:p>
        </w:tc>
        <w:tc>
          <w:tcPr>
            <w:tcW w:type="dxa" w:w="1872"/>
            <w:vAlign w:val="top"/>
          </w:tcPr>
          <w:p>
            <w:pPr>
              <w:spacing w:after="0"/>
            </w:pPr>
            <w:r/>
            <w:r>
              <w:t>Faible</w:t>
            </w:r>
          </w:p>
        </w:tc>
      </w:tr>
      <w:tr>
        <w:trPr>
          <w:cantSplit/>
        </w:trPr>
        <w:tc>
          <w:tcPr>
            <w:tcW w:type="dxa" w:w="1872"/>
            <w:vAlign w:val="top"/>
          </w:tcPr>
          <w:p>
            <w:pPr>
              <w:spacing w:after="0"/>
            </w:pPr>
            <w:r/>
            <w:r>
              <w:t>Publication d'une coordonnée personnelle non destinée au public.</w:t>
            </w:r>
          </w:p>
        </w:tc>
        <w:tc>
          <w:tcPr>
            <w:tcW w:type="dxa" w:w="1872"/>
            <w:vAlign w:val="top"/>
          </w:tcPr>
          <w:p>
            <w:pPr>
              <w:spacing w:after="0"/>
            </w:pPr>
            <w:r/>
            <w:r>
              <w:t>Moyen</w:t>
            </w:r>
          </w:p>
        </w:tc>
        <w:tc>
          <w:tcPr>
            <w:tcW w:type="dxa" w:w="1872"/>
            <w:vAlign w:val="top"/>
          </w:tcPr>
          <w:p>
            <w:pPr>
              <w:spacing w:after="0"/>
            </w:pPr>
            <w:r/>
            <w:r>
              <w:rPr>
                <w:rFonts w:ascii="Consolas" w:hAnsi="Consolas"/>
                <w:sz w:val="19"/>
              </w:rPr>
              <w:t>is_public</w:t>
            </w:r>
            <w:r>
              <w:t xml:space="preserve">, séparation </w:t>
            </w:r>
            <w:r>
              <w:rPr>
                <w:rFonts w:ascii="Consolas" w:hAnsi="Consolas"/>
                <w:sz w:val="19"/>
              </w:rPr>
              <w:t>contact_channel</w:t>
            </w:r>
            <w:r>
              <w:t xml:space="preserve"> / </w:t>
            </w:r>
            <w:r>
              <w:rPr>
                <w:rFonts w:ascii="Consolas" w:hAnsi="Consolas"/>
                <w:sz w:val="19"/>
              </w:rPr>
              <w:t>actor_channel</w:t>
            </w:r>
            <w:r>
              <w:t>, RLS.</w:t>
            </w:r>
          </w:p>
        </w:tc>
        <w:tc>
          <w:tcPr>
            <w:tcW w:type="dxa" w:w="1872"/>
            <w:vAlign w:val="top"/>
          </w:tcPr>
          <w:p>
            <w:pPr>
              <w:spacing w:after="0"/>
            </w:pPr>
            <w:r/>
            <w:r>
              <w:t>Revue périodique contacts, avertissement UI, procédure correction urgente, règle de distinction coordonnées publiques/personnelles.</w:t>
            </w:r>
          </w:p>
        </w:tc>
        <w:tc>
          <w:tcPr>
            <w:tcW w:type="dxa" w:w="1872"/>
            <w:vAlign w:val="top"/>
          </w:tcPr>
          <w:p>
            <w:pPr>
              <w:spacing w:after="0"/>
            </w:pPr>
            <w:r/>
            <w:r>
              <w:t>Faible à moyen</w:t>
            </w:r>
          </w:p>
        </w:tc>
      </w:tr>
      <w:tr>
        <w:trPr>
          <w:cantSplit/>
        </w:trPr>
        <w:tc>
          <w:tcPr>
            <w:tcW w:type="dxa" w:w="1872"/>
            <w:vAlign w:val="top"/>
          </w:tcPr>
          <w:p>
            <w:pPr>
              <w:spacing w:after="0"/>
            </w:pPr>
            <w:r/>
            <w:r>
              <w:t>Accès non autorisé aux interactions OTI/prestataires, brouillons ou notes privées.</w:t>
            </w:r>
          </w:p>
        </w:tc>
        <w:tc>
          <w:tcPr>
            <w:tcW w:type="dxa" w:w="1872"/>
            <w:vAlign w:val="top"/>
          </w:tcPr>
          <w:p>
            <w:pPr>
              <w:spacing w:after="0"/>
            </w:pPr>
            <w:r/>
            <w:r>
              <w:t>Moyen</w:t>
            </w:r>
          </w:p>
        </w:tc>
        <w:tc>
          <w:tcPr>
            <w:tcW w:type="dxa" w:w="1872"/>
            <w:vAlign w:val="top"/>
          </w:tcPr>
          <w:p>
            <w:pPr>
              <w:spacing w:after="0"/>
            </w:pPr>
            <w:r/>
            <w:r>
              <w:t xml:space="preserve">RLS, organisation active, </w:t>
            </w:r>
            <w:r>
              <w:rPr>
                <w:rFonts w:ascii="Consolas" w:hAnsi="Consolas"/>
                <w:sz w:val="19"/>
              </w:rPr>
              <w:t>can_read_extended</w:t>
            </w:r>
            <w:r>
              <w:t>, RBAC.</w:t>
            </w:r>
          </w:p>
        </w:tc>
        <w:tc>
          <w:tcPr>
            <w:tcW w:type="dxa" w:w="1872"/>
            <w:vAlign w:val="top"/>
          </w:tcPr>
          <w:p>
            <w:pPr>
              <w:spacing w:after="0"/>
            </w:pPr>
            <w:r/>
            <w:r>
              <w:t>Tests RLS périodiques, revue admin, journal des exceptions.</w:t>
            </w:r>
          </w:p>
        </w:tc>
        <w:tc>
          <w:tcPr>
            <w:tcW w:type="dxa" w:w="1872"/>
            <w:vAlign w:val="top"/>
          </w:tcPr>
          <w:p>
            <w:pPr>
              <w:spacing w:after="0"/>
            </w:pPr>
            <w:r/>
            <w:r>
              <w:t>Faible</w:t>
            </w:r>
          </w:p>
        </w:tc>
      </w:tr>
      <w:tr>
        <w:trPr>
          <w:cantSplit/>
        </w:trPr>
        <w:tc>
          <w:tcPr>
            <w:tcW w:type="dxa" w:w="1872"/>
            <w:vAlign w:val="top"/>
          </w:tcPr>
          <w:p>
            <w:pPr>
              <w:spacing w:after="0"/>
            </w:pPr>
            <w:r/>
            <w:r>
              <w:t>Notes CRM contenant données sensibles, subjectives ou non nécessaires.</w:t>
            </w:r>
          </w:p>
        </w:tc>
        <w:tc>
          <w:tcPr>
            <w:tcW w:type="dxa" w:w="1872"/>
            <w:vAlign w:val="top"/>
          </w:tcPr>
          <w:p>
            <w:pPr>
              <w:spacing w:after="0"/>
            </w:pPr>
            <w:r/>
            <w:r>
              <w:t>Moyen</w:t>
            </w:r>
          </w:p>
        </w:tc>
        <w:tc>
          <w:tcPr>
            <w:tcW w:type="dxa" w:w="1872"/>
            <w:vAlign w:val="top"/>
          </w:tcPr>
          <w:p>
            <w:pPr>
              <w:spacing w:after="0"/>
            </w:pPr>
            <w:r/>
            <w:r>
              <w:t>Accès interne, page CRM, permissions.</w:t>
            </w:r>
          </w:p>
        </w:tc>
        <w:tc>
          <w:tcPr>
            <w:tcW w:type="dxa" w:w="1872"/>
            <w:vAlign w:val="top"/>
          </w:tcPr>
          <w:p>
            <w:pPr>
              <w:spacing w:after="0"/>
            </w:pPr>
            <w:r/>
            <w:r>
              <w:t>Charte de rédaction, purge/archivage, formation utilisateurs.</w:t>
            </w:r>
          </w:p>
        </w:tc>
        <w:tc>
          <w:tcPr>
            <w:tcW w:type="dxa" w:w="1872"/>
            <w:vAlign w:val="top"/>
          </w:tcPr>
          <w:p>
            <w:pPr>
              <w:spacing w:after="0"/>
            </w:pPr>
            <w:r/>
            <w:r>
              <w:t>Faible à moyen</w:t>
            </w:r>
          </w:p>
        </w:tc>
      </w:tr>
      <w:tr>
        <w:trPr>
          <w:cantSplit/>
        </w:trPr>
        <w:tc>
          <w:tcPr>
            <w:tcW w:type="dxa" w:w="1872"/>
            <w:vAlign w:val="top"/>
          </w:tcPr>
          <w:p>
            <w:pPr>
              <w:spacing w:after="0"/>
            </w:pPr>
            <w:r/>
            <w:r>
              <w:t>Confusion entre donnée publique et donnée interne lors d'un export ou partage.</w:t>
            </w:r>
          </w:p>
        </w:tc>
        <w:tc>
          <w:tcPr>
            <w:tcW w:type="dxa" w:w="1872"/>
            <w:vAlign w:val="top"/>
          </w:tcPr>
          <w:p>
            <w:pPr>
              <w:spacing w:after="0"/>
            </w:pPr>
            <w:r/>
            <w:r>
              <w:t>Moyen</w:t>
            </w:r>
          </w:p>
        </w:tc>
        <w:tc>
          <w:tcPr>
            <w:tcW w:type="dxa" w:w="1872"/>
            <w:vAlign w:val="top"/>
          </w:tcPr>
          <w:p>
            <w:pPr>
              <w:spacing w:after="0"/>
            </w:pPr>
            <w:r/>
            <w:r>
              <w:t>Statuts, champs de visibilité, séparation public/interne.</w:t>
            </w:r>
          </w:p>
        </w:tc>
        <w:tc>
          <w:tcPr>
            <w:tcW w:type="dxa" w:w="1872"/>
            <w:vAlign w:val="top"/>
          </w:tcPr>
          <w:p>
            <w:pPr>
              <w:spacing w:after="0"/>
            </w:pPr>
            <w:r/>
            <w:r>
              <w:t>Checklist export, revue avant diffusion, limitation des exports massifs.</w:t>
            </w:r>
          </w:p>
        </w:tc>
        <w:tc>
          <w:tcPr>
            <w:tcW w:type="dxa" w:w="1872"/>
            <w:vAlign w:val="top"/>
          </w:tcPr>
          <w:p>
            <w:pPr>
              <w:spacing w:after="0"/>
            </w:pPr>
            <w:r/>
            <w:r>
              <w:t>Faible</w:t>
            </w:r>
          </w:p>
        </w:tc>
      </w:tr>
      <w:tr>
        <w:trPr>
          <w:cantSplit/>
        </w:trPr>
        <w:tc>
          <w:tcPr>
            <w:tcW w:type="dxa" w:w="1872"/>
            <w:vAlign w:val="top"/>
          </w:tcPr>
          <w:p>
            <w:pPr>
              <w:spacing w:after="0"/>
            </w:pPr>
            <w:r/>
            <w:r>
              <w:t>Secret technique exposé dans le frontend ou dépôt.</w:t>
            </w:r>
          </w:p>
        </w:tc>
        <w:tc>
          <w:tcPr>
            <w:tcW w:type="dxa" w:w="1872"/>
            <w:vAlign w:val="top"/>
          </w:tcPr>
          <w:p>
            <w:pPr>
              <w:spacing w:after="0"/>
            </w:pPr>
            <w:r/>
            <w:r>
              <w:t>Moyen</w:t>
            </w:r>
          </w:p>
        </w:tc>
        <w:tc>
          <w:tcPr>
            <w:tcW w:type="dxa" w:w="1872"/>
            <w:vAlign w:val="top"/>
          </w:tcPr>
          <w:p>
            <w:pPr>
              <w:spacing w:after="0"/>
            </w:pPr>
            <w:r/>
            <w:r>
              <w:t>Séparation client/service role prévue.</w:t>
            </w:r>
          </w:p>
        </w:tc>
        <w:tc>
          <w:tcPr>
            <w:tcW w:type="dxa" w:w="1872"/>
            <w:vAlign w:val="top"/>
          </w:tcPr>
          <w:p>
            <w:pPr>
              <w:spacing w:after="0"/>
            </w:pPr>
            <w:r/>
            <w:r>
              <w:t xml:space="preserve">Scan secrets, rotation, revue CI/CD, interdiction </w:t>
            </w:r>
            <w:r>
              <w:rPr>
                <w:rFonts w:ascii="Consolas" w:hAnsi="Consolas"/>
                <w:sz w:val="19"/>
              </w:rPr>
              <w:t>service_role</w:t>
            </w:r>
            <w:r>
              <w:t xml:space="preserve"> navigateur.</w:t>
            </w:r>
          </w:p>
        </w:tc>
        <w:tc>
          <w:tcPr>
            <w:tcW w:type="dxa" w:w="1872"/>
            <w:vAlign w:val="top"/>
          </w:tcPr>
          <w:p>
            <w:pPr>
              <w:spacing w:after="0"/>
            </w:pPr>
            <w:r/>
            <w:r>
              <w:t>Faible</w:t>
            </w:r>
          </w:p>
        </w:tc>
      </w:tr>
      <w:tr>
        <w:trPr>
          <w:cantSplit/>
        </w:trPr>
        <w:tc>
          <w:tcPr>
            <w:tcW w:type="dxa" w:w="1872"/>
            <w:vAlign w:val="top"/>
          </w:tcPr>
          <w:p>
            <w:pPr>
              <w:spacing w:after="0"/>
            </w:pPr>
            <w:r/>
            <w:r>
              <w:t>Média publiant une personne ou document identifiable sans droit.</w:t>
            </w:r>
          </w:p>
        </w:tc>
        <w:tc>
          <w:tcPr>
            <w:tcW w:type="dxa" w:w="1872"/>
            <w:vAlign w:val="top"/>
          </w:tcPr>
          <w:p>
            <w:pPr>
              <w:spacing w:after="0"/>
            </w:pPr>
            <w:r/>
            <w:r>
              <w:t>Moyen</w:t>
            </w:r>
          </w:p>
        </w:tc>
        <w:tc>
          <w:tcPr>
            <w:tcW w:type="dxa" w:w="1872"/>
            <w:vAlign w:val="top"/>
          </w:tcPr>
          <w:p>
            <w:pPr>
              <w:spacing w:after="0"/>
            </w:pPr>
            <w:r/>
            <w:r>
              <w:rPr>
                <w:rFonts w:ascii="Consolas" w:hAnsi="Consolas"/>
                <w:sz w:val="19"/>
              </w:rPr>
              <w:t>is_published</w:t>
            </w:r>
            <w:r>
              <w:t xml:space="preserve">, </w:t>
            </w:r>
            <w:r>
              <w:rPr>
                <w:rFonts w:ascii="Consolas" w:hAnsi="Consolas"/>
                <w:sz w:val="19"/>
              </w:rPr>
              <w:t>visibility</w:t>
            </w:r>
            <w:r>
              <w:t>, droits, crédits.</w:t>
            </w:r>
          </w:p>
        </w:tc>
        <w:tc>
          <w:tcPr>
            <w:tcW w:type="dxa" w:w="1872"/>
            <w:vAlign w:val="top"/>
          </w:tcPr>
          <w:p>
            <w:pPr>
              <w:spacing w:after="0"/>
            </w:pPr>
            <w:r/>
            <w:r>
              <w:t>Checklist média, floutage, validation avant publication, expiration automatisée.</w:t>
            </w:r>
          </w:p>
        </w:tc>
        <w:tc>
          <w:tcPr>
            <w:tcW w:type="dxa" w:w="1872"/>
            <w:vAlign w:val="top"/>
          </w:tcPr>
          <w:p>
            <w:pPr>
              <w:spacing w:after="0"/>
            </w:pPr>
            <w:r/>
            <w:r>
              <w:t>Faible à moyen</w:t>
            </w:r>
          </w:p>
        </w:tc>
      </w:tr>
      <w:tr>
        <w:trPr>
          <w:cantSplit/>
        </w:trPr>
        <w:tc>
          <w:tcPr>
            <w:tcW w:type="dxa" w:w="1872"/>
            <w:vAlign w:val="top"/>
          </w:tcPr>
          <w:p>
            <w:pPr>
              <w:spacing w:after="0"/>
            </w:pPr>
            <w:r/>
            <w:r>
              <w:t>Incident géolocalisé ou photo identifiant un déclarant ou tiers.</w:t>
            </w:r>
          </w:p>
        </w:tc>
        <w:tc>
          <w:tcPr>
            <w:tcW w:type="dxa" w:w="1872"/>
            <w:vAlign w:val="top"/>
          </w:tcPr>
          <w:p>
            <w:pPr>
              <w:spacing w:after="0"/>
            </w:pPr>
            <w:r/>
            <w:r>
              <w:t>Faible à moyen</w:t>
            </w:r>
          </w:p>
        </w:tc>
        <w:tc>
          <w:tcPr>
            <w:tcW w:type="dxa" w:w="1872"/>
            <w:vAlign w:val="top"/>
          </w:tcPr>
          <w:p>
            <w:pPr>
              <w:spacing w:after="0"/>
            </w:pPr>
            <w:r/>
            <w:r>
              <w:t>Champs déclarant facultatifs, accès interne.</w:t>
            </w:r>
          </w:p>
        </w:tc>
        <w:tc>
          <w:tcPr>
            <w:tcW w:type="dxa" w:w="1872"/>
            <w:vAlign w:val="top"/>
          </w:tcPr>
          <w:p>
            <w:pPr>
              <w:spacing w:after="0"/>
            </w:pPr>
            <w:r/>
            <w:r>
              <w:t>Formulaire minimisé, revue média incident, suppression des identifiants inutiles.</w:t>
            </w:r>
          </w:p>
        </w:tc>
        <w:tc>
          <w:tcPr>
            <w:tcW w:type="dxa" w:w="1872"/>
            <w:vAlign w:val="top"/>
          </w:tcPr>
          <w:p>
            <w:pPr>
              <w:spacing w:after="0"/>
            </w:pPr>
            <w:r/>
            <w:r>
              <w:t>Faible</w:t>
            </w:r>
          </w:p>
        </w:tc>
      </w:tr>
      <w:tr>
        <w:trPr>
          <w:cantSplit/>
        </w:trPr>
        <w:tc>
          <w:tcPr>
            <w:tcW w:type="dxa" w:w="1872"/>
            <w:vAlign w:val="top"/>
          </w:tcPr>
          <w:p>
            <w:pPr>
              <w:spacing w:after="0"/>
            </w:pPr>
            <w:r/>
            <w:r>
              <w:t>Conservation excessive des comptes, notes, logs ou imports staging.</w:t>
            </w:r>
          </w:p>
        </w:tc>
        <w:tc>
          <w:tcPr>
            <w:tcW w:type="dxa" w:w="1872"/>
            <w:vAlign w:val="top"/>
          </w:tcPr>
          <w:p>
            <w:pPr>
              <w:spacing w:after="0"/>
            </w:pPr>
            <w:r/>
            <w:r>
              <w:t>Moyen</w:t>
            </w:r>
          </w:p>
        </w:tc>
        <w:tc>
          <w:tcPr>
            <w:tcW w:type="dxa" w:w="1872"/>
            <w:vAlign w:val="top"/>
          </w:tcPr>
          <w:p>
            <w:pPr>
              <w:spacing w:after="0"/>
            </w:pPr>
            <w:r/>
            <w:r>
              <w:t>Partitions logs, statuts, archivage notes.</w:t>
            </w:r>
          </w:p>
        </w:tc>
        <w:tc>
          <w:tcPr>
            <w:tcW w:type="dxa" w:w="1872"/>
            <w:vAlign w:val="top"/>
          </w:tcPr>
          <w:p>
            <w:pPr>
              <w:spacing w:after="0"/>
            </w:pPr>
            <w:r/>
            <w:r>
              <w:t>Politique de conservation, jobs de purge/anonymisation, revue DPO.</w:t>
            </w:r>
          </w:p>
        </w:tc>
        <w:tc>
          <w:tcPr>
            <w:tcW w:type="dxa" w:w="1872"/>
            <w:vAlign w:val="top"/>
          </w:tcPr>
          <w:p>
            <w:pPr>
              <w:spacing w:after="0"/>
            </w:pPr>
            <w:r/>
            <w:r>
              <w:t>Faible à moyen</w:t>
            </w:r>
          </w:p>
        </w:tc>
      </w:tr>
      <w:tr>
        <w:trPr>
          <w:cantSplit/>
        </w:trPr>
        <w:tc>
          <w:tcPr>
            <w:tcW w:type="dxa" w:w="1872"/>
            <w:vAlign w:val="top"/>
          </w:tcPr>
          <w:p>
            <w:pPr>
              <w:spacing w:after="0"/>
            </w:pPr>
            <w:r/>
            <w:r>
              <w:t>Données historiques importées obsolètes ou mal qualifiées public/interne.</w:t>
            </w:r>
          </w:p>
        </w:tc>
        <w:tc>
          <w:tcPr>
            <w:tcW w:type="dxa" w:w="1872"/>
            <w:vAlign w:val="top"/>
          </w:tcPr>
          <w:p>
            <w:pPr>
              <w:spacing w:after="0"/>
            </w:pPr>
            <w:r/>
            <w:r>
              <w:t>Faible à moyen</w:t>
            </w:r>
          </w:p>
        </w:tc>
        <w:tc>
          <w:tcPr>
            <w:tcW w:type="dxa" w:w="1872"/>
            <w:vAlign w:val="top"/>
          </w:tcPr>
          <w:p>
            <w:pPr>
              <w:spacing w:after="0"/>
            </w:pPr>
            <w:r/>
            <w:r>
              <w:t>Staging, mapping, ledger de promotion.</w:t>
            </w:r>
          </w:p>
        </w:tc>
        <w:tc>
          <w:tcPr>
            <w:tcW w:type="dxa" w:w="1872"/>
            <w:vAlign w:val="top"/>
          </w:tcPr>
          <w:p>
            <w:pPr>
              <w:spacing w:after="0"/>
            </w:pPr>
            <w:r/>
            <w:r>
              <w:t>Notice import, contrôle exactitude, qualification public/interne, purge des lots rejetés.</w:t>
            </w:r>
          </w:p>
        </w:tc>
        <w:tc>
          <w:tcPr>
            <w:tcW w:type="dxa" w:w="1872"/>
            <w:vAlign w:val="top"/>
          </w:tcPr>
          <w:p>
            <w:pPr>
              <w:spacing w:after="0"/>
            </w:pPr>
            <w:r/>
            <w:r>
              <w:t>Faible</w:t>
            </w:r>
          </w:p>
        </w:tc>
      </w:tr>
      <w:tr>
        <w:trPr>
          <w:cantSplit/>
        </w:trPr>
        <w:tc>
          <w:tcPr>
            <w:tcW w:type="dxa" w:w="1872"/>
            <w:vAlign w:val="top"/>
          </w:tcPr>
          <w:p>
            <w:pPr>
              <w:spacing w:after="0"/>
            </w:pPr>
            <w:r/>
            <w:r>
              <w:t>Analyse IA des médias produisant des inférences non prévues.</w:t>
            </w:r>
          </w:p>
        </w:tc>
        <w:tc>
          <w:tcPr>
            <w:tcW w:type="dxa" w:w="1872"/>
            <w:vAlign w:val="top"/>
          </w:tcPr>
          <w:p>
            <w:pPr>
              <w:spacing w:after="0"/>
            </w:pPr>
            <w:r/>
            <w:r>
              <w:t>Faible à moyen</w:t>
            </w:r>
          </w:p>
        </w:tc>
        <w:tc>
          <w:tcPr>
            <w:tcW w:type="dxa" w:w="1872"/>
            <w:vAlign w:val="top"/>
          </w:tcPr>
          <w:p>
            <w:pPr>
              <w:spacing w:after="0"/>
            </w:pPr>
            <w:r/>
            <w:r>
              <w:rPr>
                <w:rFonts w:ascii="Consolas" w:hAnsi="Consolas"/>
                <w:sz w:val="19"/>
              </w:rPr>
              <w:t>analyse_data</w:t>
            </w:r>
            <w:r>
              <w:t xml:space="preserve"> isolé, usage décrit comme classification.</w:t>
            </w:r>
          </w:p>
        </w:tc>
        <w:tc>
          <w:tcPr>
            <w:tcW w:type="dxa" w:w="1872"/>
            <w:vAlign w:val="top"/>
          </w:tcPr>
          <w:p>
            <w:pPr>
              <w:spacing w:after="0"/>
            </w:pPr>
            <w:r/>
            <w:r>
              <w:t>Encadrer finalité IA, limiter conservation, informer si usage significatif.</w:t>
            </w:r>
          </w:p>
        </w:tc>
        <w:tc>
          <w:tcPr>
            <w:tcW w:type="dxa" w:w="1872"/>
            <w:vAlign w:val="top"/>
          </w:tcPr>
          <w:p>
            <w:pPr>
              <w:spacing w:after="0"/>
            </w:pPr>
            <w:r/>
            <w:r>
              <w:t>Faible</w:t>
            </w:r>
          </w:p>
        </w:tc>
      </w:tr>
      <w:tr>
        <w:trPr>
          <w:cantSplit/>
        </w:trPr>
        <w:tc>
          <w:tcPr>
            <w:tcW w:type="dxa" w:w="1872"/>
            <w:vAlign w:val="top"/>
          </w:tcPr>
          <w:p>
            <w:pPr>
              <w:spacing w:after="0"/>
            </w:pPr>
            <w:r/>
            <w:r>
              <w:t>Indisponibilité ou perte de données.</w:t>
            </w:r>
          </w:p>
        </w:tc>
        <w:tc>
          <w:tcPr>
            <w:tcW w:type="dxa" w:w="1872"/>
            <w:vAlign w:val="top"/>
          </w:tcPr>
          <w:p>
            <w:pPr>
              <w:spacing w:after="0"/>
            </w:pPr>
            <w:r/>
            <w:r>
              <w:t>Moyen</w:t>
            </w:r>
          </w:p>
        </w:tc>
        <w:tc>
          <w:tcPr>
            <w:tcW w:type="dxa" w:w="1872"/>
            <w:vAlign w:val="top"/>
          </w:tcPr>
          <w:p>
            <w:pPr>
              <w:spacing w:after="0"/>
            </w:pPr>
            <w:r/>
            <w:r>
              <w:t>Supabase/PostgreSQL, sauvegardes à confirmer.</w:t>
            </w:r>
          </w:p>
        </w:tc>
        <w:tc>
          <w:tcPr>
            <w:tcW w:type="dxa" w:w="1872"/>
            <w:vAlign w:val="top"/>
          </w:tcPr>
          <w:p>
            <w:pPr>
              <w:spacing w:after="0"/>
            </w:pPr>
            <w:r/>
            <w:r>
              <w:t>Plan sauvegarde-restauration, tests de restauration, RTO/RPO.</w:t>
            </w:r>
          </w:p>
        </w:tc>
        <w:tc>
          <w:tcPr>
            <w:tcW w:type="dxa" w:w="1872"/>
            <w:vAlign w:val="top"/>
          </w:tcPr>
          <w:p>
            <w:pPr>
              <w:spacing w:after="0"/>
            </w:pPr>
            <w:r/>
            <w:r>
              <w:t>Faible</w:t>
            </w:r>
          </w:p>
        </w:tc>
      </w:tr>
    </w:tbl>
    <w:p>
      <w:pPr>
        <w:pStyle w:val="Heading1"/>
      </w:pPr>
      <w:r>
        <w:t>8. Évaluation des droits et libertés</w:t>
      </w:r>
    </w:p>
    <w:p>
      <w:r>
        <w:t>Les impacts possibles portent sur :</w:t>
      </w:r>
    </w:p>
    <w:p>
      <w:pPr>
        <w:pStyle w:val="ListBullet"/>
      </w:pPr>
      <w:r>
        <w:t>exposition non souhaitée de coordonnées personnelles non destinées au public ;</w:t>
      </w:r>
    </w:p>
    <w:p>
      <w:pPr>
        <w:pStyle w:val="ListBullet"/>
      </w:pPr>
      <w:r>
        <w:t>perte de maîtrise sur les contacts et consentements ;</w:t>
      </w:r>
    </w:p>
    <w:p>
      <w:pPr>
        <w:pStyle w:val="ListBullet"/>
      </w:pPr>
      <w:r>
        <w:t>appréciations inexactes ou subjectives dans les notes CRM ;</w:t>
      </w:r>
    </w:p>
    <w:p>
      <w:pPr>
        <w:pStyle w:val="ListBullet"/>
      </w:pPr>
      <w:r>
        <w:t>refus ou retard de correction/suppression ;</w:t>
      </w:r>
    </w:p>
    <w:p>
      <w:pPr>
        <w:pStyle w:val="ListBullet"/>
      </w:pPr>
      <w:r>
        <w:t>réutilisation de médias sans droit ;</w:t>
      </w:r>
    </w:p>
    <w:p>
      <w:pPr>
        <w:pStyle w:val="ListBullet"/>
      </w:pPr>
      <w:r>
        <w:t>accès non autorisé par un membre hors périmètre ;</w:t>
      </w:r>
    </w:p>
    <w:p>
      <w:pPr>
        <w:pStyle w:val="ListBullet"/>
      </w:pPr>
      <w:r>
        <w:t>conservation trop longue de traces et données historiques.</w:t>
      </w:r>
    </w:p>
    <w:p>
      <w:r>
        <w:t>Les catégories de données ne visent pas des données sensibles au sens de l'article 9 du RGPD, et le référentiel est très majoritairement public ou publiable. Cela réduit fortement le risque général du traitement : l'AIPD ne considère pas la simple conservation de fiches touristiques publiques comme un risque élevé. Des champs libres, interactions internes, coordonnées personnelles non publiques et médias peuvent toutefois contenir accidentellement des données personnelles non nécessaires. Cette possibilité doit être traitée comme un risque opérationnel ciblé. Le niveau résiduel visé est faible à moyen ; aucun risque élevé résiduel n'est identifié à ce stade sous réserve de validation DPO et de mise en oeuvre des mesures.</w:t>
      </w:r>
    </w:p>
    <w:p>
      <w:pPr>
        <w:pStyle w:val="Heading1"/>
      </w:pPr>
      <w:r>
        <w:t>9. Plan d'action AIPD</w:t>
      </w:r>
    </w:p>
    <w:tbl>
      <w:tblPr>
        <w:tblStyle w:val="TableGrid"/>
        <w:tblW w:type="dxa" w:w="9360"/>
        <w:tblLook w:firstColumn="1" w:firstRow="1" w:lastColumn="0" w:lastRow="0" w:noHBand="0" w:noVBand="1" w:val="04A0"/>
        <w:tblLayout w:type="fixed"/>
        <w:tblInd w:w="120" w:type="dxa"/>
      </w:tblPr>
      <w:tblGrid>
        <w:gridCol w:w="3120"/>
        <w:gridCol w:w="3120"/>
        <w:gridCol w:w="3120"/>
      </w:tblGrid>
      <w:tr>
        <w:trPr>
          <w:tblHeader w:val="true"/>
          <w:cantSplit/>
        </w:trPr>
        <w:tc>
          <w:tcPr>
            <w:tcW w:type="dxa" w:w="2232"/>
            <w:vAlign w:val="center"/>
            <w:shd w:fill="E8EEF5"/>
          </w:tcPr>
          <w:p>
            <w:pPr>
              <w:spacing w:after="0"/>
            </w:pPr>
            <w:r/>
            <w:r>
              <w:rPr>
                <w:b/>
              </w:rPr>
              <w:t>Priorité</w:t>
            </w:r>
          </w:p>
        </w:tc>
        <w:tc>
          <w:tcPr>
            <w:tcW w:type="dxa" w:w="3240"/>
            <w:vAlign w:val="center"/>
            <w:shd w:fill="E8EEF5"/>
          </w:tcPr>
          <w:p>
            <w:pPr>
              <w:spacing w:after="0"/>
            </w:pPr>
            <w:r/>
            <w:r>
              <w:rPr>
                <w:b/>
              </w:rPr>
              <w:t>Action</w:t>
            </w:r>
          </w:p>
        </w:tc>
        <w:tc>
          <w:tcPr>
            <w:tcW w:type="dxa" w:w="3888"/>
            <w:vAlign w:val="center"/>
            <w:shd w:fill="E8EEF5"/>
          </w:tcPr>
          <w:p>
            <w:pPr>
              <w:spacing w:after="0"/>
            </w:pPr>
            <w:r/>
            <w:r>
              <w:rPr>
                <w:b/>
              </w:rPr>
              <w:t>Responsable proposé</w:t>
            </w:r>
          </w:p>
        </w:tc>
      </w:tr>
      <w:tr>
        <w:trPr>
          <w:cantSplit/>
        </w:trPr>
        <w:tc>
          <w:tcPr>
            <w:tcW w:type="dxa" w:w="2232"/>
            <w:vAlign w:val="top"/>
          </w:tcPr>
          <w:p>
            <w:pPr>
              <w:spacing w:after="0"/>
            </w:pPr>
            <w:r/>
            <w:r>
              <w:t>Haute</w:t>
            </w:r>
          </w:p>
        </w:tc>
        <w:tc>
          <w:tcPr>
            <w:tcW w:type="dxa" w:w="3240"/>
            <w:vAlign w:val="top"/>
          </w:tcPr>
          <w:p>
            <w:pPr>
              <w:spacing w:after="0"/>
            </w:pPr>
            <w:r/>
            <w:r>
              <w:t>Confirmer responsable de traitement, référent RGPD, bases légales et mentions d'information.</w:t>
            </w:r>
          </w:p>
        </w:tc>
        <w:tc>
          <w:tcPr>
            <w:tcW w:type="dxa" w:w="3888"/>
            <w:vAlign w:val="top"/>
          </w:tcPr>
          <w:p>
            <w:pPr>
              <w:spacing w:after="0"/>
            </w:pPr>
            <w:r/>
            <w:r>
              <w:t>DPO / direction</w:t>
            </w:r>
          </w:p>
        </w:tc>
      </w:tr>
      <w:tr>
        <w:trPr>
          <w:cantSplit/>
        </w:trPr>
        <w:tc>
          <w:tcPr>
            <w:tcW w:type="dxa" w:w="2232"/>
            <w:vAlign w:val="top"/>
          </w:tcPr>
          <w:p>
            <w:pPr>
              <w:spacing w:after="0"/>
            </w:pPr>
            <w:r/>
            <w:r>
              <w:t>Haute</w:t>
            </w:r>
          </w:p>
        </w:tc>
        <w:tc>
          <w:tcPr>
            <w:tcW w:type="dxa" w:w="3240"/>
            <w:vAlign w:val="top"/>
          </w:tcPr>
          <w:p>
            <w:pPr>
              <w:spacing w:after="0"/>
            </w:pPr>
            <w:r/>
            <w:r>
              <w:t>Formaliser les durées de conservation et procédures de purge/anonymisation, surtout CRM, notes, coordonnées personnelles non publiques, imports et logs.</w:t>
            </w:r>
          </w:p>
        </w:tc>
        <w:tc>
          <w:tcPr>
            <w:tcW w:type="dxa" w:w="3888"/>
            <w:vAlign w:val="top"/>
          </w:tcPr>
          <w:p>
            <w:pPr>
              <w:spacing w:after="0"/>
            </w:pPr>
            <w:r/>
            <w:r>
              <w:t>DPO / technique</w:t>
            </w:r>
          </w:p>
        </w:tc>
      </w:tr>
      <w:tr>
        <w:trPr>
          <w:cantSplit/>
        </w:trPr>
        <w:tc>
          <w:tcPr>
            <w:tcW w:type="dxa" w:w="2232"/>
            <w:vAlign w:val="top"/>
          </w:tcPr>
          <w:p>
            <w:pPr>
              <w:spacing w:after="0"/>
            </w:pPr>
            <w:r/>
            <w:r>
              <w:t>Haute</w:t>
            </w:r>
          </w:p>
        </w:tc>
        <w:tc>
          <w:tcPr>
            <w:tcW w:type="dxa" w:w="3240"/>
            <w:vAlign w:val="top"/>
          </w:tcPr>
          <w:p>
            <w:pPr>
              <w:spacing w:after="0"/>
            </w:pPr>
            <w:r/>
            <w:r>
              <w:t>Créer procédure violation et registre des violations.</w:t>
            </w:r>
          </w:p>
        </w:tc>
        <w:tc>
          <w:tcPr>
            <w:tcW w:type="dxa" w:w="3888"/>
            <w:vAlign w:val="top"/>
          </w:tcPr>
          <w:p>
            <w:pPr>
              <w:spacing w:after="0"/>
            </w:pPr>
            <w:r/>
            <w:r>
              <w:t>DPO / sécurité</w:t>
            </w:r>
          </w:p>
        </w:tc>
      </w:tr>
      <w:tr>
        <w:trPr>
          <w:cantSplit/>
        </w:trPr>
        <w:tc>
          <w:tcPr>
            <w:tcW w:type="dxa" w:w="2232"/>
            <w:vAlign w:val="top"/>
          </w:tcPr>
          <w:p>
            <w:pPr>
              <w:spacing w:after="0"/>
            </w:pPr>
            <w:r/>
            <w:r>
              <w:t>Moyenne</w:t>
            </w:r>
          </w:p>
        </w:tc>
        <w:tc>
          <w:tcPr>
            <w:tcW w:type="dxa" w:w="3240"/>
            <w:vAlign w:val="top"/>
          </w:tcPr>
          <w:p>
            <w:pPr>
              <w:spacing w:after="0"/>
            </w:pPr>
            <w:r/>
            <w:r>
              <w:t xml:space="preserve">Auditer les RLS et les RPC </w:t>
            </w:r>
            <w:r>
              <w:rPr>
                <w:rFonts w:ascii="Consolas" w:hAnsi="Consolas"/>
                <w:sz w:val="19"/>
              </w:rPr>
              <w:t>SECURITY DEFINER</w:t>
            </w:r>
            <w:r>
              <w:t xml:space="preserve"> sensibles.</w:t>
            </w:r>
          </w:p>
        </w:tc>
        <w:tc>
          <w:tcPr>
            <w:tcW w:type="dxa" w:w="3888"/>
            <w:vAlign w:val="top"/>
          </w:tcPr>
          <w:p>
            <w:pPr>
              <w:spacing w:after="0"/>
            </w:pPr>
            <w:r/>
            <w:r>
              <w:t>Technique</w:t>
            </w:r>
          </w:p>
        </w:tc>
      </w:tr>
      <w:tr>
        <w:trPr>
          <w:cantSplit/>
        </w:trPr>
        <w:tc>
          <w:tcPr>
            <w:tcW w:type="dxa" w:w="2232"/>
            <w:vAlign w:val="top"/>
          </w:tcPr>
          <w:p>
            <w:pPr>
              <w:spacing w:after="0"/>
            </w:pPr>
            <w:r/>
            <w:r>
              <w:t>Moyenne</w:t>
            </w:r>
          </w:p>
        </w:tc>
        <w:tc>
          <w:tcPr>
            <w:tcW w:type="dxa" w:w="3240"/>
            <w:vAlign w:val="top"/>
          </w:tcPr>
          <w:p>
            <w:pPr>
              <w:spacing w:after="0"/>
            </w:pPr>
            <w:r/>
            <w:r>
              <w:t>Ajouter une checklist public/interne pour publication média/contact dans l'UI ou la procédure.</w:t>
            </w:r>
          </w:p>
        </w:tc>
        <w:tc>
          <w:tcPr>
            <w:tcW w:type="dxa" w:w="3888"/>
            <w:vAlign w:val="top"/>
          </w:tcPr>
          <w:p>
            <w:pPr>
              <w:spacing w:after="0"/>
            </w:pPr>
            <w:r/>
            <w:r>
              <w:t>Produit</w:t>
            </w:r>
          </w:p>
        </w:tc>
      </w:tr>
      <w:tr>
        <w:trPr>
          <w:cantSplit/>
        </w:trPr>
        <w:tc>
          <w:tcPr>
            <w:tcW w:type="dxa" w:w="2232"/>
            <w:vAlign w:val="top"/>
          </w:tcPr>
          <w:p>
            <w:pPr>
              <w:spacing w:after="0"/>
            </w:pPr>
            <w:r/>
            <w:r>
              <w:t>Moyenne</w:t>
            </w:r>
          </w:p>
        </w:tc>
        <w:tc>
          <w:tcPr>
            <w:tcW w:type="dxa" w:w="3240"/>
            <w:vAlign w:val="top"/>
          </w:tcPr>
          <w:p>
            <w:pPr>
              <w:spacing w:after="0"/>
            </w:pPr>
            <w:r/>
            <w:r>
              <w:t>Former les utilisateurs aux notes CRM factuelles et minimisées.</w:t>
            </w:r>
          </w:p>
        </w:tc>
        <w:tc>
          <w:tcPr>
            <w:tcW w:type="dxa" w:w="3888"/>
            <w:vAlign w:val="top"/>
          </w:tcPr>
          <w:p>
            <w:pPr>
              <w:spacing w:after="0"/>
            </w:pPr>
            <w:r/>
            <w:r>
              <w:t>DPO / métier</w:t>
            </w:r>
          </w:p>
        </w:tc>
      </w:tr>
      <w:tr>
        <w:trPr>
          <w:cantSplit/>
        </w:trPr>
        <w:tc>
          <w:tcPr>
            <w:tcW w:type="dxa" w:w="2232"/>
            <w:vAlign w:val="top"/>
          </w:tcPr>
          <w:p>
            <w:pPr>
              <w:spacing w:after="0"/>
            </w:pPr>
            <w:r/>
            <w:r>
              <w:t>Moyenne</w:t>
            </w:r>
          </w:p>
        </w:tc>
        <w:tc>
          <w:tcPr>
            <w:tcW w:type="dxa" w:w="3240"/>
            <w:vAlign w:val="top"/>
          </w:tcPr>
          <w:p>
            <w:pPr>
              <w:spacing w:after="0"/>
            </w:pPr>
            <w:r/>
            <w:r>
              <w:t>Documenter sous-traitants, transferts, sauvegardes et restauration ; confirmer OVH France ou l'hébergement effectif Bertel.</w:t>
            </w:r>
          </w:p>
        </w:tc>
        <w:tc>
          <w:tcPr>
            <w:tcW w:type="dxa" w:w="3888"/>
            <w:vAlign w:val="top"/>
          </w:tcPr>
          <w:p>
            <w:pPr>
              <w:spacing w:after="0"/>
            </w:pPr>
            <w:r/>
            <w:r>
              <w:t>Technique / DPO</w:t>
            </w:r>
          </w:p>
        </w:tc>
      </w:tr>
      <w:tr>
        <w:trPr>
          <w:cantSplit/>
        </w:trPr>
        <w:tc>
          <w:tcPr>
            <w:tcW w:type="dxa" w:w="2232"/>
            <w:vAlign w:val="top"/>
          </w:tcPr>
          <w:p>
            <w:pPr>
              <w:spacing w:after="0"/>
            </w:pPr>
            <w:r/>
            <w:r>
              <w:t>Moyenne</w:t>
            </w:r>
          </w:p>
        </w:tc>
        <w:tc>
          <w:tcPr>
            <w:tcW w:type="dxa" w:w="3240"/>
            <w:vAlign w:val="top"/>
          </w:tcPr>
          <w:p>
            <w:pPr>
              <w:spacing w:after="0"/>
            </w:pPr>
            <w:r/>
            <w:r>
              <w:t>Définir revue trimestrielle des droits admin et permissions.</w:t>
            </w:r>
          </w:p>
        </w:tc>
        <w:tc>
          <w:tcPr>
            <w:tcW w:type="dxa" w:w="3888"/>
            <w:vAlign w:val="top"/>
          </w:tcPr>
          <w:p>
            <w:pPr>
              <w:spacing w:after="0"/>
            </w:pPr>
            <w:r/>
            <w:r>
              <w:t>Admin plateforme</w:t>
            </w:r>
          </w:p>
        </w:tc>
      </w:tr>
    </w:tbl>
    <w:p>
      <w:pPr>
        <w:pStyle w:val="Heading1"/>
      </w:pPr>
      <w:r>
        <w:t>10. Critères de révision</w:t>
      </w:r>
    </w:p>
    <w:p>
      <w:r>
        <w:t>Réviser l'AIPD lorsque :</w:t>
      </w:r>
    </w:p>
    <w:p>
      <w:pPr>
        <w:pStyle w:val="ListBullet"/>
      </w:pPr>
      <w:r>
        <w:t>nouvelle famille de données personnelles ;</w:t>
      </w:r>
    </w:p>
    <w:p>
      <w:pPr>
        <w:pStyle w:val="ListBullet"/>
      </w:pPr>
      <w:r>
        <w:t>nouveau champ libre, média ou analyse IA ;</w:t>
      </w:r>
    </w:p>
    <w:p>
      <w:pPr>
        <w:pStyle w:val="ListBullet"/>
      </w:pPr>
      <w:r>
        <w:t>nouvelle diffusion publique ou export partenaire ;</w:t>
      </w:r>
    </w:p>
    <w:p>
      <w:pPr>
        <w:pStyle w:val="ListBullet"/>
      </w:pPr>
      <w:r>
        <w:t>nouveau sous-traitant ou transfert hors UE ;</w:t>
      </w:r>
    </w:p>
    <w:p>
      <w:pPr>
        <w:pStyle w:val="ListBullet"/>
      </w:pPr>
      <w:r>
        <w:t>changement significatif de RLS/RBAC/RPC ;</w:t>
      </w:r>
    </w:p>
    <w:p>
      <w:pPr>
        <w:pStyle w:val="ListBullet"/>
      </w:pPr>
      <w:r>
        <w:t>incident ou violation révélant un risque non couvert ;</w:t>
      </w:r>
    </w:p>
    <w:p>
      <w:pPr>
        <w:pStyle w:val="ListBullet"/>
      </w:pPr>
      <w:r>
        <w:t>extension à de nouveaux publics ou organisations.</w:t>
      </w:r>
    </w:p>
    <w:p>
      <w:pPr>
        <w:pStyle w:val="Heading1"/>
      </w:pPr>
      <w:r>
        <w:t>11. Avis et validation</w:t>
      </w:r>
    </w:p>
    <w:tbl>
      <w:tblPr>
        <w:tblStyle w:val="TableGrid"/>
        <w:tblW w:type="dxa" w:w="9360"/>
        <w:tblLook w:firstColumn="1" w:firstRow="1" w:lastColumn="0" w:lastRow="0" w:noHBand="0" w:noVBand="1" w:val="04A0"/>
        <w:tblLayout w:type="fixed"/>
        <w:tblInd w:w="120" w:type="dxa"/>
      </w:tblPr>
      <w:tblGrid>
        <w:gridCol w:w="3120"/>
        <w:gridCol w:w="3120"/>
        <w:gridCol w:w="3120"/>
      </w:tblGrid>
      <w:tr>
        <w:trPr>
          <w:tblHeader w:val="true"/>
          <w:cantSplit/>
        </w:trPr>
        <w:tc>
          <w:tcPr>
            <w:tcW w:type="dxa" w:w="2232"/>
            <w:vAlign w:val="center"/>
            <w:shd w:fill="E8EEF5"/>
          </w:tcPr>
          <w:p>
            <w:pPr>
              <w:spacing w:after="0"/>
            </w:pPr>
            <w:r/>
            <w:r>
              <w:rPr>
                <w:b/>
              </w:rPr>
              <w:t>Étape</w:t>
            </w:r>
          </w:p>
        </w:tc>
        <w:tc>
          <w:tcPr>
            <w:tcW w:type="dxa" w:w="3240"/>
            <w:vAlign w:val="center"/>
            <w:shd w:fill="E8EEF5"/>
          </w:tcPr>
          <w:p>
            <w:pPr>
              <w:spacing w:after="0"/>
            </w:pPr>
            <w:r/>
            <w:r>
              <w:rPr>
                <w:b/>
              </w:rPr>
              <w:t>Statut</w:t>
            </w:r>
          </w:p>
        </w:tc>
        <w:tc>
          <w:tcPr>
            <w:tcW w:type="dxa" w:w="3888"/>
            <w:vAlign w:val="center"/>
            <w:shd w:fill="E8EEF5"/>
          </w:tcPr>
          <w:p>
            <w:pPr>
              <w:spacing w:after="0"/>
            </w:pPr>
            <w:r/>
            <w:r>
              <w:rPr>
                <w:b/>
              </w:rPr>
              <w:t>Commentaire</w:t>
            </w:r>
          </w:p>
        </w:tc>
      </w:tr>
      <w:tr>
        <w:trPr>
          <w:cantSplit/>
        </w:trPr>
        <w:tc>
          <w:tcPr>
            <w:tcW w:type="dxa" w:w="2232"/>
            <w:vAlign w:val="top"/>
          </w:tcPr>
          <w:p>
            <w:pPr>
              <w:spacing w:after="0"/>
            </w:pPr>
            <w:r/>
            <w:r>
              <w:t>Avis métier</w:t>
            </w:r>
          </w:p>
        </w:tc>
        <w:tc>
          <w:tcPr>
            <w:tcW w:type="dxa" w:w="3240"/>
            <w:vAlign w:val="top"/>
          </w:tcPr>
          <w:p>
            <w:pPr>
              <w:spacing w:after="0"/>
            </w:pPr>
            <w:r/>
            <w:r>
              <w:t>À compléter</w:t>
            </w:r>
          </w:p>
        </w:tc>
        <w:tc>
          <w:tcPr>
            <w:tcW w:type="dxa" w:w="3888"/>
            <w:vAlign w:val="top"/>
          </w:tcPr>
          <w:p>
            <w:pPr>
              <w:spacing w:after="0"/>
            </w:pPr>
            <w:r/>
            <w:r>
              <w:t>Validation des finalités et usages.</w:t>
            </w:r>
          </w:p>
        </w:tc>
      </w:tr>
      <w:tr>
        <w:trPr>
          <w:cantSplit/>
        </w:trPr>
        <w:tc>
          <w:tcPr>
            <w:tcW w:type="dxa" w:w="2232"/>
            <w:vAlign w:val="top"/>
          </w:tcPr>
          <w:p>
            <w:pPr>
              <w:spacing w:after="0"/>
            </w:pPr>
            <w:r/>
            <w:r>
              <w:t>Avis technique/sécurité</w:t>
            </w:r>
          </w:p>
        </w:tc>
        <w:tc>
          <w:tcPr>
            <w:tcW w:type="dxa" w:w="3240"/>
            <w:vAlign w:val="top"/>
          </w:tcPr>
          <w:p>
            <w:pPr>
              <w:spacing w:after="0"/>
            </w:pPr>
            <w:r/>
            <w:r>
              <w:t>À compléter</w:t>
            </w:r>
          </w:p>
        </w:tc>
        <w:tc>
          <w:tcPr>
            <w:tcW w:type="dxa" w:w="3888"/>
            <w:vAlign w:val="top"/>
          </w:tcPr>
          <w:p>
            <w:pPr>
              <w:spacing w:after="0"/>
            </w:pPr>
            <w:r/>
            <w:r>
              <w:t>Validation mesures d'accès, logs, sauvegardes.</w:t>
            </w:r>
          </w:p>
        </w:tc>
      </w:tr>
      <w:tr>
        <w:trPr>
          <w:cantSplit/>
        </w:trPr>
        <w:tc>
          <w:tcPr>
            <w:tcW w:type="dxa" w:w="2232"/>
            <w:vAlign w:val="top"/>
          </w:tcPr>
          <w:p>
            <w:pPr>
              <w:spacing w:after="0"/>
            </w:pPr>
            <w:r/>
            <w:r>
              <w:t>Avis DPO</w:t>
            </w:r>
          </w:p>
        </w:tc>
        <w:tc>
          <w:tcPr>
            <w:tcW w:type="dxa" w:w="3240"/>
            <w:vAlign w:val="top"/>
          </w:tcPr>
          <w:p>
            <w:pPr>
              <w:spacing w:after="0"/>
            </w:pPr>
            <w:r/>
            <w:r>
              <w:t>À compléter</w:t>
            </w:r>
          </w:p>
        </w:tc>
        <w:tc>
          <w:tcPr>
            <w:tcW w:type="dxa" w:w="3888"/>
            <w:vAlign w:val="top"/>
          </w:tcPr>
          <w:p>
            <w:pPr>
              <w:spacing w:after="0"/>
            </w:pPr>
            <w:r/>
            <w:r>
              <w:t>Confirmer AIPD de précaution, risques résiduels faibles à moyens, plan d'action.</w:t>
            </w:r>
          </w:p>
        </w:tc>
      </w:tr>
      <w:tr>
        <w:trPr>
          <w:cantSplit/>
        </w:trPr>
        <w:tc>
          <w:tcPr>
            <w:tcW w:type="dxa" w:w="2232"/>
            <w:vAlign w:val="top"/>
          </w:tcPr>
          <w:p>
            <w:pPr>
              <w:spacing w:after="0"/>
            </w:pPr>
            <w:r/>
            <w:r>
              <w:t>Consultation CNIL préalable</w:t>
            </w:r>
          </w:p>
        </w:tc>
        <w:tc>
          <w:tcPr>
            <w:tcW w:type="dxa" w:w="3240"/>
            <w:vAlign w:val="top"/>
          </w:tcPr>
          <w:p>
            <w:pPr>
              <w:spacing w:after="0"/>
            </w:pPr>
            <w:r/>
            <w:r>
              <w:t>Non envisagée à ce stade</w:t>
            </w:r>
          </w:p>
        </w:tc>
        <w:tc>
          <w:tcPr>
            <w:tcW w:type="dxa" w:w="3888"/>
            <w:vAlign w:val="top"/>
          </w:tcPr>
          <w:p>
            <w:pPr>
              <w:spacing w:after="0"/>
            </w:pPr>
            <w:r/>
            <w:r>
              <w:t>Requise seulement si risque élevé résiduel impossible à réduire.</w:t>
            </w:r>
          </w:p>
        </w:tc>
      </w:tr>
      <w:tr>
        <w:trPr>
          <w:cantSplit/>
        </w:trPr>
        <w:tc>
          <w:tcPr>
            <w:tcW w:type="dxa" w:w="2232"/>
            <w:vAlign w:val="top"/>
          </w:tcPr>
          <w:p>
            <w:pPr>
              <w:spacing w:after="0"/>
            </w:pPr>
            <w:r/>
            <w:r>
              <w:t>Date de prochaine revue</w:t>
            </w:r>
          </w:p>
        </w:tc>
        <w:tc>
          <w:tcPr>
            <w:tcW w:type="dxa" w:w="3240"/>
            <w:vAlign w:val="top"/>
          </w:tcPr>
          <w:p>
            <w:pPr>
              <w:spacing w:after="0"/>
            </w:pPr>
            <w:r/>
            <w:r>
              <w:t>À compléter</w:t>
            </w:r>
          </w:p>
        </w:tc>
        <w:tc>
          <w:tcPr>
            <w:tcW w:type="dxa" w:w="3888"/>
            <w:vAlign w:val="top"/>
          </w:tcPr>
          <w:p>
            <w:pPr>
              <w:spacing w:after="0"/>
            </w:pPr>
            <w:r/>
            <w:r>
              <w:t>Recommandé : au moins annuelle ou changement majeur.</w:t>
            </w:r>
          </w:p>
        </w:tc>
      </w:tr>
    </w:tbl>
    <w:p>
      <w:pPr>
        <w:pStyle w:val="Heading1"/>
      </w:pPr>
      <w:r>
        <w:t>Sources officielles consultées</w:t>
      </w:r>
    </w:p>
    <w:p>
      <w:pPr>
        <w:pStyle w:val="ListBullet"/>
      </w:pPr>
      <w:r>
        <w:t>CNIL - DPO : par où commencer ? https://www.cnil.fr/fr/dpo-par-ou-commencer</w:t>
      </w:r>
    </w:p>
    <w:p>
      <w:pPr>
        <w:pStyle w:val="ListBullet"/>
      </w:pPr>
      <w:r>
        <w:t>CNIL - Le registre des activités de traitement : https://cnil.fr/fr/RGPD-le-registre-des-activites-de-traitement</w:t>
      </w:r>
    </w:p>
    <w:p>
      <w:pPr>
        <w:pStyle w:val="ListBullet"/>
      </w:pPr>
      <w:r>
        <w:t>CNIL - L'analyse d'impact relative à la protection des données (AIPD) : https://www.cnil.fr/fr/RGPD-analyse-impact-protection-des-donnees-aipd</w:t>
      </w:r>
    </w:p>
    <w:p>
      <w:pPr>
        <w:pStyle w:val="ListBullet"/>
      </w:pPr>
      <w:r>
        <w:t>CNIL - Outil PIA : https://www.cnil.fr/fr/outil-pia-telechargez-et-installez-le-logiciel-de-la-cnil</w:t>
      </w:r>
    </w:p>
    <w:p>
      <w:pPr>
        <w:pStyle w:val="ListBullet"/>
      </w:pPr>
      <w:r>
        <w:t>CNIL - Les droits des personnes sur leurs données : https://www.cnil.fr/fr/passer-laction/les-droits-des-personnes-sur-leurs-donnees</w:t>
      </w:r>
    </w:p>
    <w:p>
      <w:pPr>
        <w:pStyle w:val="ListBullet"/>
      </w:pPr>
      <w:r>
        <w:t>CNIL - Violations de données personnelles : les règles à suivre : https://www.cnil.fr/fr/violations-de-donnees-personnelles-les-regles-suivre</w:t>
      </w:r>
    </w:p>
    <w:p>
      <w:pPr>
        <w:pStyle w:val="ListBullet"/>
      </w:pPr>
      <w:r>
        <w:t>CNIL - Guide pratique RGPD pour les DPO : https://www.cnil.fr/sites/default/files/atoms/files/guide_pratique_rgpd_-_delegues_a_la_protection_des_donnees.pdf</w:t>
      </w:r>
    </w:p>
    <w:p>
      <w:pPr>
        <w:pStyle w:val="Heading1"/>
      </w:pPr>
      <w:r>
        <w:t>Sources projet utilisées</w:t>
      </w:r>
    </w:p>
    <w:p>
      <w:pPr>
        <w:pStyle w:val="ListBullet"/>
      </w:pPr>
      <w:r>
        <w:rPr>
          <w:rFonts w:ascii="Consolas" w:hAnsi="Consolas"/>
          <w:sz w:val="19"/>
        </w:rPr>
        <w:t>README.md</w:t>
      </w:r>
      <w:r>
        <w:t xml:space="preserve"> : positionnement Bertel, stack Next.js + Supabase/PostgreSQL, API et documentation.</w:t>
      </w:r>
    </w:p>
    <w:p>
      <w:pPr>
        <w:pStyle w:val="ListBullet"/>
      </w:pPr>
      <w:r>
        <w:rPr>
          <w:rFonts w:ascii="Consolas" w:hAnsi="Consolas"/>
          <w:sz w:val="19"/>
        </w:rPr>
        <w:t>ARCHITECTURE.md</w:t>
      </w:r>
      <w:r>
        <w:t xml:space="preserve"> et </w:t>
      </w:r>
      <w:r>
        <w:rPr>
          <w:rFonts w:ascii="Consolas" w:hAnsi="Consolas"/>
          <w:sz w:val="19"/>
        </w:rPr>
        <w:t>docs/architecture/bertel-object-workspace-canonical-map.md</w:t>
      </w:r>
      <w:r>
        <w:t xml:space="preserve"> : carte fonctionnelle du workspace objet.</w:t>
      </w:r>
    </w:p>
    <w:p>
      <w:pPr>
        <w:pStyle w:val="ListBullet"/>
      </w:pPr>
      <w:r>
        <w:rPr>
          <w:rFonts w:ascii="Consolas" w:hAnsi="Consolas"/>
          <w:sz w:val="19"/>
        </w:rPr>
        <w:t>docs/architecture/OBJECT_DATA_DICTIONARY.md</w:t>
      </w:r>
      <w:r>
        <w:t xml:space="preserve"> : dictionnaire des données objet, contacts, médias, CRM, incidents, juridique, RLS et audit.</w:t>
      </w:r>
    </w:p>
    <w:p>
      <w:pPr>
        <w:pStyle w:val="ListBullet"/>
      </w:pPr>
      <w:r>
        <w:rPr>
          <w:rFonts w:ascii="Consolas" w:hAnsi="Consolas"/>
          <w:sz w:val="19"/>
        </w:rPr>
        <w:t>db-graph-out/DB_AGENT_INDEX.md</w:t>
      </w:r>
      <w:r>
        <w:t xml:space="preserve">, </w:t>
      </w:r>
      <w:r>
        <w:rPr>
          <w:rFonts w:ascii="Consolas" w:hAnsi="Consolas"/>
          <w:sz w:val="19"/>
        </w:rPr>
        <w:t>FUNCTIONS.md</w:t>
      </w:r>
      <w:r>
        <w:t xml:space="preserve">, </w:t>
      </w:r>
      <w:r>
        <w:rPr>
          <w:rFonts w:ascii="Consolas" w:hAnsi="Consolas"/>
          <w:sz w:val="19"/>
        </w:rPr>
        <w:t>POLICIES.md</w:t>
      </w:r>
      <w:r>
        <w:t xml:space="preserve">, </w:t>
      </w:r>
      <w:r>
        <w:rPr>
          <w:rFonts w:ascii="Consolas" w:hAnsi="Consolas"/>
          <w:sz w:val="19"/>
        </w:rPr>
        <w:t>TYPES.md</w:t>
      </w:r>
      <w:r>
        <w:t xml:space="preserve"> : cartographie DB, RPC, politiques RLS et enums.</w:t>
      </w:r>
    </w:p>
    <w:p>
      <w:pPr>
        <w:pStyle w:val="ListBullet"/>
      </w:pPr>
      <w:r>
        <w:rPr>
          <w:rFonts w:ascii="Consolas" w:hAnsi="Consolas"/>
          <w:sz w:val="19"/>
        </w:rPr>
        <w:t>dbdoc/*.md</w:t>
      </w:r>
      <w:r>
        <w:t xml:space="preserve"> : fiches de tables sensibles (</w:t>
      </w:r>
      <w:r>
        <w:rPr>
          <w:rFonts w:ascii="Consolas" w:hAnsi="Consolas"/>
          <w:sz w:val="19"/>
        </w:rPr>
        <w:t>auth.users</w:t>
      </w:r>
      <w:r>
        <w:t xml:space="preserve">, </w:t>
      </w:r>
      <w:r>
        <w:rPr>
          <w:rFonts w:ascii="Consolas" w:hAnsi="Consolas"/>
          <w:sz w:val="19"/>
        </w:rPr>
        <w:t>app_user_profile</w:t>
      </w:r>
      <w:r>
        <w:t xml:space="preserve">, </w:t>
      </w:r>
      <w:r>
        <w:rPr>
          <w:rFonts w:ascii="Consolas" w:hAnsi="Consolas"/>
          <w:sz w:val="19"/>
        </w:rPr>
        <w:t>actor</w:t>
      </w:r>
      <w:r>
        <w:t xml:space="preserve">, </w:t>
      </w:r>
      <w:r>
        <w:rPr>
          <w:rFonts w:ascii="Consolas" w:hAnsi="Consolas"/>
          <w:sz w:val="19"/>
        </w:rPr>
        <w:t>actor_channel</w:t>
      </w:r>
      <w:r>
        <w:t xml:space="preserve">, </w:t>
      </w:r>
      <w:r>
        <w:rPr>
          <w:rFonts w:ascii="Consolas" w:hAnsi="Consolas"/>
          <w:sz w:val="19"/>
        </w:rPr>
        <w:t>actor_consent</w:t>
      </w:r>
      <w:r>
        <w:t xml:space="preserve">, </w:t>
      </w:r>
      <w:r>
        <w:rPr>
          <w:rFonts w:ascii="Consolas" w:hAnsi="Consolas"/>
          <w:sz w:val="19"/>
        </w:rPr>
        <w:t>contact_channel</w:t>
      </w:r>
      <w:r>
        <w:t xml:space="preserve">, </w:t>
      </w:r>
      <w:r>
        <w:rPr>
          <w:rFonts w:ascii="Consolas" w:hAnsi="Consolas"/>
          <w:sz w:val="19"/>
        </w:rPr>
        <w:t>object_private_description</w:t>
      </w:r>
      <w:r>
        <w:t xml:space="preserve">, </w:t>
      </w:r>
      <w:r>
        <w:rPr>
          <w:rFonts w:ascii="Consolas" w:hAnsi="Consolas"/>
          <w:sz w:val="19"/>
        </w:rPr>
        <w:t>crm_interaction</w:t>
      </w:r>
      <w:r>
        <w:t xml:space="preserve">, </w:t>
      </w:r>
      <w:r>
        <w:rPr>
          <w:rFonts w:ascii="Consolas" w:hAnsi="Consolas"/>
          <w:sz w:val="19"/>
        </w:rPr>
        <w:t>crm_task</w:t>
      </w:r>
      <w:r>
        <w:t xml:space="preserve">, </w:t>
      </w:r>
      <w:r>
        <w:rPr>
          <w:rFonts w:ascii="Consolas" w:hAnsi="Consolas"/>
          <w:sz w:val="19"/>
        </w:rPr>
        <w:t>incident_report</w:t>
      </w:r>
      <w:r>
        <w:t xml:space="preserve">, </w:t>
      </w:r>
      <w:r>
        <w:rPr>
          <w:rFonts w:ascii="Consolas" w:hAnsi="Consolas"/>
          <w:sz w:val="19"/>
        </w:rPr>
        <w:t>media</w:t>
      </w:r>
      <w:r>
        <w:t xml:space="preserve">, </w:t>
      </w:r>
      <w:r>
        <w:rPr>
          <w:rFonts w:ascii="Consolas" w:hAnsi="Consolas"/>
          <w:sz w:val="19"/>
        </w:rPr>
        <w:t>object_legal</w:t>
      </w:r>
      <w:r>
        <w:t xml:space="preserve">, </w:t>
      </w:r>
      <w:r>
        <w:rPr>
          <w:rFonts w:ascii="Consolas" w:hAnsi="Consolas"/>
          <w:sz w:val="19"/>
        </w:rPr>
        <w:t>audit.audit_log</w:t>
      </w:r>
      <w:r>
        <w:t>).</w:t>
      </w:r>
    </w:p>
    <w:p>
      <w:pPr>
        <w:pStyle w:val="ListBullet"/>
      </w:pPr>
      <w:r>
        <w:rPr>
          <w:rFonts w:ascii="Consolas" w:hAnsi="Consolas"/>
          <w:sz w:val="19"/>
        </w:rPr>
        <w:t>bertel-tourism-ui/src/views/*</w:t>
      </w:r>
      <w:r>
        <w:t xml:space="preserve"> et </w:t>
      </w:r>
      <w:r>
        <w:rPr>
          <w:rFonts w:ascii="Consolas" w:hAnsi="Consolas"/>
          <w:sz w:val="19"/>
        </w:rPr>
        <w:t>bertel-tourism-ui/src/services/*</w:t>
      </w:r>
      <w:r>
        <w:t xml:space="preserve"> : parcours UI, authentification, RBAC, CRM, modération, audits, médias.</w:t>
      </w:r>
    </w:p>
    <w:p>
      <w:pPr>
        <w:pStyle w:val="Heading1"/>
      </w:pPr>
      <w:r>
        <w:t>Sources internes transposées depuis le dossier badgeuse</w:t>
      </w:r>
    </w:p>
    <w:p>
      <w:pPr>
        <w:pStyle w:val="ListBullet"/>
      </w:pPr>
      <w:r>
        <w:rPr>
          <w:rFonts w:ascii="Consolas" w:hAnsi="Consolas"/>
          <w:sz w:val="19"/>
        </w:rPr>
        <w:t>C:\Users\dphil\Downloads\Manuel_Utilisateur_Badgeuse_OTI (7).pdf</w:t>
      </w:r>
      <w:r>
        <w:t xml:space="preserve"> : modèle de manuel utilisateur interne OTI.</w:t>
      </w:r>
    </w:p>
    <w:p>
      <w:pPr>
        <w:pStyle w:val="ListBullet"/>
      </w:pPr>
      <w:r>
        <w:rPr>
          <w:rFonts w:ascii="Consolas" w:hAnsi="Consolas"/>
          <w:sz w:val="19"/>
        </w:rPr>
        <w:t>C:\Users\dphil\Downloads\Reglement_RGPD_Badgeuse_OTISUD (3).pdf</w:t>
      </w:r>
      <w:r>
        <w:t xml:space="preserve"> : identité SPL OTI DU SUD, référent RGPD, hébergement OVH France, absence de transfert hors UE et mesures de sécurité.</w:t>
      </w:r>
    </w:p>
    <w:p>
      <w:pPr>
        <w:pStyle w:val="ListBullet"/>
      </w:pPr>
      <w:r>
        <w:rPr>
          <w:rFonts w:ascii="Consolas" w:hAnsi="Consolas"/>
          <w:sz w:val="19"/>
        </w:rPr>
        <w:t>C:\Users\dphil\Downloads\DPIA_Badgeuse_OTISUD (3).pdf</w:t>
      </w:r>
      <w:r>
        <w:t xml:space="preserve"> : modèle d'analyse proportionnée, risque résiduel faible, Supabase/PostgreSQL, HTTPS, RLS et logs administratifs.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Bertel - Pack RGPD/DPO - 13 juin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Analyse d'impact relative à la protection des données - Bertel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