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97" w:rsidRDefault="00600197" w:rsidP="00600197">
      <w:pPr>
        <w:rPr>
          <w:b/>
        </w:rPr>
      </w:pPr>
      <w:r>
        <w:rPr>
          <w:b/>
        </w:rPr>
        <w:t>Post-Experiment Questionnaire (external)</w:t>
      </w:r>
    </w:p>
    <w:p w:rsidR="00600197" w:rsidRDefault="00600197" w:rsidP="00600197">
      <w:pPr>
        <w:rPr>
          <w:b/>
        </w:rPr>
      </w:pPr>
      <w:r>
        <w:rPr>
          <w:b/>
        </w:rPr>
        <w:t>Subjective Measures:</w:t>
      </w:r>
    </w:p>
    <w:p w:rsidR="00600197" w:rsidRDefault="00600197" w:rsidP="0060019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7434"/>
      </w:tblGrid>
      <w:tr w:rsidR="00600197" w:rsidTr="006B18C6">
        <w:tc>
          <w:tcPr>
            <w:tcW w:w="1838" w:type="dxa"/>
          </w:tcPr>
          <w:p w:rsidR="00600197" w:rsidRDefault="00600197" w:rsidP="006B18C6">
            <w:r>
              <w:t>Subjective Measures</w:t>
            </w:r>
          </w:p>
        </w:tc>
        <w:tc>
          <w:tcPr>
            <w:tcW w:w="7512" w:type="dxa"/>
          </w:tcPr>
          <w:p w:rsidR="00600197" w:rsidRDefault="00600197" w:rsidP="006B18C6">
            <w:r>
              <w:t>Questionnaire (Rate 1-5 Likert scale) – questions are about the whole stay in the lab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Safety [q1]</w:t>
            </w:r>
          </w:p>
        </w:tc>
        <w:tc>
          <w:tcPr>
            <w:tcW w:w="7512" w:type="dxa"/>
          </w:tcPr>
          <w:p w:rsidR="00600197" w:rsidRDefault="00600197" w:rsidP="006B18C6">
            <w:r>
              <w:t>I felt safe</w:t>
            </w:r>
          </w:p>
          <w:p w:rsidR="00600197" w:rsidRDefault="00600197" w:rsidP="006B18C6">
            <w:r>
              <w:t>I felt relaxed</w:t>
            </w:r>
          </w:p>
          <w:p w:rsidR="00600197" w:rsidRDefault="00600197" w:rsidP="006B18C6">
            <w:r>
              <w:t>I felt safe during the physical exercise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Comfortability [q1,q2]</w:t>
            </w:r>
          </w:p>
        </w:tc>
        <w:tc>
          <w:tcPr>
            <w:tcW w:w="7512" w:type="dxa"/>
          </w:tcPr>
          <w:p w:rsidR="00600197" w:rsidRDefault="00600197" w:rsidP="006B18C6">
            <w:r>
              <w:t>I felt comfortable</w:t>
            </w:r>
          </w:p>
          <w:p w:rsidR="00600197" w:rsidRDefault="00600197" w:rsidP="006B18C6">
            <w:r>
              <w:t>I felt treated friendly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Fluency [q3]</w:t>
            </w:r>
          </w:p>
        </w:tc>
        <w:tc>
          <w:tcPr>
            <w:tcW w:w="7512" w:type="dxa"/>
          </w:tcPr>
          <w:p w:rsidR="00600197" w:rsidRDefault="00600197" w:rsidP="006B18C6">
            <w:r>
              <w:t>I felt that the information was provided at the right timing</w:t>
            </w:r>
          </w:p>
          <w:p w:rsidR="00600197" w:rsidRDefault="00600197" w:rsidP="006B18C6">
            <w:r>
              <w:t>I felt there were no delays during the experiment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Understandability [q2]</w:t>
            </w:r>
          </w:p>
        </w:tc>
        <w:tc>
          <w:tcPr>
            <w:tcW w:w="7512" w:type="dxa"/>
          </w:tcPr>
          <w:p w:rsidR="00600197" w:rsidRDefault="00600197" w:rsidP="006B18C6">
            <w:r>
              <w:t>I understood the experiment well</w:t>
            </w:r>
          </w:p>
          <w:p w:rsidR="00600197" w:rsidRDefault="00600197" w:rsidP="006B18C6">
            <w:r>
              <w:t>I understood the information presented to me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Cognitive load [q5]</w:t>
            </w:r>
          </w:p>
        </w:tc>
        <w:tc>
          <w:tcPr>
            <w:tcW w:w="7512" w:type="dxa"/>
          </w:tcPr>
          <w:p w:rsidR="00600197" w:rsidRDefault="00600197" w:rsidP="006B18C6">
            <w:r>
              <w:t>During the experiment, it was exhausting to understand the important information</w:t>
            </w:r>
          </w:p>
          <w:p w:rsidR="00600197" w:rsidRDefault="00600197" w:rsidP="006B18C6">
            <w:r>
              <w:t>The experiment was complex</w:t>
            </w:r>
          </w:p>
          <w:p w:rsidR="00600197" w:rsidRDefault="00600197" w:rsidP="006B18C6">
            <w:r>
              <w:t>For this experiment, many things needed to be kept in mind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Enjoyment [q2]</w:t>
            </w:r>
          </w:p>
        </w:tc>
        <w:tc>
          <w:tcPr>
            <w:tcW w:w="7512" w:type="dxa"/>
          </w:tcPr>
          <w:p w:rsidR="00600197" w:rsidRDefault="00600197" w:rsidP="006B18C6">
            <w:r>
              <w:t>I enjoyed participating in the experiment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Satisfaction [q2]</w:t>
            </w:r>
          </w:p>
        </w:tc>
        <w:tc>
          <w:tcPr>
            <w:tcW w:w="7512" w:type="dxa"/>
          </w:tcPr>
          <w:p w:rsidR="00600197" w:rsidRDefault="00600197" w:rsidP="006B18C6">
            <w:r>
              <w:t>I was satisfied by the experiment</w:t>
            </w:r>
          </w:p>
        </w:tc>
      </w:tr>
      <w:tr w:rsidR="00600197" w:rsidTr="006B18C6">
        <w:tc>
          <w:tcPr>
            <w:tcW w:w="1838" w:type="dxa"/>
          </w:tcPr>
          <w:p w:rsidR="00600197" w:rsidRDefault="00600197" w:rsidP="006B18C6">
            <w:r>
              <w:t>Trust [q2, q4]</w:t>
            </w:r>
          </w:p>
        </w:tc>
        <w:tc>
          <w:tcPr>
            <w:tcW w:w="7512" w:type="dxa"/>
          </w:tcPr>
          <w:p w:rsidR="00600197" w:rsidRDefault="00600197" w:rsidP="006B18C6">
            <w:r>
              <w:t>I felt I can trust the experimenter</w:t>
            </w:r>
          </w:p>
          <w:p w:rsidR="00600197" w:rsidRDefault="00600197" w:rsidP="006B18C6">
            <w:r>
              <w:t>Did the experimenter make mistakes?</w:t>
            </w:r>
          </w:p>
        </w:tc>
      </w:tr>
    </w:tbl>
    <w:p w:rsidR="00600197" w:rsidRDefault="00600197" w:rsidP="00600197"/>
    <w:p w:rsidR="00600197" w:rsidRPr="00422B54" w:rsidRDefault="00600197" w:rsidP="00600197">
      <w:pPr>
        <w:rPr>
          <w:rFonts w:asciiTheme="minorBidi" w:hAnsiTheme="minorBidi" w:cstheme="minorBidi"/>
          <w:color w:val="333333"/>
          <w:sz w:val="16"/>
          <w:szCs w:val="16"/>
          <w:shd w:val="clear" w:color="auto" w:fill="FCFCFC"/>
        </w:rPr>
      </w:pPr>
      <w:r w:rsidRPr="00422B54">
        <w:rPr>
          <w:rFonts w:asciiTheme="minorBidi" w:hAnsiTheme="minorBidi" w:cstheme="minorBidi"/>
          <w:sz w:val="16"/>
          <w:szCs w:val="16"/>
        </w:rPr>
        <w:t>[q1]</w:t>
      </w:r>
      <w:r w:rsidRPr="00422B54">
        <w:rPr>
          <w:rFonts w:asciiTheme="minorBidi" w:hAnsiTheme="minorBidi" w:cstheme="minorBidi"/>
          <w:color w:val="333333"/>
          <w:sz w:val="16"/>
          <w:szCs w:val="16"/>
          <w:shd w:val="clear" w:color="auto" w:fill="FCFCFC"/>
        </w:rPr>
        <w:t xml:space="preserve"> Bartneck, C., Kulić, D., Croft, E. </w:t>
      </w:r>
      <w:r w:rsidRPr="00422B54">
        <w:rPr>
          <w:rFonts w:asciiTheme="minorBidi" w:hAnsiTheme="minorBidi" w:cstheme="minorBidi"/>
          <w:i/>
          <w:iCs/>
          <w:color w:val="333333"/>
          <w:sz w:val="16"/>
          <w:szCs w:val="16"/>
          <w:shd w:val="clear" w:color="auto" w:fill="FCFCFC"/>
        </w:rPr>
        <w:t>et al.</w:t>
      </w:r>
      <w:r w:rsidRPr="00422B54">
        <w:rPr>
          <w:rFonts w:asciiTheme="minorBidi" w:hAnsiTheme="minorBidi" w:cstheme="minorBidi"/>
          <w:color w:val="333333"/>
          <w:sz w:val="16"/>
          <w:szCs w:val="16"/>
          <w:shd w:val="clear" w:color="auto" w:fill="FCFCFC"/>
        </w:rPr>
        <w:t> Measurement Instruments for the Anthropomorphism, Animacy, Likeability, Perceived Intelligence, and Perceived Safety of Robots. </w:t>
      </w:r>
      <w:r w:rsidRPr="00422B54">
        <w:rPr>
          <w:rFonts w:asciiTheme="minorBidi" w:hAnsiTheme="minorBidi" w:cstheme="minorBidi"/>
          <w:i/>
          <w:iCs/>
          <w:color w:val="333333"/>
          <w:sz w:val="16"/>
          <w:szCs w:val="16"/>
          <w:shd w:val="clear" w:color="auto" w:fill="FCFCFC"/>
        </w:rPr>
        <w:t>Int J of Soc Robotics</w:t>
      </w:r>
      <w:r w:rsidRPr="00422B54">
        <w:rPr>
          <w:rFonts w:asciiTheme="minorBidi" w:hAnsiTheme="minorBidi" w:cstheme="minorBidi"/>
          <w:color w:val="333333"/>
          <w:sz w:val="16"/>
          <w:szCs w:val="16"/>
          <w:shd w:val="clear" w:color="auto" w:fill="FCFCFC"/>
        </w:rPr>
        <w:t> </w:t>
      </w:r>
      <w:r w:rsidRPr="00422B54">
        <w:rPr>
          <w:rFonts w:asciiTheme="minorBidi" w:hAnsiTheme="minorBidi" w:cstheme="minorBidi"/>
          <w:b/>
          <w:bCs/>
          <w:color w:val="333333"/>
          <w:sz w:val="16"/>
          <w:szCs w:val="16"/>
          <w:shd w:val="clear" w:color="auto" w:fill="FCFCFC"/>
        </w:rPr>
        <w:t>1, </w:t>
      </w:r>
      <w:r w:rsidRPr="00422B54">
        <w:rPr>
          <w:rFonts w:asciiTheme="minorBidi" w:hAnsiTheme="minorBidi" w:cstheme="minorBidi"/>
          <w:color w:val="333333"/>
          <w:sz w:val="16"/>
          <w:szCs w:val="16"/>
          <w:shd w:val="clear" w:color="auto" w:fill="FCFCFC"/>
        </w:rPr>
        <w:t xml:space="preserve">71–81 (2009). </w:t>
      </w:r>
      <w:hyperlink r:id="rId4" w:history="1">
        <w:r w:rsidRPr="00422B54">
          <w:rPr>
            <w:rStyle w:val="Hyperlink"/>
            <w:rFonts w:asciiTheme="minorBidi" w:hAnsiTheme="minorBidi" w:cstheme="minorBidi"/>
            <w:sz w:val="16"/>
            <w:szCs w:val="16"/>
            <w:shd w:val="clear" w:color="auto" w:fill="FCFCFC"/>
          </w:rPr>
          <w:t>https://doi.org/10.1007/s12369-008-0001-3</w:t>
        </w:r>
      </w:hyperlink>
    </w:p>
    <w:p w:rsidR="00600197" w:rsidRPr="00422B54" w:rsidRDefault="00600197" w:rsidP="00600197">
      <w:pPr>
        <w:rPr>
          <w:rFonts w:asciiTheme="minorBidi" w:hAnsiTheme="minorBidi" w:cstheme="minorBidi"/>
          <w:sz w:val="16"/>
          <w:szCs w:val="16"/>
        </w:rPr>
      </w:pPr>
      <w:r w:rsidRPr="00422B54">
        <w:rPr>
          <w:rFonts w:asciiTheme="minorBidi" w:hAnsiTheme="minorBidi" w:cstheme="minorBidi"/>
          <w:sz w:val="16"/>
          <w:szCs w:val="16"/>
        </w:rPr>
        <w:t xml:space="preserve">[q2] 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Krakovski, Maya, et al. "“Gymmy”: Designing and Testing a Robot for Physical and Cognitive Training of Older Adults." </w:t>
      </w:r>
      <w:r w:rsidRPr="00422B54">
        <w:rPr>
          <w:rFonts w:asciiTheme="minorBidi" w:hAnsiTheme="minorBidi" w:cstheme="minorBidi"/>
          <w:i/>
          <w:iCs/>
          <w:color w:val="222222"/>
          <w:sz w:val="16"/>
          <w:szCs w:val="16"/>
          <w:shd w:val="clear" w:color="auto" w:fill="FFFFFF"/>
        </w:rPr>
        <w:t>Applied Sciences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 11.14 (2021): 6431.</w:t>
      </w:r>
    </w:p>
    <w:p w:rsidR="00600197" w:rsidRPr="00422B54" w:rsidRDefault="00600197" w:rsidP="00600197">
      <w:pPr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</w:pPr>
      <w:r w:rsidRPr="00422B54">
        <w:rPr>
          <w:rFonts w:asciiTheme="minorBidi" w:hAnsiTheme="minorBidi" w:cstheme="minorBidi"/>
          <w:sz w:val="16"/>
          <w:szCs w:val="16"/>
        </w:rPr>
        <w:t xml:space="preserve">[q3] 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Hoffman, Guy. "Evaluating fluency in human–robot collaboration." </w:t>
      </w:r>
      <w:r w:rsidRPr="00422B54">
        <w:rPr>
          <w:rFonts w:asciiTheme="minorBidi" w:hAnsiTheme="minorBidi" w:cstheme="minorBidi"/>
          <w:i/>
          <w:iCs/>
          <w:color w:val="222222"/>
          <w:sz w:val="16"/>
          <w:szCs w:val="16"/>
          <w:shd w:val="clear" w:color="auto" w:fill="FFFFFF"/>
        </w:rPr>
        <w:t>IEEE Transactions on Human-Machine Systems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 49.3 (2019): 209-218.</w:t>
      </w:r>
    </w:p>
    <w:p w:rsidR="00600197" w:rsidRPr="00422B54" w:rsidRDefault="00600197" w:rsidP="00600197">
      <w:pPr>
        <w:rPr>
          <w:rFonts w:asciiTheme="minorBidi" w:hAnsiTheme="minorBidi" w:cstheme="minorBidi"/>
          <w:sz w:val="16"/>
          <w:szCs w:val="16"/>
        </w:rPr>
      </w:pPr>
      <w:r w:rsidRPr="00422B54">
        <w:rPr>
          <w:rFonts w:asciiTheme="minorBidi" w:hAnsiTheme="minorBidi" w:cstheme="minorBidi"/>
          <w:sz w:val="16"/>
          <w:szCs w:val="16"/>
        </w:rPr>
        <w:t xml:space="preserve">[q4] 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Schaefer, Kristin. "The perception and measurement of human-robot trust." (2013).</w:t>
      </w:r>
    </w:p>
    <w:p w:rsidR="00600197" w:rsidRPr="00422B54" w:rsidRDefault="00600197" w:rsidP="00600197">
      <w:pPr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</w:pPr>
      <w:r w:rsidRPr="00422B54">
        <w:rPr>
          <w:rFonts w:asciiTheme="minorBidi" w:hAnsiTheme="minorBidi" w:cstheme="minorBidi"/>
          <w:sz w:val="16"/>
          <w:szCs w:val="16"/>
        </w:rPr>
        <w:t xml:space="preserve">[q5] 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Klepsch, Melina, Florian Schmitz, and Tina Seufert. "Development and validation of two instruments measuring intrinsic, extraneous, and germane cognitive load." </w:t>
      </w:r>
      <w:r w:rsidRPr="00422B54">
        <w:rPr>
          <w:rFonts w:asciiTheme="minorBidi" w:hAnsiTheme="minorBidi" w:cstheme="minorBidi"/>
          <w:i/>
          <w:iCs/>
          <w:color w:val="222222"/>
          <w:sz w:val="16"/>
          <w:szCs w:val="16"/>
          <w:shd w:val="clear" w:color="auto" w:fill="FFFFFF"/>
        </w:rPr>
        <w:t>Frontiers in psychology</w:t>
      </w:r>
      <w:r w:rsidRPr="00422B54">
        <w:rPr>
          <w:rFonts w:asciiTheme="minorBidi" w:hAnsiTheme="minorBidi" w:cstheme="minorBidi"/>
          <w:color w:val="222222"/>
          <w:sz w:val="16"/>
          <w:szCs w:val="16"/>
          <w:shd w:val="clear" w:color="auto" w:fill="FFFFFF"/>
        </w:rPr>
        <w:t> 8 (2017): 1997.</w:t>
      </w:r>
    </w:p>
    <w:p w:rsidR="00806DE5" w:rsidRPr="00600197" w:rsidRDefault="00806DE5" w:rsidP="00600197">
      <w:bookmarkStart w:id="0" w:name="_GoBack"/>
      <w:bookmarkEnd w:id="0"/>
    </w:p>
    <w:sectPr w:rsidR="00806DE5" w:rsidRPr="0060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3"/>
    <w:rsid w:val="0012196D"/>
    <w:rsid w:val="001D683B"/>
    <w:rsid w:val="00204E90"/>
    <w:rsid w:val="00600197"/>
    <w:rsid w:val="00642261"/>
    <w:rsid w:val="00806DE5"/>
    <w:rsid w:val="00BE0523"/>
    <w:rsid w:val="00D25951"/>
    <w:rsid w:val="00FC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15917-451F-42DA-B3B1-734436D5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9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s12369-008-000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שיקהר קומר</dc:creator>
  <cp:keywords/>
  <dc:description/>
  <cp:lastModifiedBy>שיקהר קומר</cp:lastModifiedBy>
  <cp:revision>2</cp:revision>
  <dcterms:created xsi:type="dcterms:W3CDTF">2022-07-20T11:12:00Z</dcterms:created>
  <dcterms:modified xsi:type="dcterms:W3CDTF">2022-07-20T12:08:00Z</dcterms:modified>
</cp:coreProperties>
</file>