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33337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CLIPRI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24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3333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Attestons que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Monsieur/Madame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Rafiou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est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titulaire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d'un compte en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ouvert dans nos livres sous le n°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33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 ce jour, ce compte présente un solde créditeur de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 33 (trente-trois)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.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27/07/2024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